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e438" w14:textId="49c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2013 года № 984 "Об утверждении Пенсионных правил единого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984 "Об утверждении Пенсионных правил единого накопительного пенсионного фонда" (САПП Республики Казахстан, 2013 г., № 56, ст. 771)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Пенсионные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984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Пенсионные правила</w:t>
      </w:r>
      <w:r>
        <w:br/>
      </w:r>
      <w:r>
        <w:rPr>
          <w:rFonts w:ascii="Times New Roman"/>
          <w:b/>
          <w:i w:val="false"/>
          <w:color w:val="000000"/>
        </w:rPr>
        <w:t>единого накопительного пенсионного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Пенсионные правила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Закон) и устанавливают особенности правоотношений между единым накопительным пенсионным фондом (далее – ЕНПФ) 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вкладчиком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лицом, за которое перечисляются обязательные профессиональные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пенсионных выплат за счет обязательных пенсионных взносов и (или) обязательных профессиональных пенсионных взносов (далее – получатель пенсионных выплат);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агентом по уплате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пенсионные взносы подлежат уплате по ставкам, определяемым Законом: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агентами по уплате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агентами по уплате обязательных профессиональных пенсионных взносов (далее – агент).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и обязательные профессиональные пенсионные взносы уплачиваются в национальной валюте Республики Казахстан. Обязательные пенсионные взносы не могут быть уплачены в пользу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сроки исчисления, удержания (начисления) и перечисления обязательных пенсионных взносов и обязательных профессиональных пенсионных взносов и взыскания по ним, а также осуществления пенсионных выплат за счет обязательных пенсионных взносов и обязательных профессиональных пенсионных взносов из ЕНПФ устанавливаются Правительством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заключения договора о пенсионном обеспечении</w:t>
      </w:r>
      <w:r>
        <w:br/>
      </w:r>
      <w:r>
        <w:rPr>
          <w:rFonts w:ascii="Times New Roman"/>
          <w:b/>
          <w:i w:val="false"/>
          <w:color w:val="000000"/>
        </w:rPr>
        <w:t>за счет обязательных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ЕНПФ осуществляет привлечение обязательных пенсионных взносов и выплаты пенсионных накоплений за счет обязательных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о пенсионном обеспечении за счет обязательных пенсионных взносов является договором присоединения, условия которого утверждаются ЕНПФ и размещаются на интернет-ресурсе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пенсионном обеспечении за счет обязательных пенсионных взносов устанавливает права, обязанности и ответственность,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иные особенности правоотношений между ЕНПФ, вкладчиком обязательных пенсионных взносов (получателем пенсионных выплат за счет обязательных пенсионных взносов).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договора о пенсионном обеспечении за счет обязательных пенсионных взносов (договор присоединения) осуществляется путем подписания вкладчиком обязательных пенсионных взносов заявления об открытии индивидуального пенсионного счета по учету обязательных пенсионных взносов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размещается на интернет-ресурсе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Вкладчик обязательных пенсионных взносов считается присоединившимся к договору о пенсионном обеспечении за счет обязательных пенсионных взносов со дня получения ЕНПФ электронного уведомления от уполномоченной организации о внесении сведений о договоре о пенсионном обеспечении за счет обязательных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(далее – единый список).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заключения договора о пенсионном обеспечении</w:t>
      </w:r>
      <w:r>
        <w:br/>
      </w:r>
      <w:r>
        <w:rPr>
          <w:rFonts w:ascii="Times New Roman"/>
          <w:b/>
          <w:i w:val="false"/>
          <w:color w:val="000000"/>
        </w:rPr>
        <w:t>за счет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осуществляет привлечение обязательных профессиональных пенсионных взносов и выплаты пенсионных накоплений за счет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о пенсионном обеспечении за счет обязательных профессиональных пенсионных взносов является договором присоединения, условия которого утверждаются ЕНПФ и размещаются на интернет-ресурсе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пенсионном обеспечении за счет обязательных профессиональных пенсионных взносов устанавливает права, обязанности и ответственность,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иные особенности правоотношений между ЕНПФ, физическим лицом, за которое перечисляются обязательные профессиональные пенсионные взносы (получателем пенсионных выплат за счет обязательных профессиональных пенсионных взносов), и агентом.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договора о пенсионном обеспечении за счет обязательных профессиональных пенсионных взносов (договор присоединения) осуществляется путем подписания агентом и физическим лицом, за которое перечисляются обязательные профессиональные пенсионные взносы, заявления об открытии индивидуального пенсионного счета по учету обязательных профессиональных пенсионных взносов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размещается на интернет-ресурсе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Агент и физическое лицо, за которое перечисляются обязательные профессиональные пенсионные взносы, считаются присоединившимися к договору о пенсионном обеспечении за счет обязательных профессиональных пенсионных взносов со дня получения ЕНПФ электронного уведомления от уполномоченной организации о внесении сведений о договоре о пенсионном обеспечении за счет обязательных профессиональных пенсионных взносов в единый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ранее заключенного договора о пенсионном обеспечении за счет обязательных профессиональных пенсионных взносов физическое лицо, за которое перечисляются обязательные профессиональные пенсионные взносы, и новый агент подписывают заявление о присоединении к договору о пенсионном обеспечении за счет обязательных профессиональных пенсионных взносов по форме, которая определяется внутренними документами ЕНПФ, без открытия нового индивидуального пенсионного счета по учету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профессиональные пенсионные взносы, инвестиционный доход, пеня и иные поступления в соответствии с законодательством Республики Казахстан о пенсионном обеспечении, поступившие в рамках заявления, указанного в части первой пункта 13 настоящих Правил, учитываются на ранее открытом индивидуальном пенсионном счете по учету обязательных профессиональных пенсионных взносов.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информирования вкладчика обязательных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взносов, физического лица, за которое перечисляются</w:t>
      </w:r>
      <w:r>
        <w:br/>
      </w:r>
      <w:r>
        <w:rPr>
          <w:rFonts w:ascii="Times New Roman"/>
          <w:b/>
          <w:i w:val="false"/>
          <w:color w:val="000000"/>
        </w:rPr>
        <w:t>обязательные профессиональные пенсионные взносы, или получателя</w:t>
      </w:r>
      <w:r>
        <w:br/>
      </w:r>
      <w:r>
        <w:rPr>
          <w:rFonts w:ascii="Times New Roman"/>
          <w:b/>
          <w:i w:val="false"/>
          <w:color w:val="000000"/>
        </w:rPr>
        <w:t>пенсионных выплат о состоянии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состоянии пенсионных накоплений за счет обязательных пенсионных взносов и (или) обязательных профессиональных пенсионных взносов на любую дату, запрашиваемую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предоставляется ЕНПФ с даты открытия индивидуального пенсионного счета по учету обязательных пенсионных взносов и (или) обязательных профессиональных пенсионных взносов в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ЕНПФ вкладчику обязательных пенсионных взносов, физическому лицу, за которое перечисляются обязательные профессиональные пенсионные взносы, или получателю пенсионных выплат информации о состоянии пенсионных накоплений осуществляется без взимания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состоянии пенсионных накоплений за счет обязательных пенсионных взносов и (или) обязательных профессиональных пенсионных взносов, в том числе в рамках ежегодного информирования, предоставляемая ЕНПФ вкладчику обязательных пенсионных взносов, физическому лицу, за которое перечисляются обязательные профессиональные пенсионные взносы, или получателю пенсионных выплат, включает сведения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сумме пенсионных накоплений по состоянию на начало и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сумме начисленного инвестиционного дохода по состоянию на начало и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величине комиссионного вознаграждения от инвестиционного дохода и пенсионных активов, утвержденной правлением Национального Банка Республики Казахстан и действующей на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сумме пенсионных взносов, пени, переводов, выплат пенсионных накоплений и (или) удержанного индивидуального подоходного налога с указанием дат в течение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иных операций, отражающихся на индивидуальном пенсионном счете по учету обязательных пенсионных взносов или обязательных профессиональных пенсионных взносов, с указанием дат в течение запрашиваемого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осуществляется ЕНПФ одним из нижеуказанных способов, выбранных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электронным – отправка сообщения на электронный адрес (e-mail) вкладчика обязательных пенсионных взносов, физического лица, за которое перечисляются обязательные профессиональные пенсионные взносы, указанный в заявлении об открытии индивидуального пенсионного счета по учету обязательных пенсионных взносов и (или) обязательных профессиональных пенсионных взносов или отдельном соглашении, форма которого определяется в соответствии с внутренними документами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непосредственно в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личном обращении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посредством интернета с использованием электронной цифровой подписи или присвоенного логина пользователя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услуг почтовой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Ежегодное обязательное информирование вкладчика обязательных пенсионных взносов или получателя пенсионных выплат за счет обязательных пенсионных взносов о состоянии пенсионных накоплений за истекший год по договорам о пенсионном обеспечении за счет обязательных пенсионных взносов, заключенным до утверждения настоящих Правил, осуществляется ЕНПФ способом, указанным в электронных форматах, переданных ЕНПФ в порядке, установленном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организаций, за исключением информирования посредством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 передачи ЕНПФ информации о состоянии пенсионных накоплений за счет обязательных пенсионных взносов и (или) обязательных профессиональных пенсионных взносов определяется по соглашению с вкладчиком обязательных пенсионных взносов, физическим лицом, за которое перечисляются обязательные профессиональные пенсионные взносы, в рамках заявления об открытии индивидуального пенсионного счета по учету обязательных пенсионных взносов и (или)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способа информирования о состоянии пенсионных накоплений за счет обязательных пенсионных взносов и (или) обязательных профессиональных пенсионных взносов, новый способ информирования определяется отдельным соглашением, форма которого определяется в соответствии с внутренними документами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способе передачи информации о состоянии пенсионных накоплений за счет обязательных пенсионных взносов либо, если передача определена способом, предусматривающим оповещение посредством платежной карточки, предоставление информации о состоянии пенсионных накоплений за счет обязательных пенсионных взносов за истекший год осуществляется при личном обращении вкладчика обязательных пенсионных взносов или получателя пенсионных выплат за счет обязательных пенсионных взносов непосредственно в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Ежегодное обязательное информирование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о состоянии их пенсионных накоплений не осуществляется ЕНПФ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денег на индивидуальном пенсионном счете по учету обязательных пенсионных взносов и (или) обязательных профессиональных пенсионных взносов по состоянию на 1 января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неуведомления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ЕНПФ об изменении места жительства, установленного в результате возврата в ЕНПФ информации о состоянии пенсионных накоплений за счет обязательных пенсионных взносов и (или) обязательных профессиональных пенсионных взносов за предыдущий год с отметкой "адресат по указанному адресу не проживает".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уведомления вкладчиком обязательных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взносов, физическим лицом, за которое перечисляются</w:t>
      </w:r>
      <w:r>
        <w:br/>
      </w:r>
      <w:r>
        <w:rPr>
          <w:rFonts w:ascii="Times New Roman"/>
          <w:b/>
          <w:i w:val="false"/>
          <w:color w:val="000000"/>
        </w:rPr>
        <w:t>обязательные профессиональные пенсионные взносы, или</w:t>
      </w:r>
      <w:r>
        <w:br/>
      </w:r>
      <w:r>
        <w:rPr>
          <w:rFonts w:ascii="Times New Roman"/>
          <w:b/>
          <w:i w:val="false"/>
          <w:color w:val="000000"/>
        </w:rPr>
        <w:t>получателем пенсионных выплат обо всех изменениях, влияющих на</w:t>
      </w:r>
      <w:r>
        <w:br/>
      </w:r>
      <w:r>
        <w:rPr>
          <w:rFonts w:ascii="Times New Roman"/>
          <w:b/>
          <w:i w:val="false"/>
          <w:color w:val="000000"/>
        </w:rPr>
        <w:t>выполнение обязательств ЕНПФ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Вкладчик обязательных пенсионных взносов, физическое лицо, за которое перечисляются обязательные профессиональные пенсионные взносы, или получатель пенсионных выплат обязаны уведомить ЕНПФ обо всех изменениях, влияющих на выполнение обязательств ЕНПФ, в течение десяти календарных дней с даты таких изменений. К изменениям, влияющим на выполнение обязательств ЕНПФ,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адреса места жительства, электронного адреса (e-mail) вкладчика обязательных пенсионных взносов, физического лица, за которое перечисляются обязательные профессиональные пенсионные взносы, указанных в заявлении об открытии индивидуального пенсионного счета по учету обязательных пенсионных взносов и (или) обязательных профессиональных пенсионных взносов или договоре о пенсионном обеспечении за счет обязательных пенсионных взносов, в случае, если договор о пенсионном обеспечении за счет обязательных пенсионных взносов заключен до утверждения настоящих Правил, либо отдельном заявлении, форма которого определяется в соответствии с внутренними документами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банковских реквизитов получателя пенсионных выплат, указанных в заявлении о назначении пенсионных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Вкладчик обязательных пенсионных взносов, физическое лицо, за которое перечисляются обязательные профессиональные пенсионные взносы, или получатель пенсионных выплат в целях изменения данных, указанных в пункте 21 настоящих Правил, обращается в ЕНПФ с документом, удостоверяющим личность, заявлением об изменении адресных данных, заявлением на изменение реквизитов банковского счета или новым заявлением о назначении пенсионных выплат, в которых указаны актуальные данные, формы которых определяются в соответствии с внутренними документами ЕНПФ.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ЕНПФ обращений по вопросам пенсионного обеспечения осуществляется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Настоящие Правила, изменения и дополнения к ним, а также обновленная редакция настоящих Правил размещаются на интернет-ресурсе ЕНПФ и филиалах ЕНПФ в доступном для обозрения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Договоры о пенсионном обеспечении за счет обязательных пенсионных взносов, заключенные вкладчиками обязательных пенсионных взносов (получателями пенсионных выплат за счет обязательных пенсионных взносов)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действуют в части, не противоречащей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Вкладчики обязательных пенсионных взносов (получатели пенсионных выплат за счет обязательных пенсионных взносов), заключившие договоры о пенсионном обеспечении за счет обязательных пенсионных взносов до утверждения настоящих Правил, считаются присоединившимися к договору присоединения со дня открытия индивидуального пенсионного счета по учету обязательных пенсионных взносов в ЕНПФ.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Пенсионным правилам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Пенсионным правилам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148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