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cd144" w14:textId="16cd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w:t>
      </w:r>
    </w:p>
    <w:p>
      <w:pPr>
        <w:spacing w:after="0"/>
        <w:ind w:left="0"/>
        <w:jc w:val="both"/>
      </w:pPr>
      <w:r>
        <w:rPr>
          <w:rFonts w:ascii="Times New Roman"/>
          <w:b w:val="false"/>
          <w:i w:val="false"/>
          <w:color w:val="000000"/>
          <w:sz w:val="28"/>
        </w:rPr>
        <w:t>Постановление Правительства Республики Казахстан от 13 октября 2015 года № 823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о введении единых форм паспорта транспортного средства (паспорта шасси транспортного средства) и паспорту самоходной машины и других видов техники и организации систем электронных паспортов».</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о введении единых форм паспорта</w:t>
      </w:r>
      <w:r>
        <w:br/>
      </w:r>
      <w:r>
        <w:rPr>
          <w:rFonts w:ascii="Times New Roman"/>
          <w:b/>
          <w:i w:val="false"/>
          <w:color w:val="000000"/>
        </w:rPr>
        <w:t>
транспортного средства (паспорта шасси транспортного средства)</w:t>
      </w:r>
      <w:r>
        <w:br/>
      </w:r>
      <w:r>
        <w:rPr>
          <w:rFonts w:ascii="Times New Roman"/>
          <w:b/>
          <w:i w:val="false"/>
          <w:color w:val="000000"/>
        </w:rPr>
        <w:t>
и паспорта самоходной машины и других видов техники и</w:t>
      </w:r>
      <w:r>
        <w:br/>
      </w:r>
      <w:r>
        <w:rPr>
          <w:rFonts w:ascii="Times New Roman"/>
          <w:b/>
          <w:i w:val="false"/>
          <w:color w:val="000000"/>
        </w:rPr>
        <w:t>
организации систем электронных паспортов</w:t>
      </w:r>
    </w:p>
    <w:p>
      <w:pPr>
        <w:spacing w:after="0"/>
        <w:ind w:left="0"/>
        <w:jc w:val="both"/>
      </w:pPr>
      <w:r>
        <w:rPr>
          <w:rFonts w:ascii="Times New Roman"/>
          <w:b w:val="false"/>
          <w:i w:val="false"/>
          <w:color w:val="000000"/>
          <w:sz w:val="28"/>
        </w:rPr>
        <w:t>      Ратифицировать Соглашение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совершенное в Москве 15 августа 2014 года, со следующей оговоркой: «Действие настоящего Соглашения не распространяется на транспортные средства, самоходные машины и другие виды техники Вооруженных Сил, других войск и воинских формирований Республики Казахстан и транспортные средства специальных государственных органов Республики Казахстан».</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о введении единых форм паспорта транспортного средства</w:t>
      </w:r>
      <w:r>
        <w:br/>
      </w:r>
      <w:r>
        <w:rPr>
          <w:rFonts w:ascii="Times New Roman"/>
          <w:b/>
          <w:i w:val="false"/>
          <w:color w:val="000000"/>
        </w:rPr>
        <w:t>
(паспорта шасси транспортного средства) и паспорта</w:t>
      </w:r>
      <w:r>
        <w:br/>
      </w:r>
      <w:r>
        <w:rPr>
          <w:rFonts w:ascii="Times New Roman"/>
          <w:b/>
          <w:i w:val="false"/>
          <w:color w:val="000000"/>
        </w:rPr>
        <w:t>
самоходной машины и других видов техники и организации</w:t>
      </w:r>
      <w:r>
        <w:br/>
      </w:r>
      <w:r>
        <w:rPr>
          <w:rFonts w:ascii="Times New Roman"/>
          <w:b/>
          <w:i w:val="false"/>
          <w:color w:val="000000"/>
        </w:rPr>
        <w:t>
систем электронных паспортов</w:t>
      </w:r>
    </w:p>
    <w:p>
      <w:pPr>
        <w:spacing w:after="0"/>
        <w:ind w:left="0"/>
        <w:jc w:val="both"/>
      </w:pPr>
      <w:r>
        <w:rPr>
          <w:rFonts w:ascii="Times New Roman"/>
          <w:b w:val="false"/>
          <w:i w:val="false"/>
          <w:color w:val="000000"/>
          <w:sz w:val="28"/>
        </w:rPr>
        <w:t>      Правительства государств - членов Таможенного союза в рамках Евразийского экономического сообщества, именуемые в дальнейшем Сторонами, основываясь на </w:t>
      </w:r>
      <w:r>
        <w:rPr>
          <w:rFonts w:ascii="Times New Roman"/>
          <w:b w:val="false"/>
          <w:i w:val="false"/>
          <w:color w:val="000000"/>
          <w:sz w:val="28"/>
        </w:rPr>
        <w:t>Договоре</w:t>
      </w:r>
      <w:r>
        <w:rPr>
          <w:rFonts w:ascii="Times New Roman"/>
          <w:b w:val="false"/>
          <w:i w:val="false"/>
          <w:color w:val="000000"/>
          <w:sz w:val="28"/>
        </w:rPr>
        <w:t xml:space="preserve"> об учреждении Евразийского экономического сообщества от 10 октября 2000 года,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w:t>
      </w:r>
      <w:r>
        <w:rPr>
          <w:rFonts w:ascii="Times New Roman"/>
          <w:b w:val="false"/>
          <w:i w:val="false"/>
          <w:color w:val="000000"/>
          <w:sz w:val="28"/>
        </w:rPr>
        <w:t>Договоре</w:t>
      </w:r>
      <w:r>
        <w:rPr>
          <w:rFonts w:ascii="Times New Roman"/>
          <w:b w:val="false"/>
          <w:i w:val="false"/>
          <w:color w:val="000000"/>
          <w:sz w:val="28"/>
        </w:rPr>
        <w:t xml:space="preserve"> о Евразийской экономической комиссии от 18 ноября 2011 года,</w:t>
      </w:r>
      <w:r>
        <w:br/>
      </w:r>
      <w:r>
        <w:rPr>
          <w:rFonts w:ascii="Times New Roman"/>
          <w:b w:val="false"/>
          <w:i w:val="false"/>
          <w:color w:val="000000"/>
          <w:sz w:val="28"/>
        </w:rPr>
        <w:t>
      в целях создания условий для обеспечения свободного обращения транспортных средств (шасси транспортных средств), самоходных машин и других видов техники на единой таможенной территории Таможенного союза и определения порядка оформления паспортов транспортных средств (паспортов шасси транспортных средств) и паспортов самоходных машин и других видов техники по единым формам</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Настоящее Соглашение регулирует следующие вопросы:</w:t>
      </w:r>
      <w:r>
        <w:br/>
      </w:r>
      <w:r>
        <w:rPr>
          <w:rFonts w:ascii="Times New Roman"/>
          <w:b w:val="false"/>
          <w:i w:val="false"/>
          <w:color w:val="000000"/>
          <w:sz w:val="28"/>
        </w:rPr>
        <w:t>
      применение единых форм паспорта транспортного средства (паспорта шасси транспортного средства) и паспорта самоходной машины и других видов техники, выдаваемых на транспортные средства (шасси транспортных средств), самоходные машины и другие виды техники, произведенные на территориях государств Сторон и подлежащие регистрации на территориях государств Сторон;</w:t>
      </w:r>
      <w:r>
        <w:br/>
      </w:r>
      <w:r>
        <w:rPr>
          <w:rFonts w:ascii="Times New Roman"/>
          <w:b w:val="false"/>
          <w:i w:val="false"/>
          <w:color w:val="000000"/>
          <w:sz w:val="28"/>
        </w:rPr>
        <w:t>
      применение электронных паспортов транспортных средств (паспортов шасси транспортных средств) и электронных паспортов самоходных машин и других видов техники, оформляемых на транспортные средства (шасси транспортных средств), самоходные машины и другие виды техники, подлежащие государственной регистрации на территориях государств Сторон.</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Используемые в настоящем Соглашении термины означают следующее:</w:t>
      </w:r>
      <w:r>
        <w:br/>
      </w:r>
      <w:r>
        <w:rPr>
          <w:rFonts w:ascii="Times New Roman"/>
          <w:b w:val="false"/>
          <w:i w:val="false"/>
          <w:color w:val="000000"/>
          <w:sz w:val="28"/>
        </w:rPr>
        <w:t>
      «администратор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 организация, на которую возложена функция координации действий по проектированию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включая ввод в эксплуатацию, эксплуатацию, оптимизацию производительности, обеспечение и контроль доступа, обеспечение безопасности, отслеживание вопросов технического обеспечения этих систем, взаимодействие с участниками систем и органами власти, включение в эти системы новых участников, а также инициирование мер, необходимых для гармонизации законодательства государств Сторон в области функций этих систем;</w:t>
      </w:r>
      <w:r>
        <w:br/>
      </w:r>
      <w:r>
        <w:rPr>
          <w:rFonts w:ascii="Times New Roman"/>
          <w:b w:val="false"/>
          <w:i w:val="false"/>
          <w:color w:val="000000"/>
          <w:sz w:val="28"/>
        </w:rPr>
        <w:t>
      «паспорт самоходной машины и других видов техники» - паспорт, выдаваемый на имеющие двигатель внутреннего сгорания с рабочим объемом свыше 50 куб. см или электродвигатель (ли) максимальной (суммарной) мощностью более 4 кВт тракторы, самоходные дорожно-строительные, коммунальные, сельскохозяйственные машины и другие наземные безрельсовые механические транспортные средства (за исключением предназначенных для движения по автомобильным дорогам общего пользования автомототранспортных средств, имеющих максимальную конструктивную скорость более 50 км/час) и прицепы к ним;</w:t>
      </w:r>
      <w:r>
        <w:br/>
      </w:r>
      <w:r>
        <w:rPr>
          <w:rFonts w:ascii="Times New Roman"/>
          <w:b w:val="false"/>
          <w:i w:val="false"/>
          <w:color w:val="000000"/>
          <w:sz w:val="28"/>
        </w:rPr>
        <w:t>
      «паспорт транспортного средства (паспорт шасси транспортного средства)» - паспорт, выдаваемый на предназначенные для движения по автомобильным дорогам общего пользования автомототранспортные средства, имеющие двигатель внутреннего сгорания с рабочим объемом свыше 50 куб. см или электродвигатель(ли) максимальной (суммарной) мощностью более 4 кВт и (или) максимальную конструктивную скорость более 50 км/ч, и прицепы к ним (паспорт, выдаваемый на шасси транспортного средства в случае поставки шасси их потребителям);</w:t>
      </w:r>
      <w:r>
        <w:br/>
      </w:r>
      <w:r>
        <w:rPr>
          <w:rFonts w:ascii="Times New Roman"/>
          <w:b w:val="false"/>
          <w:i w:val="false"/>
          <w:color w:val="000000"/>
          <w:sz w:val="28"/>
        </w:rPr>
        <w:t>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 структурированные комплексы, включающие вычислительное и коммуникационное оборудование, программное обеспечение, лингвистические средства, информационные ресурсы, системный персонал и взаимодействующих по установленным в этих системах правилам участников и пользователей, а также реализующие информационную технологию выполнения установленных функций этих систем;</w:t>
      </w:r>
      <w:r>
        <w:br/>
      </w:r>
      <w:r>
        <w:rPr>
          <w:rFonts w:ascii="Times New Roman"/>
          <w:b w:val="false"/>
          <w:i w:val="false"/>
          <w:color w:val="000000"/>
          <w:sz w:val="28"/>
        </w:rPr>
        <w:t>
      «электронный паспорт самоходной машины и других видов техники»  - паспорт самоходной машины и других видов техники, оформленный в системе электронных паспортов самоходных машин и других видов техники в порядке, установленном в соответствии с настоящим Соглашением;</w:t>
      </w:r>
      <w:r>
        <w:br/>
      </w:r>
      <w:r>
        <w:rPr>
          <w:rFonts w:ascii="Times New Roman"/>
          <w:b w:val="false"/>
          <w:i w:val="false"/>
          <w:color w:val="000000"/>
          <w:sz w:val="28"/>
        </w:rPr>
        <w:t>
      «электронный паспорт транспортного средства (паспорт шасси транспортного средства) - паспорт транспортного средства (паспорт шасси транспортного средства), оформленный в системе электронных паспортов транспортных средств (паспортов шасси транспортных средств) в порядке, установленном в соответствии с настоящим Соглашением.</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Порядок функционирования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определяется Евразийской экономической комиссией.</w:t>
      </w:r>
      <w:r>
        <w:br/>
      </w:r>
      <w:r>
        <w:rPr>
          <w:rFonts w:ascii="Times New Roman"/>
          <w:b w:val="false"/>
          <w:i w:val="false"/>
          <w:color w:val="000000"/>
          <w:sz w:val="28"/>
        </w:rPr>
        <w:t>
      Правила оформления, структура и формат электронных паспортов транспортных средств (паспортов шасси транспортных средств) и электронных паспортов самоходных машин и других видов техники утверждаются Евразийской экономической комиссией.</w:t>
      </w:r>
      <w:r>
        <w:br/>
      </w:r>
      <w:r>
        <w:rPr>
          <w:rFonts w:ascii="Times New Roman"/>
          <w:b w:val="false"/>
          <w:i w:val="false"/>
          <w:color w:val="000000"/>
          <w:sz w:val="28"/>
        </w:rPr>
        <w:t>
      До введения в действие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применяются единые формы паспорта транспортного средства (паспорта шасси транспортного средства) и паспорта самоходной машины и других видов техники.</w:t>
      </w:r>
      <w:r>
        <w:br/>
      </w:r>
      <w:r>
        <w:rPr>
          <w:rFonts w:ascii="Times New Roman"/>
          <w:b w:val="false"/>
          <w:i w:val="false"/>
          <w:color w:val="000000"/>
          <w:sz w:val="28"/>
        </w:rPr>
        <w:t>
      Основные требования к единым формам паспорта транспортного средства (паспорта шасси транспортного средства) и паспорта самоходной машины и других видов техники, порядок их заполнения и порядок обмена сведениями о бланках паспортов транспортных средств (паспортов шасси транспортных средств) и паспортов самоходных машин и других видов техники, а также сроки начала их применения, утверждаются Евразийской экономической комиссией.</w:t>
      </w:r>
      <w:r>
        <w:br/>
      </w:r>
      <w:r>
        <w:rPr>
          <w:rFonts w:ascii="Times New Roman"/>
          <w:b w:val="false"/>
          <w:i w:val="false"/>
          <w:color w:val="000000"/>
          <w:sz w:val="28"/>
        </w:rPr>
        <w:t>
      При заполнении единых форм паспорта транспортного средства (паспорта шасси транспортного средства) и паспорта самоходной машины и других видов техники в строке «Особые отметки» указывается государство - член Таможенного союза, на территории которого конкретное транспортное средство (шасси транспортного средства), самоходная машина или другой вид техники предназначены для первичного обращения при подтвержденном соответствии требованиям, установленным в этом государстве - члене Таможенного союза.</w:t>
      </w:r>
      <w:r>
        <w:br/>
      </w:r>
      <w:r>
        <w:rPr>
          <w:rFonts w:ascii="Times New Roman"/>
          <w:b w:val="false"/>
          <w:i w:val="false"/>
          <w:color w:val="000000"/>
          <w:sz w:val="28"/>
        </w:rPr>
        <w:t>
      До начала применения единых форм паспорта транспортного средства (паспорта шасси транспортного средства) и паспорта самоходной машины и других видов техники паспорта транспортных средств (паспорта шасси транспортных средств) оформляются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настоящего Соглашения.</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В целях реализации настоящего Соглашения формируется Единый реестр уполномоченных органов (организаций) государств - членов Таможенного союза и организаций-изготовителей транспортных средств (шасси транспортных средств), самоходных машин и других видов техники, осуществляющих оформление паспортов транспортных средств (паспортов шасси транспортных средств) и паспортов самоходных машин и других видов техники, в том числе оформление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Единый реестр).</w:t>
      </w:r>
      <w:r>
        <w:br/>
      </w:r>
      <w:r>
        <w:rPr>
          <w:rFonts w:ascii="Times New Roman"/>
          <w:b w:val="false"/>
          <w:i w:val="false"/>
          <w:color w:val="000000"/>
          <w:sz w:val="28"/>
        </w:rPr>
        <w:t>
      Порядок формирования и ведения Единого реестра утверждается Евразийской экономической комиссией.</w:t>
      </w:r>
      <w:r>
        <w:br/>
      </w:r>
      <w:r>
        <w:rPr>
          <w:rFonts w:ascii="Times New Roman"/>
          <w:b w:val="false"/>
          <w:i w:val="false"/>
          <w:color w:val="000000"/>
          <w:sz w:val="28"/>
        </w:rPr>
        <w:t>
      Формирование и ведение Единого реестра осуществляет Евразийская экономическая комиссия.</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До начала применения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паспорта транспортных средств (паспорта шасси транспортных средств) и паспорта самоходных машин и других видов техники оформляются организациями-изготовителями транспортных средств (шасси транспортных средств), самоходных машин и других видов техники (далее - организации-изготовители), включенными в Единый реестр, на произведенные ими транспортные средства (шасси транспортных средств), самоходные машины и другие виды техники.</w:t>
      </w:r>
      <w:r>
        <w:br/>
      </w:r>
      <w:r>
        <w:rPr>
          <w:rFonts w:ascii="Times New Roman"/>
          <w:b w:val="false"/>
          <w:i w:val="false"/>
          <w:color w:val="000000"/>
          <w:sz w:val="28"/>
        </w:rPr>
        <w:t>
      До начала применения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паспорта транспортных средств (паспорта шасси транспортных средств) и паспорта самоходных машин и других видов техники в случаях, предусмотренных законодательством государств Сторон, оформляются также уполномоченными органами (организациями) государств Сторон.</w:t>
      </w:r>
      <w:r>
        <w:br/>
      </w:r>
      <w:r>
        <w:rPr>
          <w:rFonts w:ascii="Times New Roman"/>
          <w:b w:val="false"/>
          <w:i w:val="false"/>
          <w:color w:val="000000"/>
          <w:sz w:val="28"/>
        </w:rPr>
        <w:t>
      Электронные паспорта транспортных средств (паспорта шасси транспортных средств) и электронные паспорта самоходных машин и других видов техники оформляются с 1 июля 2015 года уполномоченными органами (организациями) государств Сторон и организациями-изготовителями, включенными в Единый реестр, в порядке, утверждаемом Евразийской экономической комиссией.</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Органы (организации), устанавливаемые Сторонами, определяют требования к элементам защиты паспорта транспортного средства (паспорта шасси транспортного средства) и паспорта самоходной машины и других видов техники в соответствии с основными требованиями к единым формам паспорта транспортного средства (паспорта шасси транспортного средства) и паспорта самоходной машины и других видов техники и доводят их до сведения органов государств Сторон, осуществляющих государственную регистрацию транспортных средств, органов государств Сторон, осуществляющих государственную регистрацию самоходных машин и других видов техники.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обеспечивают поддержку единой динамической информационной модели процесса оформления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и реализуют информационную технологию выполнения установленных функций для удовлетворения информационных потребностей участников этих систем. Посредством указанных систем обеспечиваются единство информационного поля, единый контроль доступа, единые мероприятия по обеспечению безопасности, целостности и достоверности данных, организуются централизованное взаимодействие с участниками этих систем и органами власти, инициация дополнительных мер, необходимых для гармонизации законодательства государств Сторон на этапе оформления электронных паспортов транспортных средств (паспортов шасси транспортных средств) и электронных паспортов самоходных машин и других видов техники, единый контроль за исполнением взаимно признаваемых Сторонами обязательных требований технических регламентов, а также централизованная проверка достоверности информации, централизованный мониторинг обеспечения единства обязательных требований Сторон и применения единых форм и правил оценки соответствия транспортных средств (шасси транспортных средств), самоходных машин и других видов техники.</w:t>
      </w:r>
      <w:r>
        <w:br/>
      </w:r>
      <w:r>
        <w:rPr>
          <w:rFonts w:ascii="Times New Roman"/>
          <w:b w:val="false"/>
          <w:i w:val="false"/>
          <w:color w:val="000000"/>
          <w:sz w:val="28"/>
        </w:rPr>
        <w:t>
      Евразийская экономическая комиссия определяет организацию одного из государств Сторон в качестве администратора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До начала применения единых форм паспорта транспортного средства (паспорта шасси транспортного средства) и паспорта самоходной машины и других видов техники уполномоченные органы Республики Беларусь и Республики Казахстан, определяемые Сторонами, обеспечиваются уполномоченным органом Российской Федерации в порядке, определяемом Российской Стороной, необходимым количеством бланков паспортов транспортных средств (паспортов шасси транспортных средств) Российской Федерации для поставки транспортных средств (шасси транспортных средств) в Российскую Федерацию в соответствии с заявками уполномоченных органов Республики Беларусь и Республики Казахстан.</w:t>
      </w:r>
      <w:r>
        <w:br/>
      </w:r>
      <w:r>
        <w:rPr>
          <w:rFonts w:ascii="Times New Roman"/>
          <w:b w:val="false"/>
          <w:i w:val="false"/>
          <w:color w:val="000000"/>
          <w:sz w:val="28"/>
        </w:rPr>
        <w:t>
      Условием оформления паспорта транспортного средства (паспорта шасси транспортного средства) Российской Федерации является наличие одобрения типа транспортного средства или одобрения типа шасси транспортного средства, подтверждающего соответствие транспортного средства или шасси транспортного средства требованиям законодательства Российской Федерации в области технического регулирования колесных транспортных средств.</w:t>
      </w:r>
      <w:r>
        <w:br/>
      </w:r>
      <w:r>
        <w:rPr>
          <w:rFonts w:ascii="Times New Roman"/>
          <w:b w:val="false"/>
          <w:i w:val="false"/>
          <w:color w:val="000000"/>
          <w:sz w:val="28"/>
        </w:rPr>
        <w:t>
      Заполнение бланка паспорта транспортного средства (паспорта шасси транспортного средства) Российской Федерации осуществляется организациями-изготовителями Республики Беларусь и Республики Казахстан в порядке, определяемом уполномоченным органом Российской Федерации.</w:t>
      </w:r>
      <w:r>
        <w:br/>
      </w:r>
      <w:r>
        <w:rPr>
          <w:rFonts w:ascii="Times New Roman"/>
          <w:b w:val="false"/>
          <w:i w:val="false"/>
          <w:color w:val="000000"/>
          <w:sz w:val="28"/>
        </w:rPr>
        <w:t>
      Учет и контроль использования бланков паспортов транспортных средств (паспортов шасси транспортных средств) Российской Федерации осуществляют уполномоченные органы государств Сторон. Порядок осуществления обмена сведениями об использовании бланков паспортов транспортных средств (паспортов шасси транспортных средств) Российской Федерации согласовывается уполномоченными органами государств Сторон.</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Соглашения, разрешаются путем проведения консультаций и переговоров.</w:t>
      </w:r>
      <w:r>
        <w:br/>
      </w:r>
      <w:r>
        <w:rPr>
          <w:rFonts w:ascii="Times New Roman"/>
          <w:b w:val="false"/>
          <w:i w:val="false"/>
          <w:color w:val="000000"/>
          <w:sz w:val="28"/>
        </w:rPr>
        <w:t>
      Если спор не будет урегулирован Сторонами в течение 6 месяцев с даты поступления официальной письменной просьбы о проведении консультаций и переговоров, направленной одной из Сторон другой Стороне, то при отсутствии другой договоренности между Сторонами относительно способа разрешения спора любая из Сторон передает этот спор для рассмотрения в Суд Евразийского экономического сообщества.</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По договоренности Сторон в настоящее Соглашение могут быть внесены изменения, которые оформляются отдельными протоколами.</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Настоящее Соглашение подлежит ратификации и временно применяется по истечении 60 дней с даты подписания и вступает в силу по истечении 5 календарных дней после дня получения депозитарием по дипломатическим каналам последнего письменного уведомления о выполнении государствами Сторон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каждой Стороне заверенную копию.</w:t>
      </w:r>
    </w:p>
    <w:p>
      <w:pPr>
        <w:spacing w:after="0"/>
        <w:ind w:left="0"/>
        <w:jc w:val="both"/>
      </w:pPr>
      <w:r>
        <w:rPr>
          <w:rFonts w:ascii="Times New Roman"/>
          <w:b w:val="false"/>
          <w:i w:val="false"/>
          <w:color w:val="000000"/>
          <w:sz w:val="28"/>
        </w:rPr>
        <w:t>      Совершено в городе Москве 15 августа 2014 года в одном подлинном экземпляре на русском языке.</w:t>
      </w:r>
    </w:p>
    <w:tbl>
      <w:tblPr>
        <w:tblW w:w="0" w:type="auto"/>
        <w:tblCellSpacing w:w="0" w:type="auto"/>
        <w:tblBorders>
          <w:top w:val="none"/>
          <w:left w:val="none"/>
          <w:bottom w:val="none"/>
          <w:right w:val="none"/>
          <w:insideH w:val="none"/>
          <w:insideV w:val="none"/>
        </w:tblBorders>
      </w:tblPr>
      <w:tblGrid>
        <w:gridCol w:w="4666"/>
        <w:gridCol w:w="4667"/>
        <w:gridCol w:w="4667"/>
      </w:tblGrid>
      <w:tr>
        <w:trPr>
          <w:trHeight w:val="30" w:hRule="atLeast"/>
        </w:trPr>
        <w:tc>
          <w:tcPr>
            <w:tcW w:w="466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Республики</w:t>
            </w:r>
            <w:r>
              <w:br/>
            </w:r>
            <w:r>
              <w:rPr>
                <w:rFonts w:ascii="Times New Roman"/>
                <w:b/>
                <w:i w:val="false"/>
                <w:color w:val="000000"/>
                <w:sz w:val="20"/>
              </w:rPr>
              <w:t>
Беларусь
</w:t>
            </w:r>
          </w:p>
        </w:tc>
        <w:tc>
          <w:tcPr>
            <w:tcW w:w="46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Республики</w:t>
            </w:r>
            <w:r>
              <w:br/>
            </w:r>
            <w:r>
              <w:rPr>
                <w:rFonts w:ascii="Times New Roman"/>
                <w:b/>
                <w:i w:val="false"/>
                <w:color w:val="000000"/>
                <w:sz w:val="20"/>
              </w:rPr>
              <w:t>
Казахстан
</w:t>
            </w:r>
          </w:p>
        </w:tc>
        <w:tc>
          <w:tcPr>
            <w:tcW w:w="466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 Правительство</w:t>
            </w:r>
            <w:r>
              <w:br/>
            </w:r>
            <w:r>
              <w:rPr>
                <w:rFonts w:ascii="Times New Roman"/>
                <w:b/>
                <w:i w:val="false"/>
                <w:color w:val="000000"/>
                <w:sz w:val="20"/>
              </w:rPr>
              <w:t>
Российской</w:t>
            </w:r>
            <w:r>
              <w:br/>
            </w:r>
            <w:r>
              <w:rPr>
                <w:rFonts w:ascii="Times New Roman"/>
                <w:b/>
                <w:i w:val="false"/>
                <w:color w:val="000000"/>
                <w:sz w:val="20"/>
              </w:rPr>
              <w:t>
Федерации
</w:t>
            </w:r>
          </w:p>
        </w:tc>
      </w:tr>
    </w:tbl>
    <w:p>
      <w:pPr>
        <w:spacing w:after="0"/>
        <w:ind w:left="0"/>
        <w:jc w:val="both"/>
      </w:pPr>
      <w:r>
        <w:rPr>
          <w:rFonts w:ascii="Times New Roman"/>
          <w:b w:val="false"/>
          <w:i w:val="false"/>
          <w:color w:val="000000"/>
          <w:sz w:val="28"/>
        </w:rPr>
        <w:t>      Настоящим удостоверяю, что данный текст является полной и аутентичной копией Соглашения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подписанного 15 августа 2014 года в г. Москве:</w:t>
      </w:r>
      <w:r>
        <w:br/>
      </w:r>
      <w:r>
        <w:rPr>
          <w:rFonts w:ascii="Times New Roman"/>
          <w:b w:val="false"/>
          <w:i w:val="false"/>
          <w:color w:val="000000"/>
          <w:sz w:val="28"/>
        </w:rPr>
        <w:t>
      за Правительство Республики Беларусь - Министром промышленности Республики Беларусь Д.С. Катериничем;</w:t>
      </w:r>
      <w:r>
        <w:br/>
      </w:r>
      <w:r>
        <w:rPr>
          <w:rFonts w:ascii="Times New Roman"/>
          <w:b w:val="false"/>
          <w:i w:val="false"/>
          <w:color w:val="000000"/>
          <w:sz w:val="28"/>
        </w:rPr>
        <w:t>
      за Правительство Республики Казахстан - Первым вице-премьером Республики Казахстан Б.А. Сагинтаевым;</w:t>
      </w:r>
      <w:r>
        <w:br/>
      </w:r>
      <w:r>
        <w:rPr>
          <w:rFonts w:ascii="Times New Roman"/>
          <w:b w:val="false"/>
          <w:i w:val="false"/>
          <w:color w:val="000000"/>
          <w:sz w:val="28"/>
        </w:rPr>
        <w:t>
      за Правительство Российской Федерации - Первым заместителем Председателя Правительства Российской Федерации И.И. Шуваловым.</w:t>
      </w:r>
    </w:p>
    <w:p>
      <w:pPr>
        <w:spacing w:after="0"/>
        <w:ind w:left="0"/>
        <w:jc w:val="both"/>
      </w:pPr>
      <w:r>
        <w:rPr>
          <w:rFonts w:ascii="Times New Roman"/>
          <w:b w:val="false"/>
          <w:i w:val="false"/>
          <w:color w:val="000000"/>
          <w:sz w:val="28"/>
        </w:rPr>
        <w:t>      Подлинный экземпляр хранится в Евразийской экономической комиссии.</w:t>
      </w:r>
    </w:p>
    <w:p>
      <w:pPr>
        <w:spacing w:after="0"/>
        <w:ind w:left="0"/>
        <w:jc w:val="both"/>
      </w:pPr>
      <w:r>
        <w:rPr>
          <w:rFonts w:ascii="Times New Roman"/>
          <w:b w:val="false"/>
          <w:i w:val="false"/>
          <w:color w:val="000000"/>
          <w:sz w:val="28"/>
        </w:rPr>
        <w:t>Всего прошнуровано, скреплено</w:t>
      </w:r>
      <w:r>
        <w:br/>
      </w:r>
      <w:r>
        <w:rPr>
          <w:rFonts w:ascii="Times New Roman"/>
          <w:b w:val="false"/>
          <w:i w:val="false"/>
          <w:color w:val="000000"/>
          <w:sz w:val="28"/>
        </w:rPr>
        <w:t xml:space="preserve">
подписью и печатью     </w:t>
      </w:r>
      <w:r>
        <w:br/>
      </w:r>
      <w:r>
        <w:rPr>
          <w:rFonts w:ascii="Times New Roman"/>
          <w:b w:val="false"/>
          <w:i w:val="false"/>
          <w:color w:val="000000"/>
          <w:sz w:val="28"/>
        </w:rPr>
        <w:t xml:space="preserve">
11 листов копии      </w:t>
      </w:r>
    </w:p>
    <w:p>
      <w:pPr>
        <w:spacing w:after="0"/>
        <w:ind w:left="0"/>
        <w:jc w:val="both"/>
      </w:pPr>
      <w:r>
        <w:rPr>
          <w:rFonts w:ascii="Times New Roman"/>
          <w:b/>
          <w:i w:val="false"/>
          <w:color w:val="000000"/>
          <w:sz w:val="28"/>
        </w:rPr>
        <w:t>            Директор</w:t>
      </w:r>
      <w:r>
        <w:br/>
      </w:r>
      <w:r>
        <w:rPr>
          <w:rFonts w:ascii="Times New Roman"/>
          <w:b w:val="false"/>
          <w:i w:val="false"/>
          <w:color w:val="000000"/>
          <w:sz w:val="28"/>
        </w:rPr>
        <w:t>
</w:t>
      </w:r>
      <w:r>
        <w:rPr>
          <w:rFonts w:ascii="Times New Roman"/>
          <w:b/>
          <w:i w:val="false"/>
          <w:color w:val="000000"/>
          <w:sz w:val="28"/>
        </w:rPr>
        <w:t>      Правового департамента</w:t>
      </w:r>
      <w:r>
        <w:br/>
      </w:r>
      <w:r>
        <w:rPr>
          <w:rFonts w:ascii="Times New Roman"/>
          <w:b w:val="false"/>
          <w:i w:val="false"/>
          <w:color w:val="000000"/>
          <w:sz w:val="28"/>
        </w:rPr>
        <w:t>
</w:t>
      </w:r>
      <w:r>
        <w:rPr>
          <w:rFonts w:ascii="Times New Roman"/>
          <w:b/>
          <w:i w:val="false"/>
          <w:color w:val="000000"/>
          <w:sz w:val="28"/>
        </w:rPr>
        <w:t>Евразийской экономической комиссии                В.И. Тараскин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