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a16d" w14:textId="c2aa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29 октября 2014 года № 1145 "Об утверждении Правил добровольной возмездной сдачи огнестрельного бесствольного, газового оружия с возможностью стрельбы патронами травматического действия физическими лицами, имеющими соответствующее разрешение органов внутренних дел на хранение и ношение оружия"</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2015 года № 741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октября 2014 года № 1145 «Об утверждении Правил добровольной возмездной сдачи огнестрельного бесствольного, газового оружия с возможностью стрельбы патронами травматического действия физическими лицами, имеющими соответствующее разрешение органов внутренних дел на хранение и ношение оружия» (САПП Республики Казахстан, 2014 г., № 66 ст. 612)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добровольной возмездной сдачи огнестрельного бесствольного, газового оружия с возможностью стрельбы патронами травматического действия физическими лицами, имеющими соответствующее разрешение органов внутренних дел на хранение и ношение оружия, утвержденные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25 следующего содержания:</w:t>
      </w:r>
      <w:r>
        <w:br/>
      </w:r>
      <w:r>
        <w:rPr>
          <w:rFonts w:ascii="Times New Roman"/>
          <w:b w:val="false"/>
          <w:i w:val="false"/>
          <w:color w:val="000000"/>
          <w:sz w:val="28"/>
        </w:rPr>
        <w:t>
      «25. При добровольной сдаче физическим лицом зарегистрированного оружия, наименование которого не предусмотрено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комиссией устанавливаются размеры вознаграждения по средней стоимости одноименных моделей оружия, утвержденные указанным приложением. </w:t>
      </w:r>
      <w:r>
        <w:br/>
      </w:r>
      <w:r>
        <w:rPr>
          <w:rFonts w:ascii="Times New Roman"/>
          <w:b w:val="false"/>
          <w:i w:val="false"/>
          <w:color w:val="000000"/>
          <w:sz w:val="28"/>
        </w:rPr>
        <w:t>
      В случае сдачи оружия, наименование которого отсутствует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его стоимость определяется комиссией по стоимости оружия, технические характеристики которого  сходны с оружием, наименование которого указано в приложении 3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«Размеры вознаграждений за добровольно сданное оружие»:</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79, 80, 81, 82, 83, 84, 85, 86, 87, 88, 89, 90, 91, 92, 93, 94, 95, 96, 97, 98, 99, 100, 101, 102, 103, 104, 105, 106, 107, 108, 109, 110,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603"/>
        <w:gridCol w:w="2371"/>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 88», 10х22Т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«Форт-9Т», Рубер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«ФОРТ-10Т»,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«ФОРТ-18Т»,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«ФОРТ-18Р»,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«SHARK» Шарк-906, 9 мм 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«ПМ-ГТ», 9 мм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«ФОРТ-14ТМ», 9 мм 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«ФОРТ-14ТР»,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Black,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Nikel,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Fume,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9120, 9 мм Р.А. Rubber 291921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9130, 9 мм Р.А. Rubber 291922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9120, 9 мм Р.А..Rubber 191925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9130.3, 9 мм Р.А..Rubber 191926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9141.3, 9 мм Р.А..Rubber 191945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9120, 9 мм Р.А..Rubber 191920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9130, 9 мм Р.А..Rubber 191921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«ALFA STANILESS» 9141, 9 мм Р.А..Rubber 191922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 «Mod. «Cief f Cal.380ME Gum»380 MЕ Gum</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 38 Compact,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Walther PPT 10х22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RG-59,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RG-89, 9 мм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ZVI-WASP-R</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Carl-Walther РР, 10mm</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«ОСА», «ПБ-4»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«ОСА», «ПБ-4М»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EKOL FIRAT MAGNUM</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ПДТ-9Т «ЕСАУЛ»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124950</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