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02ecb" w14:textId="6302e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 июля 2014 года № 762 "Об утверждении форм, Правил и сроков формирования реестра требований кредиторов"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сентября 2015 года № 726. Утратило силу постановлением Правительства Республики Казахстан от 20 мая 2020 года № 308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20.05.2020 </w:t>
      </w:r>
      <w:r>
        <w:rPr>
          <w:rFonts w:ascii="Times New Roman"/>
          <w:b w:val="false"/>
          <w:i w:val="false"/>
          <w:color w:val="ff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762 "Об утверждении форм, Правил и сроков формирования реестра требований кредиторов" (САПП Республики Казахстан, 2014 г., № 45, ст. 442) следующие изменения и дополнение: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реестра требований кредиторов в процедуре банкротства, утвержденной указанным постановлением: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 "Вторая очередь"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6"/>
        <w:gridCol w:w="8216"/>
        <w:gridCol w:w="369"/>
        <w:gridCol w:w="369"/>
        <w:gridCol w:w="370"/>
        <w:gridCol w:w="370"/>
      </w:tblGrid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очередь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кредиторов по обязательству, обеспеченному залогом имущества банкрота, оформленным в соответствии с законодательством Республики Казахстан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кредиторов, возникшие в результате получения банкротным управляющим в период проведения процедуры банкротства кредита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второй очереди: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2)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сроках формирования реестра требований кредиторов, утвержденных указанным постановлением: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"28. Реестр формируется с соблюдением очередности, установленной статьями </w:t>
      </w:r>
      <w:r>
        <w:rPr>
          <w:rFonts w:ascii="Times New Roman"/>
          <w:b w:val="false"/>
          <w:i w:val="false"/>
          <w:color w:val="000000"/>
          <w:sz w:val="28"/>
        </w:rPr>
        <w:t>100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000000"/>
          <w:sz w:val="28"/>
        </w:rPr>
        <w:t>101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000000"/>
          <w:sz w:val="28"/>
        </w:rPr>
        <w:t>102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000000"/>
          <w:sz w:val="28"/>
        </w:rPr>
        <w:t>103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000000"/>
          <w:sz w:val="28"/>
        </w:rPr>
        <w:t>105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000000"/>
          <w:sz w:val="28"/>
        </w:rPr>
        <w:t>107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31-1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"31-1. В случае получения банкротным управляющим в период проведения процедуры банкротства кредита, в сформированный реестр требований кредиторов вносятся изменения путем включения в состав второй очереди требований кредиторов по возврату полученного кредита.".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