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16bc" w14:textId="2f61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16 июня 2015 года № 434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повышения</w:t>
      </w:r>
      <w:r>
        <w:br/>
      </w:r>
      <w:r>
        <w:rPr>
          <w:rFonts w:ascii="Times New Roman"/>
          <w:b/>
          <w:i w:val="false"/>
          <w:color w:val="000000"/>
        </w:rPr>
        <w:t>
конкурентоспособности малых и средних предприятий) между</w:t>
      </w:r>
      <w:r>
        <w:br/>
      </w:r>
      <w:r>
        <w:rPr>
          <w:rFonts w:ascii="Times New Roman"/>
          <w:b/>
          <w:i w:val="false"/>
          <w:color w:val="000000"/>
        </w:rPr>
        <w:t>
Республикой Казахстан и Международным</w:t>
      </w:r>
      <w:r>
        <w:br/>
      </w:r>
      <w:r>
        <w:rPr>
          <w:rFonts w:ascii="Times New Roman"/>
          <w:b/>
          <w:i w:val="false"/>
          <w:color w:val="000000"/>
        </w:rPr>
        <w:t>
Банком Реконструкции и Развития     </w:t>
      </w:r>
    </w:p>
    <w:p>
      <w:pPr>
        <w:spacing w:after="0"/>
        <w:ind w:left="0"/>
        <w:jc w:val="both"/>
      </w:pPr>
      <w:r>
        <w:rPr>
          <w:rFonts w:ascii="Times New Roman"/>
          <w:b w:val="false"/>
          <w:i w:val="false"/>
          <w:color w:val="000000"/>
          <w:sz w:val="28"/>
        </w:rPr>
        <w:t>      В соответствии со статьей 8 Закона Республики Казахстан от 30 мая 2005 года «О международных договорах Республики Казахстан» ПОСТАНОВЛЯЮ:</w:t>
      </w:r>
      <w:r>
        <w:br/>
      </w:r>
      <w:r>
        <w:rPr>
          <w:rFonts w:ascii="Times New Roman"/>
          <w:b w:val="false"/>
          <w:i w:val="false"/>
          <w:color w:val="000000"/>
          <w:sz w:val="28"/>
        </w:rPr>
        <w:t xml:space="preserve">
      1. Одобрить прилагаемый проект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w:t>
      </w:r>
      <w:r>
        <w:br/>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both"/>
      </w:pPr>
      <w:r>
        <w:rPr>
          <w:rFonts w:ascii="Times New Roman"/>
          <w:b w:val="false"/>
          <w:i w:val="false"/>
          <w:color w:val="000000"/>
          <w:sz w:val="28"/>
        </w:rPr>
        <w:t>Проект </w:t>
      </w:r>
    </w:p>
    <w:p>
      <w:pPr>
        <w:spacing w:after="0"/>
        <w:ind w:left="0"/>
        <w:jc w:val="left"/>
      </w:pPr>
      <w:r>
        <w:rPr>
          <w:rFonts w:ascii="Times New Roman"/>
          <w:b/>
          <w:i w:val="false"/>
          <w:color w:val="000000"/>
        </w:rPr>
        <w:t xml:space="preserve"> СОГЛАШЕНИЕ О ЗАЙМЕ(Проект повышения конкурентоспособности малых</w:t>
      </w:r>
      <w:r>
        <w:br/>
      </w:r>
      <w:r>
        <w:rPr>
          <w:rFonts w:ascii="Times New Roman"/>
          <w:b/>
          <w:i w:val="false"/>
          <w:color w:val="000000"/>
        </w:rPr>
        <w:t>
и средних предприятий) между Республикой Казахстан и</w:t>
      </w:r>
      <w:r>
        <w:br/>
      </w:r>
      <w:r>
        <w:rPr>
          <w:rFonts w:ascii="Times New Roman"/>
          <w:b/>
          <w:i w:val="false"/>
          <w:color w:val="000000"/>
        </w:rPr>
        <w:t xml:space="preserve">
Международным Банком Реконструкции и Развития </w:t>
      </w:r>
    </w:p>
    <w:p>
      <w:pPr>
        <w:spacing w:after="0"/>
        <w:ind w:left="0"/>
        <w:jc w:val="both"/>
      </w:pPr>
      <w:r>
        <w:rPr>
          <w:rFonts w:ascii="Times New Roman"/>
          <w:b w:val="false"/>
          <w:i w:val="false"/>
          <w:color w:val="000000"/>
          <w:sz w:val="28"/>
        </w:rPr>
        <w:t>      Соглашение от ____________________ 2015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Общие условия (определенные в приложении к настоящему Соглашению) являются неотъемлемой частью настоящего Соглашения.</w:t>
      </w:r>
      <w:r>
        <w:br/>
      </w:r>
      <w:r>
        <w:rPr>
          <w:rFonts w:ascii="Times New Roman"/>
          <w:b w:val="false"/>
          <w:i w:val="false"/>
          <w:color w:val="000000"/>
          <w:sz w:val="28"/>
        </w:rPr>
        <w:t>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На условиях, описанных в Соглашении или со ссылкой на него, Банк соглашается предоставить Заемщику сумму, равную сорока миллионам долларов США (40 000 000), и такая сумма может периодически конвертироваться посредством конвертации валют в соответствии с положениями раздела 2.08 данного Соглашения («Заем»), с целью оказания содействия в финансировании проекта, описание которого приводится в дополнении 1 к настоящему Соглашению («Проект»).</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шестьдесят (60) дней после даты вступления настоящего Соглашения в силу.</w:t>
      </w:r>
      <w:r>
        <w:br/>
      </w: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в год от неснятого остатка Займа.</w:t>
      </w:r>
      <w:r>
        <w:br/>
      </w: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спред;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2.06. Датами платежей являются 15 мая и 15 ноября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xml:space="preserve">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ставки.(b)Любое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цели Проекта.С этой целью Заемщик реализует Проект через Министерство национальной экономики (МНЭ)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через МНЭ обеспечит реализацию Проекта в соответствии с положения дополнения 2 к настоящему Соглашению.</w:t>
      </w:r>
    </w:p>
    <w:p>
      <w:pPr>
        <w:spacing w:after="0"/>
        <w:ind w:left="0"/>
        <w:jc w:val="left"/>
      </w:pPr>
      <w:r>
        <w:rPr>
          <w:rFonts w:ascii="Times New Roman"/>
          <w:b/>
          <w:i w:val="false"/>
          <w:color w:val="000000"/>
        </w:rPr>
        <w:t xml:space="preserve"> СТАТЬЯ IV – ВСТУПЛЕНИЕ В СИЛУ; ПРЕКРАЩЕНИЕ ДЕЙСТВИЯ </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(a) МНЭ издало приказ о создании ГРП, как указано в разделе I.A.2. дополнения 2 к настоящему Соглашению;</w:t>
      </w:r>
      <w:r>
        <w:br/>
      </w:r>
      <w:r>
        <w:rPr>
          <w:rFonts w:ascii="Times New Roman"/>
          <w:b w:val="false"/>
          <w:i w:val="false"/>
          <w:color w:val="000000"/>
          <w:sz w:val="28"/>
        </w:rPr>
        <w:t>
      (b) Заемщик через МНЭ создал Комиссию по реализации проекта как указано в разделе I.A.2. дополнения 2 к настоящему Соглашению;</w:t>
      </w:r>
      <w:r>
        <w:br/>
      </w:r>
      <w:r>
        <w:rPr>
          <w:rFonts w:ascii="Times New Roman"/>
          <w:b w:val="false"/>
          <w:i w:val="false"/>
          <w:color w:val="000000"/>
          <w:sz w:val="28"/>
        </w:rPr>
        <w:t>
      (c) Заемщик через МНЭ принял Руководство по реализации Проекта на условиях, приемлемых для Банка; и</w:t>
      </w:r>
      <w:r>
        <w:br/>
      </w:r>
      <w:r>
        <w:rPr>
          <w:rFonts w:ascii="Times New Roman"/>
          <w:b w:val="false"/>
          <w:i w:val="false"/>
          <w:color w:val="000000"/>
          <w:sz w:val="28"/>
        </w:rPr>
        <w:t xml:space="preserve">
      (d) МНЭ отобрало специалиста по финансовому управлению и специалиста по закупкам для ГРП на условиях и с квалификацией, приемлемыми для Банка. </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Последний срок вступления настоящего Соглашения в силу может быть продлен по согласованию между Заемщиком и Банком.</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финансовпроспект Победы, 11Астана, 010000Республика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РазвитияУлица H 1818, N.W. Вашингтон, округ Колумбия, 20433Соединенные Штаты Америки</w:t>
      </w:r>
      <w:r>
        <w:br/>
      </w:r>
      <w:r>
        <w:rPr>
          <w:rFonts w:ascii="Times New Roman"/>
          <w:b w:val="false"/>
          <w:i w:val="false"/>
          <w:color w:val="000000"/>
          <w:sz w:val="28"/>
        </w:rPr>
        <w:t>
      Телеграфный адрес:    Телекс:             Факс:</w:t>
      </w:r>
      <w:r>
        <w:br/>
      </w:r>
      <w:r>
        <w:rPr>
          <w:rFonts w:ascii="Times New Roman"/>
          <w:b w:val="false"/>
          <w:i w:val="false"/>
          <w:color w:val="000000"/>
          <w:sz w:val="28"/>
        </w:rPr>
        <w:t xml:space="preserve">
      INTBAFRAD             248423(MCI) или     1-202-477-6391 </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___________________________</w:t>
      </w:r>
    </w:p>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Цель проекта: повышение конкурентоспособности и потенциала целевых малых и средних предприятий на территории Заемщика.</w:t>
      </w:r>
      <w:r>
        <w:br/>
      </w: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w:t>
      </w:r>
      <w:r>
        <w:rPr>
          <w:rFonts w:ascii="Times New Roman"/>
          <w:b w:val="false"/>
          <w:i w:val="false"/>
          <w:color w:val="000000"/>
          <w:sz w:val="28"/>
          <w:u w:val="single"/>
        </w:rPr>
        <w:t>Программа наращивания потенциала МСП</w:t>
      </w:r>
    </w:p>
    <w:p>
      <w:pPr>
        <w:spacing w:after="0"/>
        <w:ind w:left="0"/>
        <w:jc w:val="both"/>
      </w:pPr>
      <w:r>
        <w:rPr>
          <w:rFonts w:ascii="Times New Roman"/>
          <w:b w:val="false"/>
          <w:i w:val="false"/>
          <w:color w:val="000000"/>
          <w:sz w:val="28"/>
        </w:rPr>
        <w:t xml:space="preserve">      Усиление и расширение существующих консультационных программ для МСП, как указано в руководстве по реализации проекта, включая сеть бизнес консультантов, путем предоставления товаров, обучения и консультационных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w:t>
      </w:r>
      <w:r>
        <w:rPr>
          <w:rFonts w:ascii="Times New Roman"/>
          <w:b w:val="false"/>
          <w:i w:val="false"/>
          <w:color w:val="000000"/>
          <w:sz w:val="28"/>
          <w:u w:val="single"/>
        </w:rPr>
        <w:t>Взаимосвязи МСП в конкурентоспособных секторах</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Мероприятия по развитию поставщиков</w:t>
      </w:r>
      <w:r>
        <w:rPr>
          <w:rFonts w:ascii="Times New Roman"/>
          <w:b w:val="false"/>
          <w:i w:val="false"/>
          <w:color w:val="000000"/>
          <w:sz w:val="28"/>
        </w:rPr>
        <w:t xml:space="preserve">: реализация мероприятий по развитию поставщиков, предназначенных для повышения способности МСП участвовать в местных операциях транснациональных корпораций, крупных отечественных компаний и государственных предприятий, путем повышения квалификации поставщиков, совершенствования деловых и управленческих практик, обеспечения связи и отношений между потенциальными поставщиками и крупными покупателями МСП, и создания офиса по развитию поставщиков путем предоставления товаров, обучения и консультационных услуг. </w:t>
      </w:r>
      <w:r>
        <w:br/>
      </w:r>
      <w:r>
        <w:rPr>
          <w:rFonts w:ascii="Times New Roman"/>
          <w:b w:val="false"/>
          <w:i w:val="false"/>
          <w:color w:val="000000"/>
          <w:sz w:val="28"/>
        </w:rPr>
        <w:t xml:space="preserve">
      2. </w:t>
      </w:r>
      <w:r>
        <w:rPr>
          <w:rFonts w:ascii="Times New Roman"/>
          <w:b w:val="false"/>
          <w:i w:val="false"/>
          <w:color w:val="000000"/>
          <w:sz w:val="28"/>
          <w:u w:val="single"/>
        </w:rPr>
        <w:t>Конкурентоспособные с</w:t>
      </w:r>
      <w:r>
        <w:rPr>
          <w:rFonts w:ascii="Times New Roman"/>
          <w:b w:val="false"/>
          <w:i w:val="false"/>
          <w:color w:val="000000"/>
          <w:sz w:val="28"/>
        </w:rPr>
        <w:t xml:space="preserve">ектора: развитие увеличения производства продукции с высоким уровнем добавленной стоимости и повышение конкурентоспособности МСП в несырьевых секторах и вокруг приоритетных географических районов через укрепление институционального потенциала путем предоставления обучения и консультационных услуг. </w:t>
      </w:r>
      <w:r>
        <w:br/>
      </w:r>
      <w:r>
        <w:rPr>
          <w:rFonts w:ascii="Times New Roman"/>
          <w:b w:val="false"/>
          <w:i w:val="false"/>
          <w:color w:val="000000"/>
          <w:sz w:val="28"/>
        </w:rPr>
        <w:t xml:space="preserve">
      3. </w:t>
      </w:r>
      <w:r>
        <w:rPr>
          <w:rFonts w:ascii="Times New Roman"/>
          <w:b w:val="false"/>
          <w:i w:val="false"/>
          <w:color w:val="000000"/>
          <w:sz w:val="28"/>
          <w:u w:val="single"/>
        </w:rPr>
        <w:t>Стратегическая оценка факторинга</w:t>
      </w:r>
      <w:r>
        <w:rPr>
          <w:rFonts w:ascii="Times New Roman"/>
          <w:b w:val="false"/>
          <w:i w:val="false"/>
          <w:color w:val="000000"/>
          <w:sz w:val="28"/>
        </w:rPr>
        <w:t>: проведение детальной оценки для факторинга и возвратного факторинга на территории Заемщика, включая онлайн платформу для регистрации МСП и проверки их дебиторской задолженности.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xml:space="preserve">  </w:t>
      </w:r>
      <w:r>
        <w:rPr>
          <w:rFonts w:ascii="Times New Roman"/>
          <w:b w:val="false"/>
          <w:i w:val="false"/>
          <w:color w:val="000000"/>
          <w:sz w:val="28"/>
          <w:u w:val="single"/>
        </w:rPr>
        <w:t>Оценка воздействия и мониторинг программ для МСП</w:t>
      </w:r>
    </w:p>
    <w:p>
      <w:pPr>
        <w:spacing w:after="0"/>
        <w:ind w:left="0"/>
        <w:jc w:val="both"/>
      </w:pPr>
      <w:r>
        <w:rPr>
          <w:rFonts w:ascii="Times New Roman"/>
          <w:b w:val="false"/>
          <w:i w:val="false"/>
          <w:color w:val="000000"/>
          <w:sz w:val="28"/>
        </w:rPr>
        <w:t>      Усиление мониторинга и оценки, диалога между государственным и частным секторами и прозрачности разработки политики в отношении МСП посредством предоставления обучения и консультационных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w:t>
      </w:r>
      <w:r>
        <w:rPr>
          <w:rFonts w:ascii="Times New Roman"/>
          <w:b w:val="false"/>
          <w:i w:val="false"/>
          <w:color w:val="000000"/>
          <w:sz w:val="28"/>
          <w:u w:val="single"/>
        </w:rPr>
        <w:t>Управление Проектом</w:t>
      </w:r>
    </w:p>
    <w:p>
      <w:pPr>
        <w:spacing w:after="0"/>
        <w:ind w:left="0"/>
        <w:jc w:val="both"/>
      </w:pPr>
      <w:r>
        <w:rPr>
          <w:rFonts w:ascii="Times New Roman"/>
          <w:b w:val="false"/>
          <w:i w:val="false"/>
          <w:color w:val="000000"/>
          <w:sz w:val="28"/>
        </w:rPr>
        <w:t>      Предоставление консультационных услуг, обучение и оплата эксплуатационных расходов для внедрения, управления и координации проекта.</w:t>
      </w:r>
    </w:p>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p>
      <w:pPr>
        <w:spacing w:after="0"/>
        <w:ind w:left="0"/>
        <w:jc w:val="both"/>
      </w:pPr>
      <w:r>
        <w:rPr>
          <w:rFonts w:ascii="Times New Roman"/>
          <w:b w:val="false"/>
          <w:i w:val="false"/>
          <w:color w:val="000000"/>
          <w:sz w:val="28"/>
        </w:rPr>
        <w:t xml:space="preserve">      1. Заемщик через МНЭ: </w:t>
      </w:r>
      <w:r>
        <w:br/>
      </w:r>
      <w:r>
        <w:rPr>
          <w:rFonts w:ascii="Times New Roman"/>
          <w:b w:val="false"/>
          <w:i w:val="false"/>
          <w:color w:val="000000"/>
          <w:sz w:val="28"/>
        </w:rPr>
        <w:t>
      (a) (i) создаст и в дальнейшем задействует и будет поддерживать ГРП до момента завершения проекта; и (ii) обеспечит, чтобы все функции ГРП в течение всего времени выполнялись должным образом и при наличии всех необходимых кадровых (включая специалистов по финансовому управлению и закупкам) и финансовых ресурсов, приемлемых для Банка;</w:t>
      </w:r>
      <w:r>
        <w:br/>
      </w:r>
      <w:r>
        <w:rPr>
          <w:rFonts w:ascii="Times New Roman"/>
          <w:b w:val="false"/>
          <w:i w:val="false"/>
          <w:color w:val="000000"/>
          <w:sz w:val="28"/>
        </w:rPr>
        <w:t>
      (b) не позднее шестидесяти (60) дней после даты вступления в силу Займа, Заемщик должен обеспечить, чтобы в ГРП были наняты специалисты по финансовому управлению и закупкам, согласно пункту (а) выше, с техническим заданием и квалификациями, приемлемыми для Банка; и</w:t>
      </w:r>
      <w:r>
        <w:br/>
      </w:r>
      <w:r>
        <w:rPr>
          <w:rFonts w:ascii="Times New Roman"/>
          <w:b w:val="false"/>
          <w:i w:val="false"/>
          <w:color w:val="000000"/>
          <w:sz w:val="28"/>
        </w:rPr>
        <w:t>
      (с) не позднее шестидесяти (60) дней после даты вступления в силу Займа, Заемщик должен обеспечить включение модуля, позволяющего осуществлять финансовое управление и представлять финансовую отчетность по проекту, в программное обеспечение бухгалтерского учета МНЭ на условиях, приемлемых для Банка.</w:t>
      </w:r>
      <w:r>
        <w:br/>
      </w:r>
      <w:r>
        <w:rPr>
          <w:rFonts w:ascii="Times New Roman"/>
          <w:b w:val="false"/>
          <w:i w:val="false"/>
          <w:color w:val="000000"/>
          <w:sz w:val="28"/>
        </w:rPr>
        <w:t>
      2. Заемщик создаст и в дальнейшем будет поддерживать Комиссию по реализации проекта с составом (включая представителей соответствующих министерств и ведомств Заемщика и под председательством вице-министра МНЭ), функциями и обязанностями, приемлемыми для Банка, как указано в руководстве по реализации проекта.</w:t>
      </w:r>
      <w:r>
        <w:br/>
      </w:r>
      <w:r>
        <w:rPr>
          <w:rFonts w:ascii="Times New Roman"/>
          <w:b w:val="false"/>
          <w:i w:val="false"/>
          <w:color w:val="000000"/>
          <w:sz w:val="28"/>
        </w:rPr>
        <w:t>
      3. Заемщик через МНЭ должен:</w:t>
      </w:r>
      <w:r>
        <w:br/>
      </w:r>
      <w:r>
        <w:rPr>
          <w:rFonts w:ascii="Times New Roman"/>
          <w:b w:val="false"/>
          <w:i w:val="false"/>
          <w:color w:val="000000"/>
          <w:sz w:val="28"/>
        </w:rPr>
        <w:t>
      (а) принять и поддерживать Руководство по реализации Проекта в форме и по содержанию удовлетворяющего требования Банка;</w:t>
      </w:r>
      <w:r>
        <w:br/>
      </w:r>
      <w:r>
        <w:rPr>
          <w:rFonts w:ascii="Times New Roman"/>
          <w:b w:val="false"/>
          <w:i w:val="false"/>
          <w:color w:val="000000"/>
          <w:sz w:val="28"/>
        </w:rPr>
        <w:t xml:space="preserve">
      (b) вести Проект в соответствии с положениями Руководства по реализации Проекта; и </w:t>
      </w:r>
      <w:r>
        <w:br/>
      </w:r>
      <w:r>
        <w:rPr>
          <w:rFonts w:ascii="Times New Roman"/>
          <w:b w:val="false"/>
          <w:i w:val="false"/>
          <w:color w:val="000000"/>
          <w:sz w:val="28"/>
        </w:rPr>
        <w:t>
      (с) не вправе переуступать, вносить изменения, отменять или отказываться от любых положений РРП без предварительного согласования с Банком.</w:t>
      </w:r>
    </w:p>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p>
      <w:pPr>
        <w:spacing w:after="0"/>
        <w:ind w:left="0"/>
        <w:jc w:val="both"/>
      </w:pPr>
      <w:r>
        <w:rPr>
          <w:rFonts w:ascii="Times New Roman"/>
          <w:b w:val="false"/>
          <w:i w:val="false"/>
          <w:color w:val="000000"/>
          <w:sz w:val="28"/>
        </w:rPr>
        <w:t>      Заемщик через МНЭ обеспечивает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 Мониторинг, отчетность и оценка Проекта</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1. Заемщик через МНЭ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согласованных между Заемщиком и Банком. Каждый отчет по проекту должен охватывать период в одно полугодие и предоставляться Банку не позднее чем через сорок пять (45) дней после окончания периода, охватываемого таким отчетом.</w:t>
      </w:r>
      <w:r>
        <w:br/>
      </w:r>
      <w:r>
        <w:rPr>
          <w:rFonts w:ascii="Times New Roman"/>
          <w:b w:val="false"/>
          <w:i w:val="false"/>
          <w:color w:val="000000"/>
          <w:sz w:val="28"/>
        </w:rPr>
        <w:t>
      2. Без ограничений для положений указанных в разделе 5.08 (b) Общих условий, к 31 декабря 2017 года или другой дате по согласованию с Банком Заемщик через МНЭ совместно с Банком осуществляет среднесрочный обзор реализации мероприятий в рамках проекта (среднесрочный обзор). В ходе среднесрочного обзора оценивается прогресс, достигнутый в реализации проекта. После такого среднесрочного обзора, если необходимо, Заемщик через МНЭ должен действовать надлежащим образом, чтобы предпринять корректирующие меры, согласованные с Банком.</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w:t>
      </w:r>
    </w:p>
    <w:p>
      <w:pPr>
        <w:spacing w:after="0"/>
        <w:ind w:left="0"/>
        <w:jc w:val="both"/>
      </w:pPr>
      <w:r>
        <w:rPr>
          <w:rFonts w:ascii="Times New Roman"/>
          <w:b w:val="false"/>
          <w:i w:val="false"/>
          <w:color w:val="000000"/>
          <w:sz w:val="28"/>
        </w:rPr>
        <w:t xml:space="preserve">      1. Заемщик через МНЭ будет вести или обеспечит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Без ограничений для положений части А настоящего раздела Заемщик через МНЭ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r>
        <w:br/>
      </w:r>
      <w:r>
        <w:rPr>
          <w:rFonts w:ascii="Times New Roman"/>
          <w:b w:val="false"/>
          <w:i w:val="false"/>
          <w:color w:val="000000"/>
          <w:sz w:val="28"/>
        </w:rPr>
        <w:t>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в Банк не позднее чем через шесть месяцев после окончания соответствующего периода.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закупка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r>
        <w:br/>
      </w: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приложении к настоящему дополнению 2; </w:t>
      </w:r>
      <w:r>
        <w:br/>
      </w:r>
      <w:r>
        <w:rPr>
          <w:rFonts w:ascii="Times New Roman"/>
          <w:b w:val="false"/>
          <w:i w:val="false"/>
          <w:color w:val="000000"/>
          <w:sz w:val="28"/>
        </w:rPr>
        <w:t xml:space="preserve">
      (b) закупки на открытом рынке; и </w:t>
      </w:r>
      <w:r>
        <w:br/>
      </w:r>
      <w:r>
        <w:rPr>
          <w:rFonts w:ascii="Times New Roman"/>
          <w:b w:val="false"/>
          <w:i w:val="false"/>
          <w:color w:val="000000"/>
          <w:sz w:val="28"/>
        </w:rPr>
        <w:t xml:space="preserve">
      (c) прямые контракты.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Отдельные методы закупок консультационных услуг </w:t>
      </w:r>
    </w:p>
    <w:p>
      <w:pPr>
        <w:spacing w:after="0"/>
        <w:ind w:left="0"/>
        <w:jc w:val="both"/>
      </w:pPr>
      <w:r>
        <w:rPr>
          <w:rFonts w:ascii="Times New Roman"/>
          <w:b w:val="false"/>
          <w:i w:val="false"/>
          <w:color w:val="000000"/>
          <w:sz w:val="28"/>
        </w:rPr>
        <w:t>      Отбор на основе качества и стоимости.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Прочие методы закупок консультационных услуг.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(a) отбор на основе качества;</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(c) отбор по наименьшей стоимости;</w:t>
      </w:r>
      <w:r>
        <w:br/>
      </w:r>
      <w:r>
        <w:rPr>
          <w:rFonts w:ascii="Times New Roman"/>
          <w:b w:val="false"/>
          <w:i w:val="false"/>
          <w:color w:val="000000"/>
          <w:sz w:val="28"/>
        </w:rPr>
        <w:t>
      (d) отбор на основе квалификации консультантов;</w:t>
      </w:r>
      <w:r>
        <w:br/>
      </w:r>
      <w:r>
        <w:rPr>
          <w:rFonts w:ascii="Times New Roman"/>
          <w:b w:val="false"/>
          <w:i w:val="false"/>
          <w:color w:val="000000"/>
          <w:sz w:val="28"/>
        </w:rPr>
        <w:t>
      (e) закупки услуг консалтинговых фирм из одного источника;</w:t>
      </w:r>
      <w:r>
        <w:br/>
      </w:r>
      <w:r>
        <w:rPr>
          <w:rFonts w:ascii="Times New Roman"/>
          <w:b w:val="false"/>
          <w:i w:val="false"/>
          <w:color w:val="000000"/>
          <w:sz w:val="28"/>
        </w:rPr>
        <w:t xml:space="preserve">
      (f) отбор индивидуальных консультантов; и </w:t>
      </w:r>
      <w:r>
        <w:br/>
      </w:r>
      <w:r>
        <w:rPr>
          <w:rFonts w:ascii="Times New Roman"/>
          <w:b w:val="false"/>
          <w:i w:val="false"/>
          <w:color w:val="000000"/>
          <w:sz w:val="28"/>
        </w:rPr>
        <w:t>
      (g)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xml:space="preserve">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 </w:t>
      </w:r>
      <w:r>
        <w:br/>
      </w:r>
      <w:r>
        <w:rPr>
          <w:rFonts w:ascii="Times New Roman"/>
          <w:b w:val="false"/>
          <w:i w:val="false"/>
          <w:color w:val="000000"/>
          <w:sz w:val="28"/>
        </w:rPr>
        <w:t>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подлежащая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Выделяемая сумма займа(выраженная в долларах США)</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(исключая налоги)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не-консультационные услуги, услуги консультантов и обучение для компонента 1 проекта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11 453 568</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не-консультационные услуги, услуги консультантов и обучение для 2, 3 и 4 компонентов проекта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28 546 432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Займа – 30 июня 2020 года.</w:t>
      </w:r>
    </w:p>
    <w:p>
      <w:pPr>
        <w:spacing w:after="0"/>
        <w:ind w:left="0"/>
        <w:jc w:val="left"/>
      </w:pPr>
      <w:r>
        <w:rPr>
          <w:rFonts w:ascii="Times New Roman"/>
          <w:b/>
          <w:i w:val="false"/>
          <w:color w:val="000000"/>
        </w:rPr>
        <w:t xml:space="preserve"> Приложение к </w:t>
      </w:r>
      <w:r>
        <w:br/>
      </w:r>
      <w:r>
        <w:rPr>
          <w:rFonts w:ascii="Times New Roman"/>
          <w:b/>
          <w:i w:val="false"/>
          <w:color w:val="000000"/>
        </w:rPr>
        <w:t>
ДОПОЛНЕНИЮ 2</w:t>
      </w:r>
    </w:p>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Законе Республики Казахстан от 21 июля 2007 года № 303-III «О государственных закупках» с изменениями, внесенными Законом Республики Казахстан от 29 сентября 2014 № 239-V;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 </w:t>
      </w:r>
      <w:r>
        <w:br/>
      </w:r>
      <w:r>
        <w:rPr>
          <w:rFonts w:ascii="Times New Roman"/>
          <w:b w:val="false"/>
          <w:i w:val="false"/>
          <w:color w:val="000000"/>
          <w:sz w:val="28"/>
        </w:rPr>
        <w:t>
     (a) Правомочность: правомочность участников торгов на участие в процессе закупок и заключение контракта, финансируемого Банком, будут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контрактов на выполнение больших, сложных и/или специализированных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представлен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торгов: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 График Погашения</w:t>
      </w:r>
    </w:p>
    <w:p>
      <w:pPr>
        <w:spacing w:after="0"/>
        <w:ind w:left="0"/>
        <w:jc w:val="both"/>
      </w:pPr>
      <w:r>
        <w:rPr>
          <w:rFonts w:ascii="Times New Roman"/>
          <w:b w:val="false"/>
          <w:i w:val="false"/>
          <w:color w:val="000000"/>
          <w:sz w:val="28"/>
        </w:rPr>
        <w:t xml:space="preserve">      1. Ниже в таблице указаны даты платежей в погашение основного Займа и процент от общей основной суммы Займа, выплачиваемого на каждую дату погашения основного долга («Очередной платеж»). Если средства Займа будут полностью сняты на первую дату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Банком путем умножения: (а) суммы Займа, снятой на первую дату платежа в погашение основного Займа; (б) очередной платеж для каждой даты платежа в погашение основного Займа, такая сумма погашения будет корректироваться по мере необходимости для вычета сумм, указанных в пункте 4 настоящего графика, и к которым применяется конвертация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6704"/>
      </w:tblGrid>
      <w:tr>
        <w:trPr>
          <w:trHeight w:val="69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в погашение основного Займа</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платеж (в процентах)</w:t>
            </w:r>
          </w:p>
        </w:tc>
      </w:tr>
      <w:tr>
        <w:trPr>
          <w:trHeight w:val="1095"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Каждое 15 мая и 15 ноября, начиная с 15 мая 2020 года до 15 мая 2031 года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 </w:t>
            </w:r>
          </w:p>
        </w:tc>
      </w:tr>
      <w:tr>
        <w:trPr>
          <w:trHeight w:val="435"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ноября 2031 года</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w:t>
            </w:r>
          </w:p>
        </w:tc>
      </w:tr>
    </w:tbl>
    <w:p>
      <w:pPr>
        <w:spacing w:after="0"/>
        <w:ind w:left="0"/>
        <w:jc w:val="both"/>
      </w:pPr>
      <w:r>
        <w:rPr>
          <w:rFonts w:ascii="Times New Roman"/>
          <w:b w:val="false"/>
          <w:i w:val="false"/>
          <w:color w:val="000000"/>
          <w:sz w:val="28"/>
        </w:rPr>
        <w:t>      2. Если средства Займа не будут полностью сняты до первой даты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следующим образом:</w:t>
      </w:r>
      <w:r>
        <w:br/>
      </w:r>
      <w:r>
        <w:rPr>
          <w:rFonts w:ascii="Times New Roman"/>
          <w:b w:val="false"/>
          <w:i w:val="false"/>
          <w:color w:val="000000"/>
          <w:sz w:val="28"/>
        </w:rPr>
        <w:t xml:space="preserve">
      (a) В той степени, в которой любые средства Займа были сняты на первую дату платежа в погашение основного Займа, Заемщик должен погасить сумму Займа, снятую на такую дату в соответствии с пунктом 1 настоящего Графика. </w:t>
      </w:r>
      <w:r>
        <w:br/>
      </w:r>
      <w:r>
        <w:rPr>
          <w:rFonts w:ascii="Times New Roman"/>
          <w:b w:val="false"/>
          <w:i w:val="false"/>
          <w:color w:val="000000"/>
          <w:sz w:val="28"/>
        </w:rPr>
        <w:t xml:space="preserve">
      (b) Любые суммы, снятые после первой даты платежа в погашение основного Займа, должны погашаться на каждую дату платежа в погашение основного Займа, после даты такого снятия в суммах, определенных Банком путем умножения сумм каждого такого снятия на долю, числителем которых является изначальный Очередной платеж, указанный в таблице в пункте 1 настоящего Графика для погашения основного долга Займа («Изначальный очередной платеж») и, знаменателем которых является сумма всех оставшихся Изначальных очередных платежей для дат платежей в погашение основного Займа, приходящихся на или после такой даты, такие суммы, подлежащие погашению будут корректироваться по мере необходимости, с целью вычета сумм, указанных в пункте 4 настоящего Графика, и к которым применяется Конвертация валюты. </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настоящего пункта, если в любое время Банк примет систему даты выставления счета, при которой счета выписываются на или после соответствующей даты платежа в погашение основного Займа, положения такого подпункта больше не будут применяться к любым снятиям после принятия такой системы выставления счетов.</w:t>
      </w:r>
      <w:r>
        <w:br/>
      </w:r>
      <w:r>
        <w:rPr>
          <w:rFonts w:ascii="Times New Roman"/>
          <w:b w:val="false"/>
          <w:i w:val="false"/>
          <w:color w:val="000000"/>
          <w:sz w:val="28"/>
        </w:rPr>
        <w:t xml:space="preserve">
      4. Независимо от положений пунктов 1 по 2 настоящего Графика, в случае Конверсии Валюты всей или какой-либо части Снятой суммы Займа в утвержденную валюту сумма, конвертированная таким образом в утвержденную валюту, которая подлежит погашению на любую дату платежа в погашение основного Займа,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конвертации. </w:t>
      </w:r>
      <w:r>
        <w:br/>
      </w: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чтобы было возможно разработать отдельный График Погашения для каждой из таких сумм. </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xml:space="preserve">
      2. «Сеть бизнес консультантов» означает сеть Бизнес Консультантов, нанятых Заемщиком через МНЭ, для предоставления бесплатных услуг МСП на территории Заемщика. </w:t>
      </w:r>
      <w:r>
        <w:br/>
      </w:r>
      <w:r>
        <w:rPr>
          <w:rFonts w:ascii="Times New Roman"/>
          <w:b w:val="false"/>
          <w:i w:val="false"/>
          <w:color w:val="000000"/>
          <w:sz w:val="28"/>
        </w:rPr>
        <w:t xml:space="preserve">
      3. «Категория» означает категорию, указанную в таблице в разделе IV дополнения 2 к настоящему Соглашению. </w:t>
      </w:r>
      <w:r>
        <w:br/>
      </w:r>
      <w:r>
        <w:rPr>
          <w:rFonts w:ascii="Times New Roman"/>
          <w:b w:val="false"/>
          <w:i w:val="false"/>
          <w:color w:val="000000"/>
          <w:sz w:val="28"/>
        </w:rPr>
        <w:t xml:space="preserve">
      4.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(с изменениями и дополнениями от июля 2014 года). </w:t>
      </w:r>
      <w:r>
        <w:br/>
      </w:r>
      <w:r>
        <w:rPr>
          <w:rFonts w:ascii="Times New Roman"/>
          <w:b w:val="false"/>
          <w:i w:val="false"/>
          <w:color w:val="000000"/>
          <w:sz w:val="28"/>
        </w:rPr>
        <w:t xml:space="preserve">
      5. «Общие условия» означают «Общие условия для займов Международного банка реконструкции и развития» от 12 марта 2012 года с модификациями, предусмотренными в разделе II настоящего Приложения. </w:t>
      </w:r>
      <w:r>
        <w:br/>
      </w:r>
      <w:r>
        <w:rPr>
          <w:rFonts w:ascii="Times New Roman"/>
          <w:b w:val="false"/>
          <w:i w:val="false"/>
          <w:color w:val="000000"/>
          <w:sz w:val="28"/>
        </w:rPr>
        <w:t xml:space="preserve">
      6. «МНЭ» означает Министерство национальной экономики Заемщика или любого его правопреемника. </w:t>
      </w:r>
      <w:r>
        <w:br/>
      </w:r>
      <w:r>
        <w:rPr>
          <w:rFonts w:ascii="Times New Roman"/>
          <w:b w:val="false"/>
          <w:i w:val="false"/>
          <w:color w:val="000000"/>
          <w:sz w:val="28"/>
        </w:rPr>
        <w:t xml:space="preserve">
      7. «Эксплуатационные расходы» означают разумные и необходимые расходы для реализации, управления, координации, мониторинга и оценки Проекта, утвержденные Банком на основании полугодовых бюджетов, приемлемых для Банка, и включая, среди прочего, расходы на: (i) коммунальные услуги и связь; (ii) организацию семинаров; (iii) расходные канцелярские товары; (iv) взаимодействие со СМИ и рекламу, печать и публикации; (v) устный и письменный перевод; (vi) банковские сборы; и (vii) аренду и заправку автомобиля. Эксплуатационные расходы не включают заработную плату или пособия госслужащим Заемщика. </w:t>
      </w:r>
      <w:r>
        <w:br/>
      </w:r>
      <w:r>
        <w:rPr>
          <w:rFonts w:ascii="Times New Roman"/>
          <w:b w:val="false"/>
          <w:i w:val="false"/>
          <w:color w:val="000000"/>
          <w:sz w:val="28"/>
        </w:rPr>
        <w:t>
      8. «Руководство по реализации Проекта» означает руководство, подготовленное и принятое Заемщиком, через МНЭ, приемлемое для Банка, в котором, среди прочего, описаны оперативные и административные процедуры в отношении подготовки, утверждения, обработки, финансирования, реализации и надзора за Проектом, включая руководство по финансовому управлению и консультационную программу для МСП согласно компоненту 1 Проекта.</w:t>
      </w:r>
      <w:r>
        <w:br/>
      </w:r>
      <w:r>
        <w:rPr>
          <w:rFonts w:ascii="Times New Roman"/>
          <w:b w:val="false"/>
          <w:i w:val="false"/>
          <w:color w:val="000000"/>
          <w:sz w:val="28"/>
        </w:rPr>
        <w:t xml:space="preserve">
      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(с изменениями и дополнениями от июля 2014 г.). </w:t>
      </w:r>
      <w:r>
        <w:br/>
      </w:r>
      <w:r>
        <w:rPr>
          <w:rFonts w:ascii="Times New Roman"/>
          <w:b w:val="false"/>
          <w:i w:val="false"/>
          <w:color w:val="000000"/>
          <w:sz w:val="28"/>
        </w:rPr>
        <w:t xml:space="preserve">
      10. «План закупок» означает план закупок Заемщика для Проекта от 21 января 2015 года, указанный в параграфах 1.18 Руководства по закупкам и 1.25 Руководства по отбору и найму консультантов. Он будет периодически обновляться в соответствии с положениями указанных пунктов. </w:t>
      </w:r>
      <w:r>
        <w:br/>
      </w:r>
      <w:r>
        <w:rPr>
          <w:rFonts w:ascii="Times New Roman"/>
          <w:b w:val="false"/>
          <w:i w:val="false"/>
          <w:color w:val="000000"/>
          <w:sz w:val="28"/>
        </w:rPr>
        <w:t xml:space="preserve">
      11. «Группа реализации проекта» или «ГРП» означает группу, соответствующую разделу I части А пункта 1 дополнения 2 к Соглашению. </w:t>
      </w:r>
      <w:r>
        <w:br/>
      </w:r>
      <w:r>
        <w:rPr>
          <w:rFonts w:ascii="Times New Roman"/>
          <w:b w:val="false"/>
          <w:i w:val="false"/>
          <w:color w:val="000000"/>
          <w:sz w:val="28"/>
        </w:rPr>
        <w:t xml:space="preserve">
      12. «Комиссия по реализации проекта» или «КРП» означает Комиссию по реализации проекта в соответствии с разделом I части А пункта 2 дополнения 2 к Соглашению. </w:t>
      </w:r>
      <w:r>
        <w:br/>
      </w:r>
      <w:r>
        <w:rPr>
          <w:rFonts w:ascii="Times New Roman"/>
          <w:b w:val="false"/>
          <w:i w:val="false"/>
          <w:color w:val="000000"/>
          <w:sz w:val="28"/>
        </w:rPr>
        <w:t xml:space="preserve">
      13. «МСП» означает малые и средние предприятия, осуществляющие деятельность на территории Заемщика. </w:t>
      </w:r>
      <w:r>
        <w:br/>
      </w:r>
      <w:r>
        <w:rPr>
          <w:rFonts w:ascii="Times New Roman"/>
          <w:b w:val="false"/>
          <w:i w:val="false"/>
          <w:color w:val="000000"/>
          <w:sz w:val="28"/>
        </w:rPr>
        <w:t xml:space="preserve">
      14. «Обучение» означает расходы (кроме расходов на консультационные услуги), понесенные в рамках Проекта и одобренные Банком на основе полугодовых планов обучения и обучающих поездок, приемлемых для Банка, включая разумные и необходимые поездки внутри страны и за рубеж, расходы на получение виз, понесенные участниками обучающих семинаров, в том числе проживание, питание, суточные внутри страны и за рубежом, согласно нормам Заемщика, расходы на регистрацию, оплату за обучение, оплату фасилитаторам, мелкие организационные расходы (включая стоимость канцелярских товаров, раздаточных и обучающих материалов), расходы на письменный и устный перевод, стоимость аренды помещения и прочие расходы, напрямую связанные с проведением обучающих семинаров и обучающих поездок. </w:t>
      </w:r>
    </w:p>
    <w:p>
      <w:pPr>
        <w:spacing w:after="0"/>
        <w:ind w:left="0"/>
        <w:jc w:val="both"/>
      </w:pPr>
      <w:r>
        <w:rPr>
          <w:rFonts w:ascii="Times New Roman"/>
          <w:b w:val="false"/>
          <w:i w:val="false"/>
          <w:color w:val="000000"/>
          <w:sz w:val="28"/>
        </w:rPr>
        <w:t>      </w:t>
      </w:r>
      <w:r>
        <w:rPr>
          <w:rFonts w:ascii="Times New Roman"/>
          <w:b/>
          <w:i w:val="false"/>
          <w:color w:val="000000"/>
          <w:sz w:val="28"/>
        </w:rPr>
        <w:t>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1. В содержании ссылки на разделы, их названия и нумерация меняются для отражения изменений, предусмотренных ниже.</w:t>
      </w:r>
      <w:r>
        <w:br/>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xml:space="preserve">
      (a) Заемщик уплачивает Банку Единовременную комиссию в отношении суммы Займа по ставке, предусмотренной в Соглашении о займе («Единовременная комиссия»). </w:t>
      </w:r>
      <w:r>
        <w:br/>
      </w: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w:t>
      </w:r>
      <w:r>
        <w:br/>
      </w: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 </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xml:space="preserve">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 </w:t>
      </w:r>
      <w:r>
        <w:br/>
      </w:r>
      <w:r>
        <w:rPr>
          <w:rFonts w:ascii="Times New Roman"/>
          <w:b w:val="false"/>
          <w:i w:val="false"/>
          <w:color w:val="000000"/>
          <w:sz w:val="28"/>
        </w:rPr>
        <w:t xml:space="preserve">
      6. В перенумерованном пункте 68 (первоначально пункт 67) приложения определение термина «Платеж по займу» изменено следующим образом: </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