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a401" w14:textId="8be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"Обзор политик, регулирующих управление малых и средних предприятий, а также вопросы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«Обзор политик, регулирующих управление малых и средних предприятий, а также вопросы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«Обзор политик, регулирующих управление малых и средних предприятий, а также вопросы предпринимательства»,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  «Обзор политик, регулирующих управление</w:t>
      </w:r>
      <w:r>
        <w:br/>
      </w:r>
      <w:r>
        <w:rPr>
          <w:rFonts w:ascii="Times New Roman"/>
          <w:b/>
          <w:i w:val="false"/>
          <w:color w:val="000000"/>
        </w:rPr>
        <w:t>
малых и средних предприятий, а также вопросы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 (далее – ОЭСР), здесь и далее по отдельности именуемые «Сторона» или вместе именуемые «Стороны»,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договора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ОЭСР осуществляет проект «Обзор политик, регулирующих управление малых и средних предприятий, а также вопросы предпринимательства» (далее –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– 18 месяцев со дня подписания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250 000 (двести пятьдесят тысяч) евро на покрытие расходов, связанных с реализацией проекта,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соответствии со следующим графиком: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взнос 80 % (восемьдесят) в размере 200 000 (двести тысяч) евро выплачивается в полном объеме в течение 30 (тридцать) дней с даты вступления в силу настоящего Соглашения и получения соответствующего счета-фактуры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взнос 20 % (двадцать) в размере 50 000 (пятьдесят тысяч) евро выплачивается в сентябре 2016 года при получении счета-фактуры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несет ответственность за осуществление проекта,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І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шести месяцев с даты подписания настоящего Соглашения ОЭСР представит Правительству Республики Казахстан промежуточный отчет о ходе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представит Правительству Республики Казахстан заключительный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двенадцати месяцев после подписания настоящего Соглашения ОЭСР представит Правительству Республики Казахстан годовой отчет с информацией 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ОЭСР представит Правительству Республики Казахстан окончательный финансовый отчет по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необходимую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национальной экономики Республики Казахстан – 010000, город Астана, район «Есиль», улица Орынбор, дом № 8, тел.: +7 (7172) 74-90-98, e-mail: d.tazhenova@economy.gov.kz;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Центр ОЭСР по предпринимательству, развитию малого и среднего бизнеса и местному развитию, 2, улица Андре-Паскаля, 75775 Париж, Кедекс 16, Франция, e-mail: jonathan.potter@oecd.org.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полностью заключительный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вышепризнанием.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для осуществления проекта.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Урегулирование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0"/>
        <w:gridCol w:w="20"/>
        <w:gridCol w:w="6160"/>
        <w:gridCol w:w="10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Правительства Республики Казахстан</w:t>
            </w:r>
          </w:p>
        </w:tc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Организации Экономического Сотрудничества и Развития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Сержио Арзени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Центра предпринимательства 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_________________________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ОЭСР «Обзор политик, регулирующих управление малых и </w:t>
      </w:r>
      <w:r>
        <w:rPr>
          <w:rFonts w:ascii="Times New Roman"/>
          <w:b/>
          <w:i w:val="false"/>
          <w:color w:val="000000"/>
          <w:sz w:val="28"/>
        </w:rPr>
        <w:t>средних предприятий, а также вопросы предпринимательства»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Обзор проблем и политики в области малого и среднего бизнеса (далее – МСБ) и предпринимательства в Республике Казахстан будет содержать анализ препятствий и возможностей для развития МСБ и предпринимательства в Казахстане и рекомендации по проведению государственной политики в данной области. Обзор будет анализировать текущее состояние сектора малого и среднего бизнеса и предпринимательства, институциональные и экономические рамочные условия, стратегические рамки для политики и реализации политических мер, осуществления текущих программ по поддержке малого и среднего бизнеса и предпринимательства на национальном уровне и согласованность между национальными и региональными политиками и программами в области МСБ и предпринимательства. Обзор предоставит государственные политические рекомендации, основанные на международных сравнениях и опыте, в том числе предложения по политике по улучшению доступа МСБ к рынкам, где это уместно.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будет опираться на совместный проект Программы LEED ОЭСР и инициативы конкурентоспособности DAF ОЭСР в Центральной Азии в рамках Программы ОЭСР по повышению конкурентоспособности в Евразии по региональным стратегиям прямых иностранных инвестиций (далее – ПИИ) для МСБ в Казахстане на 2011/2015. Указанный проект рассматривал, как политика может содействовать интеграции малых и средних предприятий в глобальные цепочки создания стоимости за счет создания и использования связей между МСБ и ПИИ. Проект включал оценку существующих условий и возможностей в трех регионах Казахстана и предоставил рекомендации для политических действий на национальном и местном уровнях. Он также оказал поддержу Правительству и его партнерам в разработке стратегии мониторинга и оценки политики и программ, направленных на привлечение и сохранение 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обзора является предоставление анализа роли политики и программ в области поддержки малого и среднего бизнеса и предпринимательства и изменений, которые могут быть внесены для повышения их эффективности и воздействия на основе оценки проблем и возможностей и сравнений с передовой практикой проведения политики в области МСБ на международном уровне. Этот анализ должен быть предоставлен казахстанским политикам и практикам в области развития МСБ.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будет рассматривать все основные вопросы, касающиеся деятельности малого и среднего бизнеса и предпринимательства в Казахстане и последствия для политики, в том числе: I) эффективность деятельности МСБ и предпринимательства; II) институциональные и экономические рамочные условия и бизнес-среду (человеческий капитал, доступ к финансированию, налогообложение и законодательные нормы, условия товарного рынка, исследования и технологии и т.д.); III) политику и программы в области МСБ и предпринимательства (политическая повестка дня, политические структуры, целесообразность проводимой политики, программы и меры поддержки);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IV) локальное измерение политики в отношении МСБ и предпринимательства в Казахстане, в том числе согласованности между местной и национальной политикой и соответствия национальной политики местным реалиям.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определены подходы и модели обучения, практикуемые в других странах, которые могут служить примером решения политических проблем, которые будут определены в Казахстане в рамках данного обзора.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Предполагаемый график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897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на начальном этапе </w:t>
            </w:r>
          </w:p>
        </w:tc>
      </w:tr>
      <w:tr>
        <w:trPr>
          <w:trHeight w:val="106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первого проекта вопросника казахстанскими ведомствами и местным консультантом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Миссия по сбору данных в Казахстане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2015 год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проект отчета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реализации проекта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от Министерства национальной экономики Республики Казахстан по отчету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проект отчета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Обсуждение с экспертами и коллегами на совещании WPSMEE в Париже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июня 2016 года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окончательного отчета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сентября 2016 года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отчета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II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Прилагаемый бюджет в евро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6"/>
        <w:gridCol w:w="2774"/>
      </w:tblGrid>
      <w:tr>
        <w:trPr>
          <w:trHeight w:val="405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персонал и консультации ОЭСР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190 290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встречи и поездки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публикации, устные и письменные переводы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связь, ИТ и прочие расходы, администрация грантов ОЭСР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
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III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СТАНДАРТНЫЙ ОТЧЕТ О ЗАТРАТАХ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Ваша ссылка: донор и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Наша ссылка: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Область: XXX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Ссылка: описание области затрат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взноса XXX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ДД/ММ/ГГ до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затрат                        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Расходы по персоналу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Поездки          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Интеллектуальные услуги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Расходы на публикацию и переводы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Администрация грантов ОЭСР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Общая сумма затрат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 Руководитель бухгалтерского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ОЭСР                                                    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затрат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