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a6d8" w14:textId="9fda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«Об утверждении размеров, источников, видов и Правил предоставления социальной помощи гражданам, которым оказывается социальная помощь» (САПП Республики Казахстан, 2012 г., № 37, ст. 487)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социальной помощи гражданам, которым оказывается социальная помощь,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>, источники и виды предоставления социальной помощи гражданам, которым оказывается социальная помощь,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Нормы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родителей, устанавливаются согласно приложению 15 к размерам, источникам и видам предоставления социальной помощи гражданам, которым оказывается социальная помощь.»;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15 к указанным размерам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2015 года № 326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Размерам, источникам и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оказывается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Нормы одноразового школьного питания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организаций среднего образования из семей, имеющих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получение государственной адресной социальной помощи,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также из семей, не получающих государственную адресную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социальную помощь, в которых среднедушевой доход ниже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величины прожиточного минимума, и детей-сирот,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оставшихся без попечения родителей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0"/>
        <w:gridCol w:w="2640"/>
        <w:gridCol w:w="2640"/>
        <w:gridCol w:w="1350"/>
      </w:tblGrid>
      <w:tr>
        <w:trPr>
          <w:trHeight w:val="690" w:hRule="atLeast"/>
        </w:trPr>
        <w:tc>
          <w:tcPr>
            <w:tcW w:w="7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на одного ребенка школьного возраста (граммов в день из расчета на 6 дней)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(7)-10 лет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11-14 лет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лет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ржано-пшеничный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формовой пшеничный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сухари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макароны, бобовые, крупы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другая зелень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фруктовый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4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 (шиповник сухой)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(говядина)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6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кисломолочные продукты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сузбеше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 картофельный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йодированная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лимонная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