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2498" w14:textId="15d2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потребности в легковых и грузовых транспортных средствах, используемых в сельскохозяйственной деятельности, по которым юридические лица - производители сельскохозяйственной продукции, продукции аквакультуры (рыбоводства), налогооблагаемый доход которых облагается по ставке, установленной пунктом 2 статьи 147 Налогового кодекса, применяющие общеустановленный порядок налогообложения, а также глава и (или) члены крестьянского или фермерского хозяйства не являются плательщиками налога на транспортные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315. Утратило силу постановлением Правительства Республики Казахстан от 15 марта 2019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15.03.2019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в легковых и грузовых транспортных средствах, используемых в сельскохозяйственной деятельности, по которым юридические лица – производители сельскохозяйственной продукции, продукции аквакультуры (рыбоводства), налогооблагаемый доход которых облагается по ставке,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Налогового кодекса, применяющие общеустановленный порядок налогообложения, а также глава и (или) члены крестьянского или фермерского хозяйства не являются плательщиками налога на транспортные средства.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315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потребности в легковых и грузовых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средствах, используемых в сельскохозяйственной деятельности, по</w:t>
      </w:r>
      <w:r>
        <w:br/>
      </w:r>
      <w:r>
        <w:rPr>
          <w:rFonts w:ascii="Times New Roman"/>
          <w:b/>
          <w:i w:val="false"/>
          <w:color w:val="000000"/>
        </w:rPr>
        <w:t>которым юридические лица – производители сельскохозяйственной</w:t>
      </w:r>
      <w:r>
        <w:br/>
      </w:r>
      <w:r>
        <w:rPr>
          <w:rFonts w:ascii="Times New Roman"/>
          <w:b/>
          <w:i w:val="false"/>
          <w:color w:val="000000"/>
        </w:rPr>
        <w:t>продукции, продукции аквакультуры (рыбоводства),</w:t>
      </w:r>
      <w:r>
        <w:br/>
      </w:r>
      <w:r>
        <w:rPr>
          <w:rFonts w:ascii="Times New Roman"/>
          <w:b/>
          <w:i w:val="false"/>
          <w:color w:val="000000"/>
        </w:rPr>
        <w:t>налогооблагаемый доход которых облагается по ставке,</w:t>
      </w:r>
      <w:r>
        <w:br/>
      </w:r>
      <w:r>
        <w:rPr>
          <w:rFonts w:ascii="Times New Roman"/>
          <w:b/>
          <w:i w:val="false"/>
          <w:color w:val="000000"/>
        </w:rPr>
        <w:t>установленной пунктом 2 статьи 147 Налогового кодекса,</w:t>
      </w:r>
      <w:r>
        <w:br/>
      </w:r>
      <w:r>
        <w:rPr>
          <w:rFonts w:ascii="Times New Roman"/>
          <w:b/>
          <w:i w:val="false"/>
          <w:color w:val="000000"/>
        </w:rPr>
        <w:t>применяющие общеустановленный порядок налогообложения, а также</w:t>
      </w:r>
      <w:r>
        <w:br/>
      </w:r>
      <w:r>
        <w:rPr>
          <w:rFonts w:ascii="Times New Roman"/>
          <w:b/>
          <w:i w:val="false"/>
          <w:color w:val="000000"/>
        </w:rPr>
        <w:t>глава и (или) члены крестьянского или фермерского хозяйства не</w:t>
      </w:r>
      <w:r>
        <w:br/>
      </w:r>
      <w:r>
        <w:rPr>
          <w:rFonts w:ascii="Times New Roman"/>
          <w:b/>
          <w:i w:val="false"/>
          <w:color w:val="000000"/>
        </w:rPr>
        <w:t>являются плательщиками налога на транспортные средства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потребности в легковых и грузовых транспортных средствах, используемых в сельскохозяйственной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Глава и (или) члены крестьянского или фермерского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легковому автомобилю с объемом двигателя включительно до 2500 кубических сантиметров на одно крестьянское или фермерское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грузовым автомобилям с предельной суммарной мощностью двигателя в размере 1000 кВт на 1000 гектаров пашни (сенокосов, пастбищ) с соблюдением соотношения 1:1 на одно крестьянское или фермерское хозяйство.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Юридическое лицо – производитель сельскохозяйственной продукции, продукции аквакультуры (рыбоводства), налогооблагаемый доход которого облагается по ставке,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Налогового кодекса, применяющее общеустановленный порядок налогообложения: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грузовым автомобилям с предельной суммарной мощностью двигателя в размере 1000 кВт на 1000 гектаров пашни (сенокосов, пастбищ) с соблюдением соотношения 1:1.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случаях, если по итогам расчета количество транспортных средств составит более одной единицы с дробным значением от 0,5 и выше такое значение подлежит округлению до целых единиц, если ниже 0,5 - округлению не подлежит.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итогам расчета количество грузовых автомобилей составит менее одной единицы, освобождению подлежит один грузовой автомобиль с наименьшей мощностью двигателя.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