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88b6" w14:textId="5f68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2015 года № 250. Утратило силу постановлением Правительства Республики Казахстан от 17 июля 2023 года № 603.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25 апреля 2001 года "О Банке Развития Казахстана"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Определить следующие параметры финансовой устойчивости (коэффициенты) Банка Развития Казахстана:</w:t>
      </w:r>
    </w:p>
    <w:bookmarkEnd w:id="1"/>
    <w:p>
      <w:pPr>
        <w:spacing w:after="0"/>
        <w:ind w:left="0"/>
        <w:jc w:val="both"/>
      </w:pPr>
      <w:r>
        <w:rPr>
          <w:rFonts w:ascii="Times New Roman"/>
          <w:b w:val="false"/>
          <w:i w:val="false"/>
          <w:color w:val="000000"/>
          <w:sz w:val="28"/>
        </w:rPr>
        <w:t>
      1) коэффициент достаточности капитала первого уровня;</w:t>
      </w:r>
    </w:p>
    <w:p>
      <w:pPr>
        <w:spacing w:after="0"/>
        <w:ind w:left="0"/>
        <w:jc w:val="both"/>
      </w:pPr>
      <w:r>
        <w:rPr>
          <w:rFonts w:ascii="Times New Roman"/>
          <w:b w:val="false"/>
          <w:i w:val="false"/>
          <w:color w:val="000000"/>
          <w:sz w:val="28"/>
        </w:rPr>
        <w:t>
      2) коэффициент достаточности капитала второго уровня;</w:t>
      </w:r>
    </w:p>
    <w:p>
      <w:pPr>
        <w:spacing w:after="0"/>
        <w:ind w:left="0"/>
        <w:jc w:val="both"/>
      </w:pPr>
      <w:r>
        <w:rPr>
          <w:rFonts w:ascii="Times New Roman"/>
          <w:b w:val="false"/>
          <w:i w:val="false"/>
          <w:color w:val="000000"/>
          <w:sz w:val="28"/>
        </w:rPr>
        <w:t>
      3) уровень долговой нагрузки.</w:t>
      </w:r>
    </w:p>
    <w:bookmarkStart w:name="z3" w:id="2"/>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пороговых значений параметров финансовой устойчивости (коэффициентов) Банка Развития Казахстана.</w:t>
      </w:r>
    </w:p>
    <w:bookmarkEnd w:id="2"/>
    <w:bookmarkStart w:name="z4" w:id="3"/>
    <w:p>
      <w:pPr>
        <w:spacing w:after="0"/>
        <w:ind w:left="0"/>
        <w:jc w:val="both"/>
      </w:pPr>
      <w:r>
        <w:rPr>
          <w:rFonts w:ascii="Times New Roman"/>
          <w:b w:val="false"/>
          <w:i w:val="false"/>
          <w:color w:val="000000"/>
          <w:sz w:val="28"/>
        </w:rPr>
        <w:t>
      3. Определить следующие пороговые значения параметров финансовой устойчивости (коэффициентов) Банка Развития Казахстана:</w:t>
      </w:r>
    </w:p>
    <w:bookmarkEnd w:id="3"/>
    <w:p>
      <w:pPr>
        <w:spacing w:after="0"/>
        <w:ind w:left="0"/>
        <w:jc w:val="both"/>
      </w:pPr>
      <w:r>
        <w:rPr>
          <w:rFonts w:ascii="Times New Roman"/>
          <w:b w:val="false"/>
          <w:i w:val="false"/>
          <w:color w:val="000000"/>
          <w:sz w:val="28"/>
        </w:rPr>
        <w:t>
      1) коэффициент достаточности капитала первого уровня не менее 0,08;</w:t>
      </w:r>
    </w:p>
    <w:p>
      <w:pPr>
        <w:spacing w:after="0"/>
        <w:ind w:left="0"/>
        <w:jc w:val="both"/>
      </w:pPr>
      <w:r>
        <w:rPr>
          <w:rFonts w:ascii="Times New Roman"/>
          <w:b w:val="false"/>
          <w:i w:val="false"/>
          <w:color w:val="000000"/>
          <w:sz w:val="28"/>
        </w:rPr>
        <w:t>
      2) коэффициент достаточности капитала второго уровня не менее 0,10;</w:t>
      </w:r>
    </w:p>
    <w:p>
      <w:pPr>
        <w:spacing w:after="0"/>
        <w:ind w:left="0"/>
        <w:jc w:val="both"/>
      </w:pPr>
      <w:r>
        <w:rPr>
          <w:rFonts w:ascii="Times New Roman"/>
          <w:b w:val="false"/>
          <w:i w:val="false"/>
          <w:color w:val="000000"/>
          <w:sz w:val="28"/>
        </w:rPr>
        <w:t>
      3) уровень долговой нагрузки в размере не более 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31.10.2016 </w:t>
      </w:r>
      <w:r>
        <w:rPr>
          <w:rFonts w:ascii="Times New Roman"/>
          <w:b w:val="false"/>
          <w:i w:val="false"/>
          <w:color w:val="000000"/>
          <w:sz w:val="28"/>
        </w:rPr>
        <w:t>№ 633</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апреля 2015 года № 250 </w:t>
            </w:r>
          </w:p>
        </w:tc>
      </w:tr>
    </w:tbl>
    <w:bookmarkStart w:name="z6" w:id="5"/>
    <w:p>
      <w:pPr>
        <w:spacing w:after="0"/>
        <w:ind w:left="0"/>
        <w:jc w:val="left"/>
      </w:pPr>
      <w:r>
        <w:rPr>
          <w:rFonts w:ascii="Times New Roman"/>
          <w:b/>
          <w:i w:val="false"/>
          <w:color w:val="000000"/>
        </w:rPr>
        <w:t xml:space="preserve"> Методика расчета пороговых значений параметров финансовой</w:t>
      </w:r>
      <w:r>
        <w:br/>
      </w:r>
      <w:r>
        <w:rPr>
          <w:rFonts w:ascii="Times New Roman"/>
          <w:b/>
          <w:i w:val="false"/>
          <w:color w:val="000000"/>
        </w:rPr>
        <w:t>устойчивости (коэффициентов) Банка Развития Казахстана</w:t>
      </w:r>
      <w:r>
        <w:br/>
      </w:r>
      <w:r>
        <w:rPr>
          <w:rFonts w:ascii="Times New Roman"/>
          <w:b/>
          <w:i w:val="false"/>
          <w:color w:val="000000"/>
        </w:rPr>
        <w:t>1. Основные положения</w:t>
      </w:r>
    </w:p>
    <w:bookmarkEnd w:id="5"/>
    <w:bookmarkStart w:name="z8" w:id="6"/>
    <w:p>
      <w:pPr>
        <w:spacing w:after="0"/>
        <w:ind w:left="0"/>
        <w:jc w:val="both"/>
      </w:pPr>
      <w:r>
        <w:rPr>
          <w:rFonts w:ascii="Times New Roman"/>
          <w:b w:val="false"/>
          <w:i w:val="false"/>
          <w:color w:val="000000"/>
          <w:sz w:val="28"/>
        </w:rPr>
        <w:t xml:space="preserve">
      1. Настоящая методика расчета пороговых значений параметров финансовой устойчивости (коэффициентов) Банка Развития Казахстана (далее – методика) разработана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25 апреля 2001 года "О Банке Развития Казахстана" и определяет порядок осуществления расчета пороговых значений коэффициентов достаточности капитала первого и второго уровней, а также уровня долговой нагрузки Банка Развития Казахстана (далее – банк).</w:t>
      </w:r>
    </w:p>
    <w:bookmarkEnd w:id="6"/>
    <w:bookmarkStart w:name="z9" w:id="7"/>
    <w:p>
      <w:pPr>
        <w:spacing w:after="0"/>
        <w:ind w:left="0"/>
        <w:jc w:val="left"/>
      </w:pPr>
      <w:r>
        <w:rPr>
          <w:rFonts w:ascii="Times New Roman"/>
          <w:b/>
          <w:i w:val="false"/>
          <w:color w:val="000000"/>
        </w:rPr>
        <w:t xml:space="preserve"> 2. Расчет коэффициентов достаточности капитала</w:t>
      </w:r>
      <w:r>
        <w:br/>
      </w:r>
      <w:r>
        <w:rPr>
          <w:rFonts w:ascii="Times New Roman"/>
          <w:b/>
          <w:i w:val="false"/>
          <w:color w:val="000000"/>
        </w:rPr>
        <w:t>первого и второго уровней</w:t>
      </w:r>
    </w:p>
    <w:bookmarkEnd w:id="7"/>
    <w:bookmarkStart w:name="z10" w:id="8"/>
    <w:p>
      <w:pPr>
        <w:spacing w:after="0"/>
        <w:ind w:left="0"/>
        <w:jc w:val="both"/>
      </w:pPr>
      <w:r>
        <w:rPr>
          <w:rFonts w:ascii="Times New Roman"/>
          <w:b w:val="false"/>
          <w:i w:val="false"/>
          <w:color w:val="000000"/>
          <w:sz w:val="28"/>
        </w:rPr>
        <w:t xml:space="preserve">
      2. К коэффициентам достаточности капитала относятся: </w:t>
      </w:r>
    </w:p>
    <w:bookmarkEnd w:id="8"/>
    <w:p>
      <w:pPr>
        <w:spacing w:after="0"/>
        <w:ind w:left="0"/>
        <w:jc w:val="both"/>
      </w:pPr>
      <w:r>
        <w:rPr>
          <w:rFonts w:ascii="Times New Roman"/>
          <w:b w:val="false"/>
          <w:i w:val="false"/>
          <w:color w:val="000000"/>
          <w:sz w:val="28"/>
        </w:rPr>
        <w:t>
      1) коэффициент достаточности капитала первого уровня (далее – КДК 1);</w:t>
      </w:r>
    </w:p>
    <w:p>
      <w:pPr>
        <w:spacing w:after="0"/>
        <w:ind w:left="0"/>
        <w:jc w:val="both"/>
      </w:pPr>
      <w:r>
        <w:rPr>
          <w:rFonts w:ascii="Times New Roman"/>
          <w:b w:val="false"/>
          <w:i w:val="false"/>
          <w:color w:val="000000"/>
          <w:sz w:val="28"/>
        </w:rPr>
        <w:t>
      2) коэффициент достаточности капитала второго уровня (далее – КДК 2).</w:t>
      </w:r>
    </w:p>
    <w:bookmarkStart w:name="z11" w:id="9"/>
    <w:p>
      <w:pPr>
        <w:spacing w:after="0"/>
        <w:ind w:left="0"/>
        <w:jc w:val="both"/>
      </w:pPr>
      <w:r>
        <w:rPr>
          <w:rFonts w:ascii="Times New Roman"/>
          <w:b w:val="false"/>
          <w:i w:val="false"/>
          <w:color w:val="000000"/>
          <w:sz w:val="28"/>
        </w:rPr>
        <w:t>
      3. Для расчета коэффициентов достаточности капитала используются:</w:t>
      </w:r>
    </w:p>
    <w:bookmarkEnd w:id="9"/>
    <w:p>
      <w:pPr>
        <w:spacing w:after="0"/>
        <w:ind w:left="0"/>
        <w:jc w:val="both"/>
      </w:pPr>
      <w:r>
        <w:rPr>
          <w:rFonts w:ascii="Times New Roman"/>
          <w:b w:val="false"/>
          <w:i w:val="false"/>
          <w:color w:val="000000"/>
          <w:sz w:val="28"/>
        </w:rPr>
        <w:t xml:space="preserve">
      1) собственный капитал первого уровня (далее – капитал 1 уровня); </w:t>
      </w:r>
    </w:p>
    <w:p>
      <w:pPr>
        <w:spacing w:after="0"/>
        <w:ind w:left="0"/>
        <w:jc w:val="both"/>
      </w:pPr>
      <w:r>
        <w:rPr>
          <w:rFonts w:ascii="Times New Roman"/>
          <w:b w:val="false"/>
          <w:i w:val="false"/>
          <w:color w:val="000000"/>
          <w:sz w:val="28"/>
        </w:rPr>
        <w:t xml:space="preserve">
      2) собственный капитал второго уровня (далее – капитал 2 уровня); </w:t>
      </w:r>
    </w:p>
    <w:p>
      <w:pPr>
        <w:spacing w:after="0"/>
        <w:ind w:left="0"/>
        <w:jc w:val="both"/>
      </w:pPr>
      <w:r>
        <w:rPr>
          <w:rFonts w:ascii="Times New Roman"/>
          <w:b w:val="false"/>
          <w:i w:val="false"/>
          <w:color w:val="000000"/>
          <w:sz w:val="28"/>
        </w:rPr>
        <w:t xml:space="preserve">
      3) активы, условные и возможные обязательства, взвешенные по степени риска. </w:t>
      </w:r>
    </w:p>
    <w:bookmarkStart w:name="z12" w:id="10"/>
    <w:p>
      <w:pPr>
        <w:spacing w:after="0"/>
        <w:ind w:left="0"/>
        <w:jc w:val="both"/>
      </w:pPr>
      <w:r>
        <w:rPr>
          <w:rFonts w:ascii="Times New Roman"/>
          <w:b w:val="false"/>
          <w:i w:val="false"/>
          <w:color w:val="000000"/>
          <w:sz w:val="28"/>
        </w:rPr>
        <w:t xml:space="preserve">
      4. Капитал 1 уровня рассчитывается как сумма: </w:t>
      </w:r>
    </w:p>
    <w:bookmarkEnd w:id="10"/>
    <w:p>
      <w:pPr>
        <w:spacing w:after="0"/>
        <w:ind w:left="0"/>
        <w:jc w:val="both"/>
      </w:pPr>
      <w:r>
        <w:rPr>
          <w:rFonts w:ascii="Times New Roman"/>
          <w:b w:val="false"/>
          <w:i w:val="false"/>
          <w:color w:val="000000"/>
          <w:sz w:val="28"/>
        </w:rPr>
        <w:t xml:space="preserve">
      1) оплаченного уставного капитала за минусом собственных выкупленных акций; </w:t>
      </w:r>
    </w:p>
    <w:p>
      <w:pPr>
        <w:spacing w:after="0"/>
        <w:ind w:left="0"/>
        <w:jc w:val="both"/>
      </w:pPr>
      <w:r>
        <w:rPr>
          <w:rFonts w:ascii="Times New Roman"/>
          <w:b w:val="false"/>
          <w:i w:val="false"/>
          <w:color w:val="000000"/>
          <w:sz w:val="28"/>
        </w:rPr>
        <w:t xml:space="preserve">
      2) дополнительного капитала; </w:t>
      </w:r>
    </w:p>
    <w:p>
      <w:pPr>
        <w:spacing w:after="0"/>
        <w:ind w:left="0"/>
        <w:jc w:val="both"/>
      </w:pPr>
      <w:r>
        <w:rPr>
          <w:rFonts w:ascii="Times New Roman"/>
          <w:b w:val="false"/>
          <w:i w:val="false"/>
          <w:color w:val="000000"/>
          <w:sz w:val="28"/>
        </w:rPr>
        <w:t xml:space="preserve">
      3) нераспределенного чистого дохода прошлых лет (в том числе фонды, резервы, сформированные за счет чистого дохода прошлых лет); </w:t>
      </w:r>
    </w:p>
    <w:p>
      <w:pPr>
        <w:spacing w:after="0"/>
        <w:ind w:left="0"/>
        <w:jc w:val="both"/>
      </w:pPr>
      <w:r>
        <w:rPr>
          <w:rFonts w:ascii="Times New Roman"/>
          <w:b w:val="false"/>
          <w:i w:val="false"/>
          <w:color w:val="000000"/>
          <w:sz w:val="28"/>
        </w:rPr>
        <w:t xml:space="preserve">
      4) резервного капитала; </w:t>
      </w:r>
    </w:p>
    <w:p>
      <w:pPr>
        <w:spacing w:after="0"/>
        <w:ind w:left="0"/>
        <w:jc w:val="both"/>
      </w:pPr>
      <w:r>
        <w:rPr>
          <w:rFonts w:ascii="Times New Roman"/>
          <w:b w:val="false"/>
          <w:i w:val="false"/>
          <w:color w:val="000000"/>
          <w:sz w:val="28"/>
        </w:rPr>
        <w:t xml:space="preserve">
      5) резервов на покрытие непредвиденных потерь, </w:t>
      </w:r>
    </w:p>
    <w:p>
      <w:pPr>
        <w:spacing w:after="0"/>
        <w:ind w:left="0"/>
        <w:jc w:val="both"/>
      </w:pPr>
      <w:r>
        <w:rPr>
          <w:rFonts w:ascii="Times New Roman"/>
          <w:b w:val="false"/>
          <w:i w:val="false"/>
          <w:color w:val="000000"/>
          <w:sz w:val="28"/>
        </w:rPr>
        <w:t>
      за минусом:</w:t>
      </w:r>
    </w:p>
    <w:p>
      <w:pPr>
        <w:spacing w:after="0"/>
        <w:ind w:left="0"/>
        <w:jc w:val="both"/>
      </w:pPr>
      <w:r>
        <w:rPr>
          <w:rFonts w:ascii="Times New Roman"/>
          <w:b w:val="false"/>
          <w:i w:val="false"/>
          <w:color w:val="000000"/>
          <w:sz w:val="28"/>
        </w:rPr>
        <w:t xml:space="preserve">
      6) нематериальных активов; </w:t>
      </w:r>
    </w:p>
    <w:p>
      <w:pPr>
        <w:spacing w:after="0"/>
        <w:ind w:left="0"/>
        <w:jc w:val="both"/>
      </w:pPr>
      <w:r>
        <w:rPr>
          <w:rFonts w:ascii="Times New Roman"/>
          <w:b w:val="false"/>
          <w:i w:val="false"/>
          <w:color w:val="000000"/>
          <w:sz w:val="28"/>
        </w:rPr>
        <w:t xml:space="preserve">
      7) убытков прошлых лет; </w:t>
      </w:r>
    </w:p>
    <w:p>
      <w:pPr>
        <w:spacing w:after="0"/>
        <w:ind w:left="0"/>
        <w:jc w:val="both"/>
      </w:pPr>
      <w:r>
        <w:rPr>
          <w:rFonts w:ascii="Times New Roman"/>
          <w:b w:val="false"/>
          <w:i w:val="false"/>
          <w:color w:val="000000"/>
          <w:sz w:val="28"/>
        </w:rPr>
        <w:t xml:space="preserve">
      8) убытка текущего года. </w:t>
      </w:r>
    </w:p>
    <w:bookmarkStart w:name="z13" w:id="11"/>
    <w:p>
      <w:pPr>
        <w:spacing w:after="0"/>
        <w:ind w:left="0"/>
        <w:jc w:val="both"/>
      </w:pPr>
      <w:r>
        <w:rPr>
          <w:rFonts w:ascii="Times New Roman"/>
          <w:b w:val="false"/>
          <w:i w:val="false"/>
          <w:color w:val="000000"/>
          <w:sz w:val="28"/>
        </w:rPr>
        <w:t xml:space="preserve">
      5. Капитал 2 уровня рассчитывается как сумма: </w:t>
      </w:r>
    </w:p>
    <w:bookmarkEnd w:id="11"/>
    <w:p>
      <w:pPr>
        <w:spacing w:after="0"/>
        <w:ind w:left="0"/>
        <w:jc w:val="both"/>
      </w:pPr>
      <w:r>
        <w:rPr>
          <w:rFonts w:ascii="Times New Roman"/>
          <w:b w:val="false"/>
          <w:i w:val="false"/>
          <w:color w:val="000000"/>
          <w:sz w:val="28"/>
        </w:rPr>
        <w:t xml:space="preserve">
      1) размера нераспределенного чистого дохода текущего года; </w:t>
      </w:r>
    </w:p>
    <w:p>
      <w:pPr>
        <w:spacing w:after="0"/>
        <w:ind w:left="0"/>
        <w:jc w:val="both"/>
      </w:pPr>
      <w:r>
        <w:rPr>
          <w:rFonts w:ascii="Times New Roman"/>
          <w:b w:val="false"/>
          <w:i w:val="false"/>
          <w:color w:val="000000"/>
          <w:sz w:val="28"/>
        </w:rPr>
        <w:t xml:space="preserve">
      2) резерва переоценки основных средств и ценных бумаг; </w:t>
      </w:r>
    </w:p>
    <w:p>
      <w:pPr>
        <w:spacing w:after="0"/>
        <w:ind w:left="0"/>
        <w:jc w:val="both"/>
      </w:pPr>
      <w:r>
        <w:rPr>
          <w:rFonts w:ascii="Times New Roman"/>
          <w:b w:val="false"/>
          <w:i w:val="false"/>
          <w:color w:val="000000"/>
          <w:sz w:val="28"/>
        </w:rPr>
        <w:t xml:space="preserve">
      3) гибридных инструментов (инструментов с характеристиками капитала и долга); </w:t>
      </w:r>
    </w:p>
    <w:p>
      <w:pPr>
        <w:spacing w:after="0"/>
        <w:ind w:left="0"/>
        <w:jc w:val="both"/>
      </w:pPr>
      <w:r>
        <w:rPr>
          <w:rFonts w:ascii="Times New Roman"/>
          <w:b w:val="false"/>
          <w:i w:val="false"/>
          <w:color w:val="000000"/>
          <w:sz w:val="28"/>
        </w:rPr>
        <w:t>
      4) субординированного долга банка со сроком более 5 лет в сумме, не превышающей пятьдесят процентов суммы капитала 1 уровня,</w:t>
      </w:r>
    </w:p>
    <w:p>
      <w:pPr>
        <w:spacing w:after="0"/>
        <w:ind w:left="0"/>
        <w:jc w:val="both"/>
      </w:pPr>
      <w:r>
        <w:rPr>
          <w:rFonts w:ascii="Times New Roman"/>
          <w:b w:val="false"/>
          <w:i w:val="false"/>
          <w:color w:val="000000"/>
          <w:sz w:val="28"/>
        </w:rPr>
        <w:t>
      за минусом:</w:t>
      </w:r>
    </w:p>
    <w:p>
      <w:pPr>
        <w:spacing w:after="0"/>
        <w:ind w:left="0"/>
        <w:jc w:val="both"/>
      </w:pPr>
      <w:r>
        <w:rPr>
          <w:rFonts w:ascii="Times New Roman"/>
          <w:b w:val="false"/>
          <w:i w:val="false"/>
          <w:color w:val="000000"/>
          <w:sz w:val="28"/>
        </w:rPr>
        <w:t xml:space="preserve">
      5) выкупленного собственного субординированного долга банка;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постановлением Правительства РК от 31.10.2016 </w:t>
      </w:r>
      <w:r>
        <w:rPr>
          <w:rFonts w:ascii="Times New Roman"/>
          <w:b w:val="false"/>
          <w:i w:val="false"/>
          <w:color w:val="000000"/>
          <w:sz w:val="28"/>
        </w:rPr>
        <w:t>№ 633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31.10.2016 </w:t>
      </w:r>
      <w:r>
        <w:rPr>
          <w:rFonts w:ascii="Times New Roman"/>
          <w:b w:val="false"/>
          <w:i w:val="false"/>
          <w:color w:val="000000"/>
          <w:sz w:val="28"/>
        </w:rPr>
        <w:t>№ 633</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Субординированный долг банка - это необеспеченное обязательство банка, соответствующее следующим условиям: </w:t>
      </w:r>
    </w:p>
    <w:bookmarkEnd w:id="12"/>
    <w:p>
      <w:pPr>
        <w:spacing w:after="0"/>
        <w:ind w:left="0"/>
        <w:jc w:val="both"/>
      </w:pPr>
      <w:r>
        <w:rPr>
          <w:rFonts w:ascii="Times New Roman"/>
          <w:b w:val="false"/>
          <w:i w:val="false"/>
          <w:color w:val="000000"/>
          <w:sz w:val="28"/>
        </w:rPr>
        <w:t xml:space="preserve">
      1) не является вкладом либо обязательством на предъявителя; </w:t>
      </w:r>
    </w:p>
    <w:p>
      <w:pPr>
        <w:spacing w:after="0"/>
        <w:ind w:left="0"/>
        <w:jc w:val="both"/>
      </w:pPr>
      <w:r>
        <w:rPr>
          <w:rFonts w:ascii="Times New Roman"/>
          <w:b w:val="false"/>
          <w:i w:val="false"/>
          <w:color w:val="000000"/>
          <w:sz w:val="28"/>
        </w:rPr>
        <w:t xml:space="preserve">
      2) не является залоговым обеспечением по требованиям банка или аффилиированных с ним лиц; </w:t>
      </w:r>
    </w:p>
    <w:p>
      <w:pPr>
        <w:spacing w:after="0"/>
        <w:ind w:left="0"/>
        <w:jc w:val="both"/>
      </w:pPr>
      <w:r>
        <w:rPr>
          <w:rFonts w:ascii="Times New Roman"/>
          <w:b w:val="false"/>
          <w:i w:val="false"/>
          <w:color w:val="000000"/>
          <w:sz w:val="28"/>
        </w:rPr>
        <w:t xml:space="preserve">
      3) при ликвидации банка удовлетворяется до исполнения банком обязательств по бессрочным финансовым инструментам в соответствии с очередностью,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p>
    <w:p>
      <w:pPr>
        <w:spacing w:after="0"/>
        <w:ind w:left="0"/>
        <w:jc w:val="both"/>
      </w:pPr>
      <w:r>
        <w:rPr>
          <w:rFonts w:ascii="Times New Roman"/>
          <w:b w:val="false"/>
          <w:i w:val="false"/>
          <w:color w:val="000000"/>
          <w:sz w:val="28"/>
        </w:rPr>
        <w:t xml:space="preserve">
      4) может быть погашено (полностью или частично) банком, в том числе досрочно только по инициативе банка, при условии, что такое погашение в соответствии с заключением уполномоченного органа банка впоследствии не может привести к несоблюдению банком коэффициентов достаточности капитала, определяемых настоящей методикой. </w:t>
      </w:r>
    </w:p>
    <w:bookmarkStart w:name="z34" w:id="13"/>
    <w:p>
      <w:pPr>
        <w:spacing w:after="0"/>
        <w:ind w:left="0"/>
        <w:jc w:val="both"/>
      </w:pPr>
      <w:r>
        <w:rPr>
          <w:rFonts w:ascii="Times New Roman"/>
          <w:b w:val="false"/>
          <w:i w:val="false"/>
          <w:color w:val="000000"/>
          <w:sz w:val="28"/>
        </w:rPr>
        <w:t>
      Субординированный долг банка, включаемый в собственный капитал, - это субординированный долг, имеющий срок привлечения более пяти лет до начала погашения.</w:t>
      </w:r>
    </w:p>
    <w:bookmarkEnd w:id="13"/>
    <w:p>
      <w:pPr>
        <w:spacing w:after="0"/>
        <w:ind w:left="0"/>
        <w:jc w:val="both"/>
      </w:pPr>
      <w:r>
        <w:rPr>
          <w:rFonts w:ascii="Times New Roman"/>
          <w:b w:val="false"/>
          <w:i w:val="false"/>
          <w:color w:val="000000"/>
          <w:sz w:val="28"/>
        </w:rPr>
        <w:t>
      Субординированный долг банка включается в расчет собственного капитала банка:</w:t>
      </w:r>
    </w:p>
    <w:p>
      <w:pPr>
        <w:spacing w:after="0"/>
        <w:ind w:left="0"/>
        <w:jc w:val="both"/>
      </w:pPr>
      <w:r>
        <w:rPr>
          <w:rFonts w:ascii="Times New Roman"/>
          <w:b w:val="false"/>
          <w:i w:val="false"/>
          <w:color w:val="000000"/>
          <w:sz w:val="28"/>
        </w:rPr>
        <w:t>
      в течение срока более пяти лет до начала погашения долга - в полной сумме долга,</w:t>
      </w:r>
    </w:p>
    <w:p>
      <w:pPr>
        <w:spacing w:after="0"/>
        <w:ind w:left="0"/>
        <w:jc w:val="both"/>
      </w:pPr>
      <w:r>
        <w:rPr>
          <w:rFonts w:ascii="Times New Roman"/>
          <w:b w:val="false"/>
          <w:i w:val="false"/>
          <w:color w:val="000000"/>
          <w:sz w:val="28"/>
        </w:rPr>
        <w:t>
      в течение пяти лет, оставшихся до начала погашения долга:</w:t>
      </w:r>
    </w:p>
    <w:p>
      <w:pPr>
        <w:spacing w:after="0"/>
        <w:ind w:left="0"/>
        <w:jc w:val="both"/>
      </w:pPr>
      <w:r>
        <w:rPr>
          <w:rFonts w:ascii="Times New Roman"/>
          <w:b w:val="false"/>
          <w:i w:val="false"/>
          <w:color w:val="000000"/>
          <w:sz w:val="28"/>
        </w:rPr>
        <w:t>
      1-й год - 100 процентов суммы субординированного долга;</w:t>
      </w:r>
    </w:p>
    <w:p>
      <w:pPr>
        <w:spacing w:after="0"/>
        <w:ind w:left="0"/>
        <w:jc w:val="both"/>
      </w:pPr>
      <w:r>
        <w:rPr>
          <w:rFonts w:ascii="Times New Roman"/>
          <w:b w:val="false"/>
          <w:i w:val="false"/>
          <w:color w:val="000000"/>
          <w:sz w:val="28"/>
        </w:rPr>
        <w:t>
      2-й год - 80 процентов суммы субординированного долга;</w:t>
      </w:r>
    </w:p>
    <w:p>
      <w:pPr>
        <w:spacing w:after="0"/>
        <w:ind w:left="0"/>
        <w:jc w:val="both"/>
      </w:pPr>
      <w:r>
        <w:rPr>
          <w:rFonts w:ascii="Times New Roman"/>
          <w:b w:val="false"/>
          <w:i w:val="false"/>
          <w:color w:val="000000"/>
          <w:sz w:val="28"/>
        </w:rPr>
        <w:t>
      3-й год - 60 процентов суммы субординированного долга;</w:t>
      </w:r>
    </w:p>
    <w:p>
      <w:pPr>
        <w:spacing w:after="0"/>
        <w:ind w:left="0"/>
        <w:jc w:val="both"/>
      </w:pPr>
      <w:r>
        <w:rPr>
          <w:rFonts w:ascii="Times New Roman"/>
          <w:b w:val="false"/>
          <w:i w:val="false"/>
          <w:color w:val="000000"/>
          <w:sz w:val="28"/>
        </w:rPr>
        <w:t>
      4-й год - 40 процентов суммы субординированного долга;</w:t>
      </w:r>
    </w:p>
    <w:p>
      <w:pPr>
        <w:spacing w:after="0"/>
        <w:ind w:left="0"/>
        <w:jc w:val="both"/>
      </w:pPr>
      <w:r>
        <w:rPr>
          <w:rFonts w:ascii="Times New Roman"/>
          <w:b w:val="false"/>
          <w:i w:val="false"/>
          <w:color w:val="000000"/>
          <w:sz w:val="28"/>
        </w:rPr>
        <w:t>
      5-й год - 20 процентов суммы субординированного долга.</w:t>
      </w:r>
    </w:p>
    <w:p>
      <w:pPr>
        <w:spacing w:after="0"/>
        <w:ind w:left="0"/>
        <w:jc w:val="both"/>
      </w:pPr>
      <w:r>
        <w:rPr>
          <w:rFonts w:ascii="Times New Roman"/>
          <w:b w:val="false"/>
          <w:i w:val="false"/>
          <w:color w:val="000000"/>
          <w:sz w:val="28"/>
        </w:rPr>
        <w:t>
      Субординированным долгом банка также признается заем,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не может привести к ухудшению финансового положения банка и нарушению требований действующего законодательства Республики Казахстан.</w:t>
      </w:r>
    </w:p>
    <w:p>
      <w:pPr>
        <w:spacing w:after="0"/>
        <w:ind w:left="0"/>
        <w:jc w:val="both"/>
      </w:pPr>
      <w:r>
        <w:rPr>
          <w:rFonts w:ascii="Times New Roman"/>
          <w:b w:val="false"/>
          <w:i w:val="false"/>
          <w:color w:val="000000"/>
          <w:sz w:val="28"/>
        </w:rPr>
        <w:t>
      Субординированным долгом банка также признается заем, привлеченный от акционера банка, соответствующий требованиям настоящего пункта, за исключением подпункта 4), при условии, что если договором предусмотрена возможность досрочного (полного или частичного) погашения займа по инициативе заемщика либо акционера, то такое погашение не должно привести к нарушению законодательства Республики Казахстан и/или несоблюдению банком коэффициентов достаточности капитала, определяемых настоящей методикой.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31.10.2016 </w:t>
      </w:r>
      <w:r>
        <w:rPr>
          <w:rFonts w:ascii="Times New Roman"/>
          <w:b w:val="false"/>
          <w:i w:val="false"/>
          <w:color w:val="000000"/>
          <w:sz w:val="28"/>
        </w:rPr>
        <w:t>№ 633</w:t>
      </w:r>
      <w:r>
        <w:rPr>
          <w:rFonts w:ascii="Times New Roman"/>
          <w:b w:val="false"/>
          <w:i w:val="false"/>
          <w:color w:val="ff0000"/>
          <w:sz w:val="28"/>
        </w:rPr>
        <w:t>.</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7. К гибридным инструментам (инструменты с характеристиками капитала и долга) могут относиться инструменты со следующими характеристиками: </w:t>
      </w:r>
    </w:p>
    <w:bookmarkEnd w:id="14"/>
    <w:p>
      <w:pPr>
        <w:spacing w:after="0"/>
        <w:ind w:left="0"/>
        <w:jc w:val="both"/>
      </w:pPr>
      <w:r>
        <w:rPr>
          <w:rFonts w:ascii="Times New Roman"/>
          <w:b w:val="false"/>
          <w:i w:val="false"/>
          <w:color w:val="000000"/>
          <w:sz w:val="28"/>
        </w:rPr>
        <w:t xml:space="preserve">
      1) инструмент является необеспеченным, субординированным и полностью оплачен; </w:t>
      </w:r>
    </w:p>
    <w:p>
      <w:pPr>
        <w:spacing w:after="0"/>
        <w:ind w:left="0"/>
        <w:jc w:val="both"/>
      </w:pPr>
      <w:r>
        <w:rPr>
          <w:rFonts w:ascii="Times New Roman"/>
          <w:b w:val="false"/>
          <w:i w:val="false"/>
          <w:color w:val="000000"/>
          <w:sz w:val="28"/>
        </w:rPr>
        <w:t xml:space="preserve">
      2) не подлежат погашению по инициативе держателя и/или без согласия регулирующего органа; </w:t>
      </w:r>
    </w:p>
    <w:p>
      <w:pPr>
        <w:spacing w:after="0"/>
        <w:ind w:left="0"/>
        <w:jc w:val="both"/>
      </w:pPr>
      <w:r>
        <w:rPr>
          <w:rFonts w:ascii="Times New Roman"/>
          <w:b w:val="false"/>
          <w:i w:val="false"/>
          <w:color w:val="000000"/>
          <w:sz w:val="28"/>
        </w:rPr>
        <w:t xml:space="preserve">
      3) могут быть использованы для покрытия потерь без обязательной приостановки торгов со стороны банка (в отличие от традиционных субординированных долгов); </w:t>
      </w:r>
    </w:p>
    <w:p>
      <w:pPr>
        <w:spacing w:after="0"/>
        <w:ind w:left="0"/>
        <w:jc w:val="both"/>
      </w:pPr>
      <w:r>
        <w:rPr>
          <w:rFonts w:ascii="Times New Roman"/>
          <w:b w:val="false"/>
          <w:i w:val="false"/>
          <w:color w:val="000000"/>
          <w:sz w:val="28"/>
        </w:rPr>
        <w:t xml:space="preserve">
      4) несмотря на обязательства по выплате вознаграждения, выплаты могут не производиться в случае, если этого не позволяет доходность банка. </w:t>
      </w:r>
    </w:p>
    <w:bookmarkStart w:name="z16" w:id="15"/>
    <w:p>
      <w:pPr>
        <w:spacing w:after="0"/>
        <w:ind w:left="0"/>
        <w:jc w:val="both"/>
      </w:pPr>
      <w:r>
        <w:rPr>
          <w:rFonts w:ascii="Times New Roman"/>
          <w:b w:val="false"/>
          <w:i w:val="false"/>
          <w:color w:val="000000"/>
          <w:sz w:val="28"/>
        </w:rPr>
        <w:t xml:space="preserve">
      8. Капитал 2 уровня не должен превышать 100 % капитала 1 уровня. </w:t>
      </w:r>
    </w:p>
    <w:bookmarkEnd w:id="15"/>
    <w:bookmarkStart w:name="z17" w:id="16"/>
    <w:p>
      <w:pPr>
        <w:spacing w:after="0"/>
        <w:ind w:left="0"/>
        <w:jc w:val="both"/>
      </w:pPr>
      <w:r>
        <w:rPr>
          <w:rFonts w:ascii="Times New Roman"/>
          <w:b w:val="false"/>
          <w:i w:val="false"/>
          <w:color w:val="000000"/>
          <w:sz w:val="28"/>
        </w:rPr>
        <w:t>
      9. Коэффициенты достаточности капитала рассчитываются следующим образом:</w:t>
      </w:r>
    </w:p>
    <w:bookmarkEnd w:id="16"/>
    <w:p>
      <w:pPr>
        <w:spacing w:after="0"/>
        <w:ind w:left="0"/>
        <w:jc w:val="both"/>
      </w:pPr>
      <w:r>
        <w:rPr>
          <w:rFonts w:ascii="Times New Roman"/>
          <w:b w:val="false"/>
          <w:i w:val="false"/>
          <w:color w:val="000000"/>
          <w:sz w:val="28"/>
        </w:rPr>
        <w:t>
      капитал 1 уровня</w:t>
      </w:r>
    </w:p>
    <w:p>
      <w:pPr>
        <w:spacing w:after="0"/>
        <w:ind w:left="0"/>
        <w:jc w:val="both"/>
      </w:pPr>
      <w:r>
        <w:rPr>
          <w:rFonts w:ascii="Times New Roman"/>
          <w:b w:val="false"/>
          <w:i w:val="false"/>
          <w:color w:val="000000"/>
          <w:sz w:val="28"/>
        </w:rPr>
        <w:t>
      КДК 1 = ______________________________________________________</w:t>
      </w:r>
    </w:p>
    <w:p>
      <w:pPr>
        <w:spacing w:after="0"/>
        <w:ind w:left="0"/>
        <w:jc w:val="both"/>
      </w:pPr>
      <w:r>
        <w:rPr>
          <w:rFonts w:ascii="Times New Roman"/>
          <w:b w:val="false"/>
          <w:i w:val="false"/>
          <w:color w:val="000000"/>
          <w:sz w:val="28"/>
        </w:rPr>
        <w:t>
      активы, условные и возможные обязательства, взвешенные</w:t>
      </w:r>
    </w:p>
    <w:p>
      <w:pPr>
        <w:spacing w:after="0"/>
        <w:ind w:left="0"/>
        <w:jc w:val="both"/>
      </w:pPr>
      <w:r>
        <w:rPr>
          <w:rFonts w:ascii="Times New Roman"/>
          <w:b w:val="false"/>
          <w:i w:val="false"/>
          <w:color w:val="000000"/>
          <w:sz w:val="28"/>
        </w:rPr>
        <w:t>
      по степени риска</w:t>
      </w:r>
    </w:p>
    <w:p>
      <w:pPr>
        <w:spacing w:after="0"/>
        <w:ind w:left="0"/>
        <w:jc w:val="both"/>
      </w:pPr>
      <w:r>
        <w:rPr>
          <w:rFonts w:ascii="Times New Roman"/>
          <w:b w:val="false"/>
          <w:i w:val="false"/>
          <w:color w:val="000000"/>
          <w:sz w:val="28"/>
        </w:rPr>
        <w:t>
      капитал 1 уровня + капитал 2 уровня</w:t>
      </w:r>
    </w:p>
    <w:p>
      <w:pPr>
        <w:spacing w:after="0"/>
        <w:ind w:left="0"/>
        <w:jc w:val="both"/>
      </w:pPr>
      <w:r>
        <w:rPr>
          <w:rFonts w:ascii="Times New Roman"/>
          <w:b w:val="false"/>
          <w:i w:val="false"/>
          <w:color w:val="000000"/>
          <w:sz w:val="28"/>
        </w:rPr>
        <w:t>
      КДК 2 = ______________________________________________________</w:t>
      </w:r>
    </w:p>
    <w:p>
      <w:pPr>
        <w:spacing w:after="0"/>
        <w:ind w:left="0"/>
        <w:jc w:val="both"/>
      </w:pPr>
      <w:r>
        <w:rPr>
          <w:rFonts w:ascii="Times New Roman"/>
          <w:b w:val="false"/>
          <w:i w:val="false"/>
          <w:color w:val="000000"/>
          <w:sz w:val="28"/>
        </w:rPr>
        <w:t>
      активы, условные и возможные обязательства, взвешенные</w:t>
      </w:r>
    </w:p>
    <w:p>
      <w:pPr>
        <w:spacing w:after="0"/>
        <w:ind w:left="0"/>
        <w:jc w:val="both"/>
      </w:pPr>
      <w:r>
        <w:rPr>
          <w:rFonts w:ascii="Times New Roman"/>
          <w:b w:val="false"/>
          <w:i w:val="false"/>
          <w:color w:val="000000"/>
          <w:sz w:val="28"/>
        </w:rPr>
        <w:t>
      по степени риска</w:t>
      </w:r>
    </w:p>
    <w:bookmarkStart w:name="z18" w:id="17"/>
    <w:p>
      <w:pPr>
        <w:spacing w:after="0"/>
        <w:ind w:left="0"/>
        <w:jc w:val="both"/>
      </w:pPr>
      <w:r>
        <w:rPr>
          <w:rFonts w:ascii="Times New Roman"/>
          <w:b w:val="false"/>
          <w:i w:val="false"/>
          <w:color w:val="000000"/>
          <w:sz w:val="28"/>
        </w:rPr>
        <w:t xml:space="preserve">
      10. Расчет активов, взвешенных по степени кредитного риска, проводится согласно таблице активов банка, взвешенных по степени кредитного риска вложений,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w:t>
      </w:r>
    </w:p>
    <w:bookmarkEnd w:id="17"/>
    <w:bookmarkStart w:name="z19" w:id="18"/>
    <w:p>
      <w:pPr>
        <w:spacing w:after="0"/>
        <w:ind w:left="0"/>
        <w:jc w:val="both"/>
      </w:pPr>
      <w:r>
        <w:rPr>
          <w:rFonts w:ascii="Times New Roman"/>
          <w:b w:val="false"/>
          <w:i w:val="false"/>
          <w:color w:val="000000"/>
          <w:sz w:val="28"/>
        </w:rPr>
        <w:t xml:space="preserve">
      11.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таблицой условных и возможных обязательств банка, взвешенных по степени кредитного риска,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на степень риска, соответствующую категории контрагента (</w:t>
      </w:r>
      <w:r>
        <w:rPr>
          <w:rFonts w:ascii="Times New Roman"/>
          <w:b w:val="false"/>
          <w:i w:val="false"/>
          <w:color w:val="000000"/>
          <w:sz w:val="28"/>
        </w:rPr>
        <w:t>приложение 1</w:t>
      </w:r>
      <w:r>
        <w:rPr>
          <w:rFonts w:ascii="Times New Roman"/>
          <w:b w:val="false"/>
          <w:i w:val="false"/>
          <w:color w:val="000000"/>
          <w:sz w:val="28"/>
        </w:rPr>
        <w:t xml:space="preserve"> к настоящей методике), по которому банк несет кредитные риски. </w:t>
      </w:r>
    </w:p>
    <w:bookmarkEnd w:id="18"/>
    <w:bookmarkStart w:name="z20" w:id="19"/>
    <w:p>
      <w:pPr>
        <w:spacing w:after="0"/>
        <w:ind w:left="0"/>
        <w:jc w:val="both"/>
      </w:pPr>
      <w:r>
        <w:rPr>
          <w:rFonts w:ascii="Times New Roman"/>
          <w:b w:val="false"/>
          <w:i w:val="false"/>
          <w:color w:val="000000"/>
          <w:sz w:val="28"/>
        </w:rPr>
        <w:t xml:space="preserve">
      12. Активы для целей расчета коэффициентов КДК 1 и КДК 2 и активы, условные и возможные обязательства, взвешенные по степени риска, принимаемые в расчет коэффициентов КДК 1 и КДК 2, включаются за вычетом резервов, сформированных в соответствии с международными стандартами финансовой отчетности. </w:t>
      </w:r>
    </w:p>
    <w:bookmarkEnd w:id="19"/>
    <w:bookmarkStart w:name="z21" w:id="20"/>
    <w:p>
      <w:pPr>
        <w:spacing w:after="0"/>
        <w:ind w:left="0"/>
        <w:jc w:val="both"/>
      </w:pPr>
      <w:r>
        <w:rPr>
          <w:rFonts w:ascii="Times New Roman"/>
          <w:b w:val="false"/>
          <w:i w:val="false"/>
          <w:color w:val="000000"/>
          <w:sz w:val="28"/>
        </w:rPr>
        <w:t xml:space="preserve">
      13. Для целей настоящей методики, помимо долгосрочных кредитных рейтинговых оценок агентства Standard&amp;Poor's, также признаются долгосрочные кредитные рейтинговые оценки агентств Moody's Investors Service и Fitch (далее - рейтинговые агентства). </w:t>
      </w:r>
    </w:p>
    <w:bookmarkEnd w:id="20"/>
    <w:bookmarkStart w:name="z22" w:id="21"/>
    <w:p>
      <w:pPr>
        <w:spacing w:after="0"/>
        <w:ind w:left="0"/>
        <w:jc w:val="both"/>
      </w:pPr>
      <w:r>
        <w:rPr>
          <w:rFonts w:ascii="Times New Roman"/>
          <w:b w:val="false"/>
          <w:i w:val="false"/>
          <w:color w:val="000000"/>
          <w:sz w:val="28"/>
        </w:rPr>
        <w:t xml:space="preserve">
      14. Требования к капиталу для покрытия рыночных рисков определяются как сумма месячного валютного и месячного процентного рисков, рассчитанная в соответствии с внутренними документами банка по управлению валютным и процентным рисками. </w:t>
      </w:r>
    </w:p>
    <w:bookmarkEnd w:id="21"/>
    <w:bookmarkStart w:name="z23" w:id="22"/>
    <w:p>
      <w:pPr>
        <w:spacing w:after="0"/>
        <w:ind w:left="0"/>
        <w:jc w:val="both"/>
      </w:pPr>
      <w:r>
        <w:rPr>
          <w:rFonts w:ascii="Times New Roman"/>
          <w:b w:val="false"/>
          <w:i w:val="false"/>
          <w:color w:val="000000"/>
          <w:sz w:val="28"/>
        </w:rPr>
        <w:t xml:space="preserve">
      15. Требование к капиталу для покрытия операционного риска определяется в соответствии с внутренним документом банка по управлению операционными рисками. </w:t>
      </w:r>
    </w:p>
    <w:bookmarkEnd w:id="22"/>
    <w:bookmarkStart w:name="z24" w:id="23"/>
    <w:p>
      <w:pPr>
        <w:spacing w:after="0"/>
        <w:ind w:left="0"/>
        <w:jc w:val="both"/>
      </w:pPr>
      <w:r>
        <w:rPr>
          <w:rFonts w:ascii="Times New Roman"/>
          <w:b w:val="false"/>
          <w:i w:val="false"/>
          <w:color w:val="000000"/>
          <w:sz w:val="28"/>
        </w:rPr>
        <w:t xml:space="preserve">
      16. К сумме активов, условных и возможных обязательств, взвешенных по степени риска, также суммируются требования к капиталу для покрытия рыночных и операционных рисков, помноженные на 8,3. </w:t>
      </w:r>
    </w:p>
    <w:bookmarkEnd w:id="23"/>
    <w:bookmarkStart w:name="z25" w:id="24"/>
    <w:p>
      <w:pPr>
        <w:spacing w:after="0"/>
        <w:ind w:left="0"/>
        <w:jc w:val="left"/>
      </w:pPr>
      <w:r>
        <w:rPr>
          <w:rFonts w:ascii="Times New Roman"/>
          <w:b/>
          <w:i w:val="false"/>
          <w:color w:val="000000"/>
        </w:rPr>
        <w:t xml:space="preserve"> 3. Расчет уровня долговой нагрузки</w:t>
      </w:r>
    </w:p>
    <w:bookmarkEnd w:id="24"/>
    <w:bookmarkStart w:name="z26" w:id="25"/>
    <w:p>
      <w:pPr>
        <w:spacing w:after="0"/>
        <w:ind w:left="0"/>
        <w:jc w:val="both"/>
      </w:pPr>
      <w:r>
        <w:rPr>
          <w:rFonts w:ascii="Times New Roman"/>
          <w:b w:val="false"/>
          <w:i w:val="false"/>
          <w:color w:val="000000"/>
          <w:sz w:val="28"/>
        </w:rPr>
        <w:t>
      17. Уровень долговой нагрузки рассчитывается следующим образом:</w:t>
      </w:r>
    </w:p>
    <w:bookmarkEnd w:id="25"/>
    <w:p>
      <w:pPr>
        <w:spacing w:after="0"/>
        <w:ind w:left="0"/>
        <w:jc w:val="both"/>
      </w:pPr>
      <w:r>
        <w:rPr>
          <w:rFonts w:ascii="Times New Roman"/>
          <w:b w:val="false"/>
          <w:i w:val="false"/>
          <w:color w:val="000000"/>
          <w:sz w:val="28"/>
        </w:rPr>
        <w:t xml:space="preserve">
                                     совокупный долг (обязательства) банка </w:t>
      </w:r>
    </w:p>
    <w:p>
      <w:pPr>
        <w:spacing w:after="0"/>
        <w:ind w:left="0"/>
        <w:jc w:val="both"/>
      </w:pPr>
      <w:r>
        <w:rPr>
          <w:rFonts w:ascii="Times New Roman"/>
          <w:b w:val="false"/>
          <w:i w:val="false"/>
          <w:color w:val="000000"/>
          <w:sz w:val="28"/>
        </w:rPr>
        <w:t>
      Уровень долговой нагрузки = _________________________________________</w:t>
      </w:r>
    </w:p>
    <w:p>
      <w:pPr>
        <w:spacing w:after="0"/>
        <w:ind w:left="0"/>
        <w:jc w:val="both"/>
      </w:pPr>
      <w:r>
        <w:rPr>
          <w:rFonts w:ascii="Times New Roman"/>
          <w:b w:val="false"/>
          <w:i w:val="false"/>
          <w:color w:val="000000"/>
          <w:sz w:val="28"/>
        </w:rPr>
        <w:t>
      собственный капитал банка</w:t>
      </w:r>
    </w:p>
    <w:p>
      <w:pPr>
        <w:spacing w:after="0"/>
        <w:ind w:left="0"/>
        <w:jc w:val="both"/>
      </w:pPr>
      <w:r>
        <w:rPr>
          <w:rFonts w:ascii="Times New Roman"/>
          <w:b w:val="false"/>
          <w:i w:val="false"/>
          <w:color w:val="000000"/>
          <w:sz w:val="28"/>
        </w:rPr>
        <w:t>
      Под совокупным долгом понимается общая сумма обязательств на консолидированной основе, определяемая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Под собственным капиталом понимается размер капитала банка на консолидированной основе, определяемый в соответствии с международными стандартами финансовой отчетности.</w:t>
      </w:r>
    </w:p>
    <w:bookmarkStart w:name="z27" w:id="26"/>
    <w:p>
      <w:pPr>
        <w:spacing w:after="0"/>
        <w:ind w:left="0"/>
        <w:jc w:val="left"/>
      </w:pPr>
      <w:r>
        <w:rPr>
          <w:rFonts w:ascii="Times New Roman"/>
          <w:b/>
          <w:i w:val="false"/>
          <w:color w:val="000000"/>
        </w:rPr>
        <w:t xml:space="preserve"> 4. Заключительные положения</w:t>
      </w:r>
    </w:p>
    <w:bookmarkEnd w:id="26"/>
    <w:bookmarkStart w:name="z28" w:id="27"/>
    <w:p>
      <w:pPr>
        <w:spacing w:after="0"/>
        <w:ind w:left="0"/>
        <w:jc w:val="both"/>
      </w:pPr>
      <w:r>
        <w:rPr>
          <w:rFonts w:ascii="Times New Roman"/>
          <w:b w:val="false"/>
          <w:i w:val="false"/>
          <w:color w:val="000000"/>
          <w:sz w:val="28"/>
        </w:rPr>
        <w:t>
      18. Для расчета пороговых значений коэффициентов достаточности капитала первого и второго уровней, а также уровня долговой нагрузки используется консолидированная финансовая отчетность, подготовленная в соответствии с международными стандартами финансовой отчетности.</w:t>
      </w:r>
    </w:p>
    <w:bookmarkEnd w:id="27"/>
    <w:bookmarkStart w:name="z29" w:id="28"/>
    <w:p>
      <w:pPr>
        <w:spacing w:after="0"/>
        <w:ind w:left="0"/>
        <w:jc w:val="both"/>
      </w:pPr>
      <w:r>
        <w:rPr>
          <w:rFonts w:ascii="Times New Roman"/>
          <w:b w:val="false"/>
          <w:i w:val="false"/>
          <w:color w:val="000000"/>
          <w:sz w:val="28"/>
        </w:rPr>
        <w:t>
      19. Акционер банка в рамках поддержания параметров финансовой устойчивости (коэффициентов) утверждает внутренние акты, содержащие механизмы контроля деятельности банка. Совет директоров банка обеспечивает формирование и осуществление внутреннего контроля за системой корпоративного управления рисками банка.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пороговых значений параметров</w:t>
            </w:r>
            <w:r>
              <w:br/>
            </w:r>
            <w:r>
              <w:rPr>
                <w:rFonts w:ascii="Times New Roman"/>
                <w:b w:val="false"/>
                <w:i w:val="false"/>
                <w:color w:val="000000"/>
                <w:sz w:val="20"/>
              </w:rPr>
              <w:t>финансовой устойчивости</w:t>
            </w:r>
            <w:r>
              <w:br/>
            </w:r>
            <w:r>
              <w:rPr>
                <w:rFonts w:ascii="Times New Roman"/>
                <w:b w:val="false"/>
                <w:i w:val="false"/>
                <w:color w:val="000000"/>
                <w:sz w:val="20"/>
              </w:rPr>
              <w:t>(коэффициентов) Банка</w:t>
            </w:r>
            <w:r>
              <w:br/>
            </w:r>
            <w:r>
              <w:rPr>
                <w:rFonts w:ascii="Times New Roman"/>
                <w:b w:val="false"/>
                <w:i w:val="false"/>
                <w:color w:val="000000"/>
                <w:sz w:val="20"/>
              </w:rPr>
              <w:t>Развития Казахстана</w:t>
            </w:r>
          </w:p>
        </w:tc>
      </w:tr>
    </w:tbl>
    <w:bookmarkStart w:name="z31" w:id="29"/>
    <w:p>
      <w:pPr>
        <w:spacing w:after="0"/>
        <w:ind w:left="0"/>
        <w:jc w:val="left"/>
      </w:pPr>
      <w:r>
        <w:rPr>
          <w:rFonts w:ascii="Times New Roman"/>
          <w:b/>
          <w:i w:val="false"/>
          <w:color w:val="000000"/>
        </w:rPr>
        <w:t xml:space="preserve">  Таблица активов банка,</w:t>
      </w:r>
      <w:r>
        <w:br/>
      </w:r>
      <w:r>
        <w:rPr>
          <w:rFonts w:ascii="Times New Roman"/>
          <w:b/>
          <w:i w:val="false"/>
          <w:color w:val="000000"/>
        </w:rPr>
        <w:t>взвешенных по степени кредитного риска вложений</w:t>
      </w:r>
    </w:p>
    <w:bookmarkEnd w:id="2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29.12.2021 </w:t>
      </w:r>
      <w:r>
        <w:rPr>
          <w:rFonts w:ascii="Times New Roman"/>
          <w:b w:val="false"/>
          <w:i w:val="false"/>
          <w:color w:val="ff0000"/>
          <w:sz w:val="28"/>
        </w:rPr>
        <w:t>№ 958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Standard&amp;Poor's или рейтингом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"Фонд проблемных кредитов", "Национальный управляющий холдинг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Standard&amp;Poor's или рейтинг аналогичного уровня одного из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Standard&amp;Poor's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Standard&amp;Poor's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Standard&amp;Poor's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Standard&amp;Poor's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Standard&amp;Poor's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Standard&amp;Poor's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банка и соответствующее международному стандарту финансовой отчетности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Standard&amp;Poor's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Standard&amp;Poor's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Standard&amp;Poor's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пороговых значений параметров</w:t>
            </w:r>
            <w:r>
              <w:br/>
            </w:r>
            <w:r>
              <w:rPr>
                <w:rFonts w:ascii="Times New Roman"/>
                <w:b w:val="false"/>
                <w:i w:val="false"/>
                <w:color w:val="000000"/>
                <w:sz w:val="20"/>
              </w:rPr>
              <w:t>финансовой устойчивости</w:t>
            </w:r>
            <w:r>
              <w:br/>
            </w:r>
            <w:r>
              <w:rPr>
                <w:rFonts w:ascii="Times New Roman"/>
                <w:b w:val="false"/>
                <w:i w:val="false"/>
                <w:color w:val="000000"/>
                <w:sz w:val="20"/>
              </w:rPr>
              <w:t>(коэффициентов) Банка</w:t>
            </w:r>
            <w:r>
              <w:br/>
            </w:r>
            <w:r>
              <w:rPr>
                <w:rFonts w:ascii="Times New Roman"/>
                <w:b w:val="false"/>
                <w:i w:val="false"/>
                <w:color w:val="000000"/>
                <w:sz w:val="20"/>
              </w:rPr>
              <w:t>Развития Казахстана</w:t>
            </w:r>
          </w:p>
        </w:tc>
      </w:tr>
    </w:tbl>
    <w:bookmarkStart w:name="z33" w:id="30"/>
    <w:p>
      <w:pPr>
        <w:spacing w:after="0"/>
        <w:ind w:left="0"/>
        <w:jc w:val="left"/>
      </w:pPr>
      <w:r>
        <w:rPr>
          <w:rFonts w:ascii="Times New Roman"/>
          <w:b/>
          <w:i w:val="false"/>
          <w:color w:val="000000"/>
        </w:rPr>
        <w:t xml:space="preserve">  Таблица условных и возможных обязательств банка,</w:t>
      </w:r>
      <w:r>
        <w:br/>
      </w:r>
      <w:r>
        <w:rPr>
          <w:rFonts w:ascii="Times New Roman"/>
          <w:b/>
          <w:i w:val="false"/>
          <w:color w:val="000000"/>
        </w:rPr>
        <w:t>взвешенных по степени кредитного риска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получаемым банком займам и вкладам в будущем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