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ea8" w14:textId="89d6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разграничения деятельности национальных компаний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2015 года № 189. Утратило силу постановлением Правительства Республики Казахстан от 30 ноября 2021 года № 854.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30.11.2021 </w:t>
      </w:r>
      <w:r>
        <w:rPr>
          <w:rFonts w:ascii="Times New Roman"/>
          <w:b w:val="false"/>
          <w:i w:val="false"/>
          <w:color w:val="ff0000"/>
          <w:sz w:val="28"/>
        </w:rPr>
        <w:t>№ 854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разграничение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национальных компаний в сфере недропользования.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центральным и местным исполнительным органам Республики Казахстан, акционерному обществу "Фонд национального благосостояния "Самрук-Казына" (по согласованию) в установленном законодательством порядке принять меры, необходимые для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189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Разграничение деятельности национальных компаний</w:t>
      </w:r>
      <w:r>
        <w:br/>
      </w:r>
      <w:r>
        <w:rPr>
          <w:rFonts w:ascii="Times New Roman"/>
          <w:b/>
          <w:i w:val="false"/>
          <w:color w:val="000000"/>
        </w:rPr>
        <w:t>в сфере недропользования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Разграничение деятельности с изменением, внесенным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4158"/>
        <w:gridCol w:w="7188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национальной компании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ресурсов нефти и газа,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горнорудная компания "Tay-Кен Самрук"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твердых полезных ископаемых, за исключением урана и его соединений, разведка и добыча газа угольных бассейнов,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атомная компания "Казатомпром"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 добыча урана, его соединений, редких металлов, подземных вод для водообеспечения процесса добычи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геологоразведочная компания "Казгеология"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 недр, включая поиск и оценку месторождений полезных ископаемых, разведка твердых полезных ископаемых и подземных вод, за исключением нефти и газа, урана и его соединений, газа угольных бассейнов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10.12.2018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818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настоящее разграничение деятельности национальных компаний в сфере недропользования применяется при реализации приоритетного права государства, представлении государственных интересов в контрактах, предусматривающих долевое участие в них национальной компании, определении национальной компании, имеющей право на получение права недропользования без проведения конкурса на основе прямых переговоров, а также принятии в доверительное управление контрактной территории в случаях досрочного прекращения компетентным органом действия контракта.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