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f191" w14:textId="6e8f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июня 2014 года № 728 "Об утверждении Программы развития регионов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января 2015 года № 15. Утратило силу постановлением Правительства Республики Казахстан от 16 ноября 2018 года № 767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16.11.2018 </w:t>
      </w:r>
      <w:r>
        <w:rPr>
          <w:rFonts w:ascii="Times New Roman"/>
          <w:b w:val="false"/>
          <w:i w:val="false"/>
          <w:color w:val="ff0000"/>
          <w:sz w:val="28"/>
        </w:rPr>
        <w:t>№ 767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июня 2014 года № 728 "Об утверждении Программы развития регионов до 2020 года"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Программу</w:t>
      </w:r>
      <w:r>
        <w:rPr>
          <w:rFonts w:ascii="Times New Roman"/>
          <w:b w:val="false"/>
          <w:i w:val="false"/>
          <w:color w:val="000000"/>
          <w:sz w:val="28"/>
        </w:rPr>
        <w:t xml:space="preserve"> развития регионов до 2020 года,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3"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2015 года № 15 </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2014 года № 728</w:t>
            </w:r>
          </w:p>
        </w:tc>
      </w:tr>
    </w:tbl>
    <w:p>
      <w:pPr>
        <w:spacing w:after="0"/>
        <w:ind w:left="0"/>
        <w:jc w:val="left"/>
      </w:pPr>
      <w:r>
        <w:rPr>
          <w:rFonts w:ascii="Times New Roman"/>
          <w:b/>
          <w:i w:val="false"/>
          <w:color w:val="000000"/>
        </w:rPr>
        <w:t xml:space="preserve"> Программа развития регионов до 2020 года</w:t>
      </w:r>
      <w:r>
        <w:br/>
      </w:r>
      <w:r>
        <w:rPr>
          <w:rFonts w:ascii="Times New Roman"/>
          <w:b/>
          <w:i w:val="false"/>
          <w:color w:val="000000"/>
        </w:rPr>
        <w:t>1. Паспорт Программы</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регионов до 2020 года</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w:t>
            </w:r>
          </w:p>
          <w:p>
            <w:pPr>
              <w:spacing w:after="20"/>
              <w:ind w:left="20"/>
              <w:jc w:val="both"/>
            </w:pPr>
            <w:r>
              <w:rPr>
                <w:rFonts w:ascii="Times New Roman"/>
                <w:b w:val="false"/>
                <w:i w:val="false"/>
                <w:color w:val="000000"/>
                <w:sz w:val="20"/>
              </w:rPr>
              <w:t>
разработки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схема территориально-пространственного развития страны до 2020 года, утвержденная Указом Президента Республики Казахстан от 21 июля 2011 года № 118;</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"Стратегия "Казахстан – 2050": новый политический курс состоявшегося государства" от 14 декабря 2012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положения</w:t>
            </w:r>
            <w:r>
              <w:rPr>
                <w:rFonts w:ascii="Times New Roman"/>
                <w:b w:val="false"/>
                <w:i w:val="false"/>
                <w:color w:val="000000"/>
                <w:sz w:val="20"/>
              </w:rPr>
              <w:t xml:space="preserve"> Генеральной схемы организации территории Республики Казахстан, утвержденной постановлением Правительства Республики Казахстан от 30 декабря 2013 года № 1434;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"Нұрлы жол - путь в будущее" от 11 ноября 2011 года.</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годы </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1910"/>
              <w:gridCol w:w="1910"/>
              <w:gridCol w:w="1910"/>
              <w:gridCol w:w="1910"/>
              <w:gridCol w:w="1923"/>
            </w:tblGrid>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населения агломераций, тыс. человек</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5 894,6</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5 999,1</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6 215,8</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6 328,2</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1 083,2</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2 820,8</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2 879,3</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3 000,8</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1 581,1</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1 621,5</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Инвестиции в основной капитал на душу населения (в рамках Программы), тыс. тенге</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включая опорные сельские населенные пункты (далее – СНП) и приграничные территории</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модернизированных сетей, в том числе тепло-, электро- и газоснабжения,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Доступ к централизованному водоснабжению и водоотведению,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 в том числе:</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включая опорные СНП и приграничные территории</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p>
            <w:pPr>
              <w:spacing w:after="20"/>
              <w:ind w:left="20"/>
              <w:jc w:val="both"/>
            </w:pPr>
            <w:r>
              <w:rPr>
                <w:rFonts w:ascii="Times New Roman"/>
                <w:b w:val="false"/>
                <w:i w:val="false"/>
                <w:color w:val="000000"/>
                <w:sz w:val="20"/>
              </w:rPr>
              <w:t>
Объемы финансирования Программы составляют:</w:t>
            </w:r>
          </w:p>
          <w:p>
            <w:pPr>
              <w:spacing w:after="20"/>
              <w:ind w:left="20"/>
              <w:jc w:val="both"/>
            </w:pPr>
            <w:r>
              <w:rPr>
                <w:rFonts w:ascii="Times New Roman"/>
                <w:b w:val="false"/>
                <w:i w:val="false"/>
                <w:color w:val="000000"/>
                <w:sz w:val="20"/>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342"/>
              <w:gridCol w:w="2343"/>
              <w:gridCol w:w="2343"/>
              <w:gridCol w:w="2343"/>
              <w:gridCol w:w="2358"/>
            </w:tblGrid>
            <w:tr>
              <w:trPr>
                <w:trHeight w:val="30" w:hRule="atLeast"/>
              </w:trPr>
              <w:tc>
                <w:tcPr>
                  <w:tcW w:w="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367 234</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345 469</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418 771</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494 268</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489 014</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199 561</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201 839</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64 883</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59 599</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584 014</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564 860</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502 037</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581 991</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568 419</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 </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xml:space="preserve">
      Программа развития регионов до 2020 года (далее – Программа) разработана в рамках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"Стратегия "Казахстан – 2050": новый политический курс состоявшегося государства" от 14 декабря 2012 года.</w:t>
      </w:r>
    </w:p>
    <w:p>
      <w:pPr>
        <w:spacing w:after="0"/>
        <w:ind w:left="0"/>
        <w:jc w:val="both"/>
      </w:pPr>
      <w:r>
        <w:rPr>
          <w:rFonts w:ascii="Times New Roman"/>
          <w:b w:val="false"/>
          <w:i w:val="false"/>
          <w:color w:val="000000"/>
          <w:sz w:val="28"/>
        </w:rPr>
        <w:t xml:space="preserve">
      Программа является одним из механизмов реализации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 утвержденной Указом Президента Республики Казахстан от 21 июля 2011 года № 118. </w:t>
      </w:r>
    </w:p>
    <w:p>
      <w:pPr>
        <w:spacing w:after="0"/>
        <w:ind w:left="0"/>
        <w:jc w:val="both"/>
      </w:pPr>
      <w:r>
        <w:rPr>
          <w:rFonts w:ascii="Times New Roman"/>
          <w:b w:val="false"/>
          <w:i w:val="false"/>
          <w:color w:val="000000"/>
          <w:sz w:val="28"/>
        </w:rPr>
        <w:t xml:space="preserve">
      Прогнозная схема территориально-пространственного развития страны до 2020 года является "доктриной" новой региональной политики, целью которой является создание рациональной территориальной организации экономического потенциала и благоприятных условий для жизнедеятельности населения. </w:t>
      </w:r>
    </w:p>
    <w:p>
      <w:pPr>
        <w:spacing w:after="0"/>
        <w:ind w:left="0"/>
        <w:jc w:val="both"/>
      </w:pPr>
      <w:r>
        <w:rPr>
          <w:rFonts w:ascii="Times New Roman"/>
          <w:b w:val="false"/>
          <w:i w:val="false"/>
          <w:color w:val="000000"/>
          <w:sz w:val="28"/>
        </w:rPr>
        <w:t>
      С учетом новых задач, поставленных Главой государства, необходимо модернизировать всю систему регионального развития на современных принципах. Организация системы стратегического управления на внутриреспубликанском межрегиональном (трансрегиональном) и макрорегиональном уровнях должна сопровождаться повышением роли институтов стратегического планирования государства, регионов, общественных объединений, бизнеса и экспертного сообщества.</w:t>
      </w:r>
    </w:p>
    <w:p>
      <w:pPr>
        <w:spacing w:after="0"/>
        <w:ind w:left="0"/>
        <w:jc w:val="both"/>
      </w:pPr>
      <w:r>
        <w:rPr>
          <w:rFonts w:ascii="Times New Roman"/>
          <w:b w:val="false"/>
          <w:i w:val="false"/>
          <w:color w:val="000000"/>
          <w:sz w:val="28"/>
        </w:rPr>
        <w:t>
      За истекшие годы в Казахстане реализованы две Концепции региональной политики, направленные на выравнивание уровней социально-экономического развития регионов. Кроме этого, осуществлялась реализация программ развития сельских территорий на 2004 – 2010 годы, развития малых городов на 2004 – 2006 годы, Стратегии территориального развития страны до 2015 года. Также было принято (и в настоящее время действует) множество программных документов, в том числе государственные программы социального блока, форсированного индустриально-инновационного развития, отраслевые программы, программа занятости и другие. Все они в той или иной мере затрагивают отдельные аспекты регионального развития в регулируемых сферах.</w:t>
      </w:r>
    </w:p>
    <w:p>
      <w:pPr>
        <w:spacing w:after="0"/>
        <w:ind w:left="0"/>
        <w:jc w:val="both"/>
      </w:pPr>
      <w:r>
        <w:rPr>
          <w:rFonts w:ascii="Times New Roman"/>
          <w:b w:val="false"/>
          <w:i w:val="false"/>
          <w:color w:val="000000"/>
          <w:sz w:val="28"/>
        </w:rPr>
        <w:t xml:space="preserve">
      Вместе с тем следует признать, что, преследуя узковедомственный подход, указанные программные документы слабо сфокусированы на приоритетах государственной региональной политики, сформулированной в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до 2020 годы. Более того, критический анализ действующих программных документов выявил, что предусмотренные в них институциональные и административные ресурсы на практике оказались недостаточно скоординированными между собой, а зачастую – и дублирующими друг друга.</w:t>
      </w:r>
    </w:p>
    <w:p>
      <w:pPr>
        <w:spacing w:after="0"/>
        <w:ind w:left="0"/>
        <w:jc w:val="both"/>
      </w:pPr>
      <w:r>
        <w:rPr>
          <w:rFonts w:ascii="Times New Roman"/>
          <w:b w:val="false"/>
          <w:i w:val="false"/>
          <w:color w:val="000000"/>
          <w:sz w:val="28"/>
        </w:rPr>
        <w:t xml:space="preserve">
      В таких условиях объективно возникает требование объединения положений всех вышеуказанных программных документов вокруг одного стержня – развития регионов, или формирования центров экономического роста регионов. </w:t>
      </w:r>
    </w:p>
    <w:p>
      <w:pPr>
        <w:spacing w:after="0"/>
        <w:ind w:left="0"/>
        <w:jc w:val="both"/>
      </w:pPr>
      <w:r>
        <w:rPr>
          <w:rFonts w:ascii="Times New Roman"/>
          <w:b w:val="false"/>
          <w:i w:val="false"/>
          <w:color w:val="000000"/>
          <w:sz w:val="28"/>
        </w:rPr>
        <w:t>
      В качестве базовой идеологии региональной политики предлагается стратегия сбалансированного развития, основанная на рациональном балансе приоритетного развития перспективных центров экономического роста и поддержании регионов (различных типов систем населенных мест) с низким экономическим потенциалом на минимально достаточном уровне стандарта качества жизни. При этом такая единая Программа будет содержать конкретные и понятные инструменты государственной поддержки развития регионов согласно приоритетам формирования центров экономического роста как в рамках отдельных регионов, так и страны в целом.</w:t>
      </w:r>
    </w:p>
    <w:p>
      <w:pPr>
        <w:spacing w:after="0"/>
        <w:ind w:left="0"/>
        <w:jc w:val="both"/>
      </w:pPr>
      <w:r>
        <w:rPr>
          <w:rFonts w:ascii="Times New Roman"/>
          <w:b w:val="false"/>
          <w:i w:val="false"/>
          <w:color w:val="000000"/>
          <w:sz w:val="28"/>
        </w:rPr>
        <w:t xml:space="preserve">
      Настоящая Программа разработана на основании следующих программ: </w:t>
      </w:r>
      <w:r>
        <w:rPr>
          <w:rFonts w:ascii="Times New Roman"/>
          <w:b w:val="false"/>
          <w:i w:val="false"/>
          <w:color w:val="000000"/>
          <w:sz w:val="28"/>
        </w:rPr>
        <w:t>"Развитие регионов"</w:t>
      </w:r>
      <w:r>
        <w:rPr>
          <w:rFonts w:ascii="Times New Roman"/>
          <w:b w:val="false"/>
          <w:i w:val="false"/>
          <w:color w:val="000000"/>
          <w:sz w:val="28"/>
        </w:rPr>
        <w:t xml:space="preserve">, </w:t>
      </w:r>
      <w:r>
        <w:rPr>
          <w:rFonts w:ascii="Times New Roman"/>
          <w:b w:val="false"/>
          <w:i w:val="false"/>
          <w:color w:val="000000"/>
          <w:sz w:val="28"/>
        </w:rPr>
        <w:t>"Программы развития моногородов на 2012 – 2020 годы"</w:t>
      </w:r>
      <w:r>
        <w:rPr>
          <w:rFonts w:ascii="Times New Roman"/>
          <w:b w:val="false"/>
          <w:i w:val="false"/>
          <w:color w:val="000000"/>
          <w:sz w:val="28"/>
        </w:rPr>
        <w:t xml:space="preserve">, </w:t>
      </w:r>
      <w:r>
        <w:rPr>
          <w:rFonts w:ascii="Times New Roman"/>
          <w:b w:val="false"/>
          <w:i w:val="false"/>
          <w:color w:val="000000"/>
          <w:sz w:val="28"/>
        </w:rPr>
        <w:t>"Модернизации жилищно-коммунального хозяйства на 2011– 2020 годы"</w:t>
      </w:r>
      <w:r>
        <w:rPr>
          <w:rFonts w:ascii="Times New Roman"/>
          <w:b w:val="false"/>
          <w:i w:val="false"/>
          <w:color w:val="000000"/>
          <w:sz w:val="28"/>
        </w:rPr>
        <w:t xml:space="preserve">, "Ақбұлақ на 2011 – 2020 годы", </w:t>
      </w:r>
      <w:r>
        <w:rPr>
          <w:rFonts w:ascii="Times New Roman"/>
          <w:b w:val="false"/>
          <w:i w:val="false"/>
          <w:color w:val="000000"/>
          <w:sz w:val="28"/>
        </w:rPr>
        <w:t>"Доступное жилье – 2020"</w:t>
      </w:r>
      <w:r>
        <w:rPr>
          <w:rFonts w:ascii="Times New Roman"/>
          <w:b w:val="false"/>
          <w:i w:val="false"/>
          <w:color w:val="000000"/>
          <w:sz w:val="28"/>
        </w:rPr>
        <w:t>.</w:t>
      </w:r>
    </w:p>
    <w:p>
      <w:pPr>
        <w:spacing w:after="0"/>
        <w:ind w:left="0"/>
        <w:jc w:val="both"/>
      </w:pPr>
      <w:r>
        <w:rPr>
          <w:rFonts w:ascii="Times New Roman"/>
          <w:b w:val="false"/>
          <w:i w:val="false"/>
          <w:color w:val="000000"/>
          <w:sz w:val="28"/>
        </w:rPr>
        <w:t>
      Программа направлена на повышение качества жизни населения (развитие инфраструктуры жизнеобеспечения – энерго- и теплоисточники, системы газо-, тепло-, электроснабжения, водоснабжения и водоотведения), развитие экономического потенциала регионов, а также на развитие регионов в соответствии с их функциональной типологией и экономическим потенциалом, определяет меры административно-правового и экономического характера, способствующие переходу их к внутренней консолидации, самоорганизации и саморазвитию на рыночных началах.</w:t>
      </w:r>
    </w:p>
    <w:p>
      <w:pPr>
        <w:spacing w:after="0"/>
        <w:ind w:left="0"/>
        <w:jc w:val="both"/>
      </w:pPr>
      <w:r>
        <w:rPr>
          <w:rFonts w:ascii="Times New Roman"/>
          <w:b w:val="false"/>
          <w:i w:val="false"/>
          <w:color w:val="000000"/>
          <w:sz w:val="28"/>
        </w:rPr>
        <w:t xml:space="preserve">
      При этом направления Программы напрямую связаны с основными отраслевыми приоритетами, обозначенными в принятых государственных и отраслевых программах, особенно в таких как </w:t>
      </w:r>
      <w:r>
        <w:rPr>
          <w:rFonts w:ascii="Times New Roman"/>
          <w:b w:val="false"/>
          <w:i w:val="false"/>
          <w:color w:val="000000"/>
          <w:sz w:val="28"/>
        </w:rPr>
        <w:t>"Управление водными ресурсами"</w:t>
      </w:r>
      <w:r>
        <w:rPr>
          <w:rFonts w:ascii="Times New Roman"/>
          <w:b w:val="false"/>
          <w:i w:val="false"/>
          <w:color w:val="000000"/>
          <w:sz w:val="28"/>
        </w:rPr>
        <w:t xml:space="preserve">, </w:t>
      </w:r>
      <w:r>
        <w:rPr>
          <w:rFonts w:ascii="Times New Roman"/>
          <w:b w:val="false"/>
          <w:i w:val="false"/>
          <w:color w:val="000000"/>
          <w:sz w:val="28"/>
        </w:rPr>
        <w:t>"Дорожная карта бизнеса 2020"</w:t>
      </w:r>
      <w:r>
        <w:rPr>
          <w:rFonts w:ascii="Times New Roman"/>
          <w:b w:val="false"/>
          <w:i w:val="false"/>
          <w:color w:val="000000"/>
          <w:sz w:val="28"/>
        </w:rPr>
        <w:t xml:space="preserve">, </w:t>
      </w:r>
      <w:r>
        <w:rPr>
          <w:rFonts w:ascii="Times New Roman"/>
          <w:b w:val="false"/>
          <w:i w:val="false"/>
          <w:color w:val="000000"/>
          <w:sz w:val="28"/>
        </w:rPr>
        <w:t>"Дорожная карта занятости 2020"</w:t>
      </w:r>
      <w:r>
        <w:rPr>
          <w:rFonts w:ascii="Times New Roman"/>
          <w:b w:val="false"/>
          <w:i w:val="false"/>
          <w:color w:val="000000"/>
          <w:sz w:val="28"/>
        </w:rPr>
        <w:t xml:space="preserve">, </w:t>
      </w:r>
      <w:r>
        <w:rPr>
          <w:rFonts w:ascii="Times New Roman"/>
          <w:b w:val="false"/>
          <w:i w:val="false"/>
          <w:color w:val="000000"/>
          <w:sz w:val="28"/>
        </w:rPr>
        <w:t>"Агробизнес – 2020"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целом по республике за счет республиканского бюджета регионам выделяется ежегодно порядка 300 млрд. тенге на развитие инженерной инфраструктуры.</w:t>
      </w:r>
    </w:p>
    <w:p>
      <w:pPr>
        <w:spacing w:after="0"/>
        <w:ind w:left="0"/>
        <w:jc w:val="both"/>
      </w:pPr>
      <w:r>
        <w:rPr>
          <w:rFonts w:ascii="Times New Roman"/>
          <w:b w:val="false"/>
          <w:i w:val="false"/>
          <w:color w:val="000000"/>
          <w:sz w:val="28"/>
        </w:rPr>
        <w:t>
      В этой связи все проекты по развитию инженерной инфраструктуры необходимо рассматривать централизованно через уполномоченный орган по развитию регионов.</w:t>
      </w:r>
    </w:p>
    <w:p>
      <w:pPr>
        <w:spacing w:after="0"/>
        <w:ind w:left="0"/>
        <w:jc w:val="both"/>
      </w:pPr>
      <w:r>
        <w:rPr>
          <w:rFonts w:ascii="Times New Roman"/>
          <w:b w:val="false"/>
          <w:i w:val="false"/>
          <w:color w:val="000000"/>
          <w:sz w:val="28"/>
        </w:rPr>
        <w:t>
      Проекты будут реализовываться в рамках существующих отраслевых и бюджетных программ государственных органов с согласованием уполномоченного органа по развитию регионов, в том числе на предмет применения материалов, оборудований и технологий.</w:t>
      </w:r>
    </w:p>
    <w:p>
      <w:pPr>
        <w:spacing w:after="0"/>
        <w:ind w:left="0"/>
        <w:jc w:val="both"/>
      </w:pPr>
      <w:r>
        <w:rPr>
          <w:rFonts w:ascii="Times New Roman"/>
          <w:b w:val="false"/>
          <w:i w:val="false"/>
          <w:color w:val="000000"/>
          <w:sz w:val="28"/>
        </w:rPr>
        <w:t>
      В комплексе с данными документами Программа реализует единую государственную политику по развитию регионов до 2020 года.</w:t>
      </w:r>
    </w:p>
    <w:p>
      <w:pPr>
        <w:spacing w:after="0"/>
        <w:ind w:left="0"/>
        <w:jc w:val="both"/>
      </w:pPr>
      <w:r>
        <w:rPr>
          <w:rFonts w:ascii="Times New Roman"/>
          <w:b w:val="false"/>
          <w:i w:val="false"/>
          <w:color w:val="000000"/>
          <w:sz w:val="28"/>
        </w:rPr>
        <w:t>
      Государственные органы и иные организации, ответственные за достижение цели, целевых индикаторов, задач (направлений), показателей результатов, а также термины, употребляемые в Программе:</w:t>
      </w:r>
    </w:p>
    <w:p>
      <w:pPr>
        <w:spacing w:after="0"/>
        <w:ind w:left="0"/>
        <w:jc w:val="both"/>
      </w:pPr>
      <w:r>
        <w:rPr>
          <w:rFonts w:ascii="Times New Roman"/>
          <w:b w:val="false"/>
          <w:i w:val="false"/>
          <w:color w:val="000000"/>
          <w:sz w:val="28"/>
        </w:rPr>
        <w:t xml:space="preserve">
      1) агломерация – урбанизированное скопление близко расположенных населенных пунктов вокруг одного (моноцентрическая) или нескольких (полицентрическая) городов-ядер, объединенных между собой постоянными производственными, культурно-бытовыми и иными связями, а также имеющих тенденцию к территориальному слиянию. </w:t>
      </w:r>
    </w:p>
    <w:p>
      <w:pPr>
        <w:spacing w:after="0"/>
        <w:ind w:left="0"/>
        <w:jc w:val="both"/>
      </w:pPr>
      <w:r>
        <w:rPr>
          <w:rFonts w:ascii="Times New Roman"/>
          <w:b w:val="false"/>
          <w:i w:val="false"/>
          <w:color w:val="000000"/>
          <w:sz w:val="28"/>
        </w:rPr>
        <w:t>
      Основными критериями определения агломераций в Казахстане являются:</w:t>
      </w:r>
    </w:p>
    <w:p>
      <w:pPr>
        <w:spacing w:after="0"/>
        <w:ind w:left="0"/>
        <w:jc w:val="both"/>
      </w:pPr>
      <w:r>
        <w:rPr>
          <w:rFonts w:ascii="Times New Roman"/>
          <w:b w:val="false"/>
          <w:i w:val="false"/>
          <w:color w:val="000000"/>
          <w:sz w:val="28"/>
        </w:rPr>
        <w:t>
      административный статус города-центра (столица, город республиканского значения), что немаловажно в условиях Казахстана, поскольку предполагает контроль бюджетных ресурсов;</w:t>
      </w:r>
    </w:p>
    <w:p>
      <w:pPr>
        <w:spacing w:after="0"/>
        <w:ind w:left="0"/>
        <w:jc w:val="both"/>
      </w:pPr>
      <w:r>
        <w:rPr>
          <w:rFonts w:ascii="Times New Roman"/>
          <w:b w:val="false"/>
          <w:i w:val="false"/>
          <w:color w:val="000000"/>
          <w:sz w:val="28"/>
        </w:rPr>
        <w:t>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w:t>
      </w:r>
    </w:p>
    <w:p>
      <w:pPr>
        <w:spacing w:after="0"/>
        <w:ind w:left="0"/>
        <w:jc w:val="both"/>
      </w:pPr>
      <w:r>
        <w:rPr>
          <w:rFonts w:ascii="Times New Roman"/>
          <w:b w:val="false"/>
          <w:i w:val="false"/>
          <w:color w:val="000000"/>
          <w:sz w:val="28"/>
        </w:rPr>
        <w:t>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w:t>
      </w:r>
    </w:p>
    <w:p>
      <w:pPr>
        <w:spacing w:after="0"/>
        <w:ind w:left="0"/>
        <w:jc w:val="both"/>
      </w:pPr>
      <w:r>
        <w:rPr>
          <w:rFonts w:ascii="Times New Roman"/>
          <w:b w:val="false"/>
          <w:i w:val="false"/>
          <w:color w:val="000000"/>
          <w:sz w:val="28"/>
        </w:rPr>
        <w:t>
      экономический потенциал, то есть развитость города-центра (промышленный, сервисный, трудовой, финансовый, научный потенциал);</w:t>
      </w:r>
    </w:p>
    <w:p>
      <w:pPr>
        <w:spacing w:after="0"/>
        <w:ind w:left="0"/>
        <w:jc w:val="both"/>
      </w:pPr>
      <w:r>
        <w:rPr>
          <w:rFonts w:ascii="Times New Roman"/>
          <w:b w:val="false"/>
          <w:i w:val="false"/>
          <w:color w:val="000000"/>
          <w:sz w:val="28"/>
        </w:rPr>
        <w:t xml:space="preserve">
      2)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 </w:t>
      </w:r>
    </w:p>
    <w:p>
      <w:pPr>
        <w:spacing w:after="0"/>
        <w:ind w:left="0"/>
        <w:jc w:val="both"/>
      </w:pPr>
      <w:r>
        <w:rPr>
          <w:rFonts w:ascii="Times New Roman"/>
          <w:b w:val="false"/>
          <w:i w:val="false"/>
          <w:color w:val="000000"/>
          <w:sz w:val="28"/>
        </w:rPr>
        <w:t>
      В категорию моногородов включены города с численностью населения от 10 до 200 тыс. человек, характеризующихся одним из следующих критериев:</w:t>
      </w:r>
    </w:p>
    <w:p>
      <w:pPr>
        <w:spacing w:after="0"/>
        <w:ind w:left="0"/>
        <w:jc w:val="both"/>
      </w:pPr>
      <w:r>
        <w:rPr>
          <w:rFonts w:ascii="Times New Roman"/>
          <w:b w:val="false"/>
          <w:i w:val="false"/>
          <w:color w:val="000000"/>
          <w:sz w:val="28"/>
        </w:rPr>
        <w:t>
      объем промышленного производства градообразующих предприятий города в основном добывающего сектора составляет более 20 % от общегородского объема производства (моноспециализация);</w:t>
      </w:r>
    </w:p>
    <w:p>
      <w:pPr>
        <w:spacing w:after="0"/>
        <w:ind w:left="0"/>
        <w:jc w:val="both"/>
      </w:pPr>
      <w:r>
        <w:rPr>
          <w:rFonts w:ascii="Times New Roman"/>
          <w:b w:val="false"/>
          <w:i w:val="false"/>
          <w:color w:val="000000"/>
          <w:sz w:val="28"/>
        </w:rPr>
        <w:t>
      на градообразующих предприятиях города занято более 20 % от общей численности занятого населения;</w:t>
      </w:r>
    </w:p>
    <w:p>
      <w:pPr>
        <w:spacing w:after="0"/>
        <w:ind w:left="0"/>
        <w:jc w:val="both"/>
      </w:pPr>
      <w:r>
        <w:rPr>
          <w:rFonts w:ascii="Times New Roman"/>
          <w:b w:val="false"/>
          <w:i w:val="false"/>
          <w:color w:val="000000"/>
          <w:sz w:val="28"/>
        </w:rPr>
        <w:t>
      города, в которых градообразующие предприятия частично работают или приостановили деятельность.</w:t>
      </w:r>
    </w:p>
    <w:p>
      <w:pPr>
        <w:spacing w:after="0"/>
        <w:ind w:left="0"/>
        <w:jc w:val="both"/>
      </w:pPr>
      <w:r>
        <w:rPr>
          <w:rFonts w:ascii="Times New Roman"/>
          <w:b w:val="false"/>
          <w:i w:val="false"/>
          <w:color w:val="000000"/>
          <w:sz w:val="28"/>
        </w:rPr>
        <w:t>
      При этом ко многим моногородам административно подчинены пригородные поселки и сельские населенные пункты, экономически тесно связанные с городом;</w:t>
      </w:r>
    </w:p>
    <w:p>
      <w:pPr>
        <w:spacing w:after="0"/>
        <w:ind w:left="0"/>
        <w:jc w:val="both"/>
      </w:pPr>
      <w:r>
        <w:rPr>
          <w:rFonts w:ascii="Times New Roman"/>
          <w:b w:val="false"/>
          <w:i w:val="false"/>
          <w:color w:val="000000"/>
          <w:sz w:val="28"/>
        </w:rPr>
        <w:t xml:space="preserve">
      3) малый город – город с численностью населения до 50 тысяч человек; </w:t>
      </w:r>
    </w:p>
    <w:p>
      <w:pPr>
        <w:spacing w:after="0"/>
        <w:ind w:left="0"/>
        <w:jc w:val="both"/>
      </w:pPr>
      <w:r>
        <w:rPr>
          <w:rFonts w:ascii="Times New Roman"/>
          <w:b w:val="false"/>
          <w:i w:val="false"/>
          <w:color w:val="000000"/>
          <w:sz w:val="28"/>
        </w:rPr>
        <w:t xml:space="preserve">
      4) опорный сельский населенный пункт – благоустроенный сельский населенный пункт, в котором будут созданы производственная и социальная инфраструктура для обеспечения необходимых социальных стандартов проживающему в нем населению и жителям прилегающих территорий; </w:t>
      </w:r>
    </w:p>
    <w:p>
      <w:pPr>
        <w:spacing w:after="0"/>
        <w:ind w:left="0"/>
        <w:jc w:val="both"/>
      </w:pPr>
      <w:r>
        <w:rPr>
          <w:rFonts w:ascii="Times New Roman"/>
          <w:b w:val="false"/>
          <w:i w:val="false"/>
          <w:color w:val="000000"/>
          <w:sz w:val="28"/>
        </w:rPr>
        <w:t xml:space="preserve">
      5) приграничные территории – территории административно-территориальных образований и населенных пунктов, расположенных на расстоянии до 50 км от Государственной границы; </w:t>
      </w:r>
    </w:p>
    <w:p>
      <w:pPr>
        <w:spacing w:after="0"/>
        <w:ind w:left="0"/>
        <w:jc w:val="both"/>
      </w:pPr>
      <w:r>
        <w:rPr>
          <w:rFonts w:ascii="Times New Roman"/>
          <w:b w:val="false"/>
          <w:i w:val="false"/>
          <w:color w:val="000000"/>
          <w:sz w:val="28"/>
        </w:rPr>
        <w:t>
      6) центры экономического роста – конкретные территории (населенные пункты), выполняющие в экономике страны или региона функцию источника инноваций и прогресса, являющиеся благодаря "эффекту масштаба" полюсами притяжения (концентрации) факторов производства, а также где размещаются предприятия динамично развивающихся отраслей, производящие новые товары и услуги.</w:t>
      </w:r>
    </w:p>
    <w:p>
      <w:pPr>
        <w:spacing w:after="0"/>
        <w:ind w:left="0"/>
        <w:jc w:val="both"/>
      </w:pPr>
      <w:r>
        <w:rPr>
          <w:rFonts w:ascii="Times New Roman"/>
          <w:b w:val="false"/>
          <w:i w:val="false"/>
          <w:color w:val="000000"/>
          <w:sz w:val="28"/>
        </w:rPr>
        <w:t xml:space="preserve">
      В настоящей Программе в число центров экономического роста включены: </w:t>
      </w:r>
    </w:p>
    <w:p>
      <w:pPr>
        <w:spacing w:after="0"/>
        <w:ind w:left="0"/>
        <w:jc w:val="both"/>
      </w:pPr>
      <w:r>
        <w:rPr>
          <w:rFonts w:ascii="Times New Roman"/>
          <w:b w:val="false"/>
          <w:i w:val="false"/>
          <w:color w:val="000000"/>
          <w:sz w:val="28"/>
        </w:rPr>
        <w:t>
      в масштабах страны – города "первого уровня" (агломерации с центрами в городах Астане, Алматы, Шымкенте и Актобе) и города "второго уровня" (областные центры, города Семей и Туркестан);</w:t>
      </w:r>
    </w:p>
    <w:p>
      <w:pPr>
        <w:spacing w:after="0"/>
        <w:ind w:left="0"/>
        <w:jc w:val="both"/>
      </w:pPr>
      <w:r>
        <w:rPr>
          <w:rFonts w:ascii="Times New Roman"/>
          <w:b w:val="false"/>
          <w:i w:val="false"/>
          <w:color w:val="000000"/>
          <w:sz w:val="28"/>
        </w:rPr>
        <w:t>
      в масштабах региона – города "третьего уровня" (перспективные малые и моногорода), районные центры, сельские населенные пункты (далее – СНП), в том числе опорные, приграничные территории;</w:t>
      </w:r>
    </w:p>
    <w:p>
      <w:pPr>
        <w:spacing w:after="0"/>
        <w:ind w:left="0"/>
        <w:jc w:val="both"/>
      </w:pPr>
      <w:r>
        <w:rPr>
          <w:rFonts w:ascii="Times New Roman"/>
          <w:b w:val="false"/>
          <w:i w:val="false"/>
          <w:color w:val="000000"/>
          <w:sz w:val="28"/>
        </w:rPr>
        <w:t xml:space="preserve">
      7) города "первого уровня" – агломерации с центрами в городах Астане, Алматы, Шымкенте и Актобе; </w:t>
      </w:r>
    </w:p>
    <w:p>
      <w:pPr>
        <w:spacing w:after="0"/>
        <w:ind w:left="0"/>
        <w:jc w:val="both"/>
      </w:pPr>
      <w:r>
        <w:rPr>
          <w:rFonts w:ascii="Times New Roman"/>
          <w:b w:val="false"/>
          <w:i w:val="false"/>
          <w:color w:val="000000"/>
          <w:sz w:val="28"/>
        </w:rPr>
        <w:t xml:space="preserve">
      8) города "второго уровня" – областные центры, а также города Семей и Туркестан, являющиеся крупными экономическими и культурными центрами, имеющие развитую производственную и социальную инфраструктуру; </w:t>
      </w:r>
    </w:p>
    <w:p>
      <w:pPr>
        <w:spacing w:after="0"/>
        <w:ind w:left="0"/>
        <w:jc w:val="both"/>
      </w:pPr>
      <w:r>
        <w:rPr>
          <w:rFonts w:ascii="Times New Roman"/>
          <w:b w:val="false"/>
          <w:i w:val="false"/>
          <w:color w:val="000000"/>
          <w:sz w:val="28"/>
        </w:rPr>
        <w:t xml:space="preserve">
      9) города "третьего уровня" – малые и моногорода, имеющие перспективы экономического развития и роста численности населения; </w:t>
      </w:r>
    </w:p>
    <w:p>
      <w:pPr>
        <w:spacing w:after="0"/>
        <w:ind w:left="0"/>
        <w:jc w:val="both"/>
      </w:pPr>
      <w:r>
        <w:rPr>
          <w:rFonts w:ascii="Times New Roman"/>
          <w:b w:val="false"/>
          <w:i w:val="false"/>
          <w:color w:val="000000"/>
          <w:sz w:val="28"/>
        </w:rPr>
        <w:t xml:space="preserve">
      10) депрессивный регион – административно-территориальная единица, характеризующаяся наличием негативных тенденций в сфере занятости, экологии, предоставления социальных услуг в результате длительного (пять и более лет) спада производства, низкого инфраструктурного обеспечения (дороги, телефонная связь, энергоснабжение, теплоснабжение); </w:t>
      </w:r>
    </w:p>
    <w:p>
      <w:pPr>
        <w:spacing w:after="0"/>
        <w:ind w:left="0"/>
        <w:jc w:val="both"/>
      </w:pPr>
      <w:r>
        <w:rPr>
          <w:rFonts w:ascii="Times New Roman"/>
          <w:b w:val="false"/>
          <w:i w:val="false"/>
          <w:color w:val="000000"/>
          <w:sz w:val="28"/>
        </w:rPr>
        <w:t>
      11) уполномоченный орган – центральный исполнительный орган Республики Казахстан, осуществляющий руководство, а также межотраслевую координацию в сфере регионального развития;</w:t>
      </w:r>
    </w:p>
    <w:p>
      <w:pPr>
        <w:spacing w:after="0"/>
        <w:ind w:left="0"/>
        <w:jc w:val="both"/>
      </w:pPr>
      <w:r>
        <w:rPr>
          <w:rFonts w:ascii="Times New Roman"/>
          <w:b w:val="false"/>
          <w:i w:val="false"/>
          <w:color w:val="000000"/>
          <w:sz w:val="28"/>
        </w:rPr>
        <w:t xml:space="preserve">
      12) координатор Программы на местном уровне – исполнительный орган, финансируемый из местного бюджета, определяемый акимом области, городов Астаны и Алматы, ответственный за реализацию Программы на местах; </w:t>
      </w:r>
    </w:p>
    <w:p>
      <w:pPr>
        <w:spacing w:after="0"/>
        <w:ind w:left="0"/>
        <w:jc w:val="both"/>
      </w:pPr>
      <w:r>
        <w:rPr>
          <w:rFonts w:ascii="Times New Roman"/>
          <w:b w:val="false"/>
          <w:i w:val="false"/>
          <w:color w:val="000000"/>
          <w:sz w:val="28"/>
        </w:rPr>
        <w:t xml:space="preserve">
      13) межведомственная комиссия по вопросам региональной политики – консультативно-совещательный орган при Правительстве Республики Казахстан по вопросам региональной политики (далее – МВК); </w:t>
      </w:r>
    </w:p>
    <w:p>
      <w:pPr>
        <w:spacing w:after="0"/>
        <w:ind w:left="0"/>
        <w:jc w:val="both"/>
      </w:pPr>
      <w:r>
        <w:rPr>
          <w:rFonts w:ascii="Times New Roman"/>
          <w:b w:val="false"/>
          <w:i w:val="false"/>
          <w:color w:val="000000"/>
          <w:sz w:val="28"/>
        </w:rPr>
        <w:t>
      14) "якорный" инвестиционный проект – средний инвестиционный проект, реализуемый в несырьевых секторах экономики Казахстана и направленный на диверсификацию экономики малого или моногорода, на котором планируется создание не менее 50 постоянных рабочих мест.</w:t>
      </w:r>
    </w:p>
    <w:p>
      <w:pPr>
        <w:spacing w:after="0"/>
        <w:ind w:left="0"/>
        <w:jc w:val="left"/>
      </w:pPr>
      <w:r>
        <w:rPr>
          <w:rFonts w:ascii="Times New Roman"/>
          <w:b/>
          <w:i w:val="false"/>
          <w:color w:val="000000"/>
        </w:rPr>
        <w:t xml:space="preserve"> 3. Анализ текущей ситуации</w:t>
      </w:r>
    </w:p>
    <w:p>
      <w:pPr>
        <w:spacing w:after="0"/>
        <w:ind w:left="0"/>
        <w:jc w:val="both"/>
      </w:pPr>
      <w:r>
        <w:rPr>
          <w:rFonts w:ascii="Times New Roman"/>
          <w:b w:val="false"/>
          <w:i w:val="false"/>
          <w:color w:val="000000"/>
          <w:sz w:val="28"/>
        </w:rPr>
        <w:t>
      На современном этапе региональная политика Казахстана призвана обеспечить формирование рациональной территориальной организации, которая включает стимулирование и регулируемое развитие процессов урбанизации и агломераций, являющихся важнейшими точками экономического роста национальной экономики, развитие и поддержку перспективных населенных пунктов, обладающих экономическим и демографическим потенциалами, что соответствует мировым тенденциям развития процессов урбанизации и регионального развития.</w:t>
      </w:r>
    </w:p>
    <w:p>
      <w:pPr>
        <w:spacing w:after="0"/>
        <w:ind w:left="0"/>
        <w:jc w:val="both"/>
      </w:pPr>
      <w:r>
        <w:rPr>
          <w:rFonts w:ascii="Times New Roman"/>
          <w:b w:val="false"/>
          <w:i w:val="false"/>
          <w:color w:val="000000"/>
          <w:sz w:val="28"/>
        </w:rPr>
        <w:t>
      По данным Комитета по статистике и Всемирного банка коэффициент урбанизации в Казахстане составляет около 54 – 55 %, что является самым большим коэффициентом для стран Центральной Азии, но сильно отстает от развитых стран. Коэффициенты урбанизации таких стран как Австралия, Канада и США, определенные с учетом данного метода находятся в диапазоне 70 – 80 %.</w:t>
      </w:r>
    </w:p>
    <w:p>
      <w:pPr>
        <w:spacing w:after="0"/>
        <w:ind w:left="0"/>
        <w:jc w:val="both"/>
      </w:pPr>
      <w:r>
        <w:rPr>
          <w:rFonts w:ascii="Times New Roman"/>
          <w:b w:val="false"/>
          <w:i w:val="false"/>
          <w:color w:val="000000"/>
          <w:sz w:val="28"/>
        </w:rPr>
        <w:t>
      Растущие города, возрастающая мобильность населения и повышение специализации производства являются неотъемлемыми спутниками развития. Эти изменения особенно заметны в Северной Америке, Западной Европе и Северо-Восточной Азии. Однако и в странах Восточной и Южной Азии и Восточной Европы сегодня происходят аналогичные по своим масштабам и темпам перемены.</w:t>
      </w:r>
    </w:p>
    <w:p>
      <w:pPr>
        <w:spacing w:after="0"/>
        <w:ind w:left="0"/>
        <w:jc w:val="both"/>
      </w:pPr>
      <w:r>
        <w:rPr>
          <w:rFonts w:ascii="Times New Roman"/>
          <w:b w:val="false"/>
          <w:i w:val="false"/>
          <w:color w:val="000000"/>
          <w:sz w:val="28"/>
        </w:rPr>
        <w:t xml:space="preserve">
      Следует отметить, что в настоящее время совершенствуется территориальная организация Казахстана. Это выражается, в первую очередь, в опережающем росте крупных городов – агломераций. </w:t>
      </w:r>
    </w:p>
    <w:p>
      <w:pPr>
        <w:spacing w:after="0"/>
        <w:ind w:left="0"/>
        <w:jc w:val="both"/>
      </w:pPr>
      <w:r>
        <w:rPr>
          <w:rFonts w:ascii="Times New Roman"/>
          <w:b w:val="false"/>
          <w:i w:val="false"/>
          <w:color w:val="000000"/>
          <w:sz w:val="28"/>
        </w:rPr>
        <w:t xml:space="preserve">
      Рассматривая основные тенденции формирования городских агломераций в современном Казахстане, следует отметить их неоднородность, связанную с выраженной природной зональностью территории и унаследованными от плановой экономики особенностями расселения. </w:t>
      </w:r>
    </w:p>
    <w:p>
      <w:pPr>
        <w:spacing w:after="0"/>
        <w:ind w:left="0"/>
        <w:jc w:val="both"/>
      </w:pPr>
      <w:r>
        <w:rPr>
          <w:rFonts w:ascii="Times New Roman"/>
          <w:b w:val="false"/>
          <w:i w:val="false"/>
          <w:color w:val="000000"/>
          <w:sz w:val="28"/>
        </w:rPr>
        <w:t>
      Территории, расположенные между центрами экономического роста и обеспечивающие транспортную связь, получат дополнительные импульсы роста благодаря увеличению грузопотоков, распространению инноваций, развитию инфраструктуры. Поэтому они превращаются в оси (коридоры) развития, определяющие вместе с "полюсами роста" пространственный каркас экономического роста всего региона или страны.</w:t>
      </w:r>
    </w:p>
    <w:p>
      <w:pPr>
        <w:spacing w:after="0"/>
        <w:ind w:left="0"/>
        <w:jc w:val="both"/>
      </w:pPr>
      <w:r>
        <w:rPr>
          <w:rFonts w:ascii="Times New Roman"/>
          <w:b w:val="false"/>
          <w:i w:val="false"/>
          <w:color w:val="000000"/>
          <w:sz w:val="28"/>
        </w:rPr>
        <w:t>
      С другой стороны, слом сложившихся в плановой экономике центров, например, неперспективных моногородов, малых городов и СНП, привел к появлению зон депрессивности и вызвал болезненные социальные процессы в обществе (эмиграция населения, деградация инфраструктуры, рост безработицы, социальная маргинализация).</w:t>
      </w:r>
    </w:p>
    <w:p>
      <w:pPr>
        <w:spacing w:after="0"/>
        <w:ind w:left="0"/>
        <w:jc w:val="both"/>
      </w:pPr>
      <w:r>
        <w:rPr>
          <w:rFonts w:ascii="Times New Roman"/>
          <w:b w:val="false"/>
          <w:i w:val="false"/>
          <w:color w:val="000000"/>
          <w:sz w:val="28"/>
        </w:rPr>
        <w:t xml:space="preserve">
      Несмотря на происходящие процессы в территориальной организации страны, в региональной политике сохраняются прежние подходы, в частности в вопросах финансирования регионов (бюджетная политика). Так, продолжается практика направления бюджетных средств на развитие отдельных населенных пунктов, не имеющих перспектив экономического роста и соответствующего демографического потенциала. </w:t>
      </w:r>
    </w:p>
    <w:p>
      <w:pPr>
        <w:spacing w:after="0"/>
        <w:ind w:left="0"/>
        <w:jc w:val="both"/>
      </w:pPr>
      <w:r>
        <w:rPr>
          <w:rFonts w:ascii="Times New Roman"/>
          <w:b w:val="false"/>
          <w:i w:val="false"/>
          <w:color w:val="000000"/>
          <w:sz w:val="28"/>
        </w:rPr>
        <w:t>
      В этой связи следует концентрировать ресурсы государства на действительно необходимых и перспективных проектах в регионах. Это в конечном итоге приведет к высокой эффективности бюджетных расходов. Кроме того, при определении проектов приоритеты будут отдаваться проектам, применяющих инновационные технологии.</w:t>
      </w:r>
    </w:p>
    <w:p>
      <w:pPr>
        <w:spacing w:after="0"/>
        <w:ind w:left="0"/>
        <w:jc w:val="both"/>
      </w:pPr>
      <w:r>
        <w:rPr>
          <w:rFonts w:ascii="Times New Roman"/>
          <w:b w:val="false"/>
          <w:i w:val="false"/>
          <w:color w:val="000000"/>
          <w:sz w:val="28"/>
        </w:rPr>
        <w:t>
      Категоризация экономических территорий согласно новой региональной политике – города "первого уровня" (агломерации), города "второго уровня" (областные центры, города Семей и Туркестан), города "третьего уровня" (малые и моногорода), опорные населенные сельские пункты, приграничные территории.</w:t>
      </w:r>
    </w:p>
    <w:p>
      <w:pPr>
        <w:spacing w:after="0"/>
        <w:ind w:left="0"/>
        <w:jc w:val="left"/>
      </w:pPr>
      <w:r>
        <w:rPr>
          <w:rFonts w:ascii="Times New Roman"/>
          <w:b/>
          <w:i w:val="false"/>
          <w:color w:val="000000"/>
        </w:rPr>
        <w:t xml:space="preserve"> Города "первого уровня" (агломерации)</w:t>
      </w:r>
    </w:p>
    <w:p>
      <w:pPr>
        <w:spacing w:after="0"/>
        <w:ind w:left="0"/>
        <w:jc w:val="both"/>
      </w:pPr>
      <w:r>
        <w:rPr>
          <w:rFonts w:ascii="Times New Roman"/>
          <w:b w:val="false"/>
          <w:i w:val="false"/>
          <w:color w:val="000000"/>
          <w:sz w:val="28"/>
        </w:rPr>
        <w:t>
      Городские агломерации объективно становятся ключевыми формами современного расселения в большинстве стран мира, их формирование знаменует новый урбанистический переход.</w:t>
      </w:r>
    </w:p>
    <w:p>
      <w:pPr>
        <w:spacing w:after="0"/>
        <w:ind w:left="0"/>
        <w:jc w:val="both"/>
      </w:pPr>
      <w:r>
        <w:rPr>
          <w:rFonts w:ascii="Times New Roman"/>
          <w:b w:val="false"/>
          <w:i w:val="false"/>
          <w:color w:val="000000"/>
          <w:sz w:val="28"/>
        </w:rPr>
        <w:t xml:space="preserve">
      В США более 76 % всего населения проживает в агломерациях, крупнейшими из которых являются Нью-Йоркская (11,3 тыс. кв. км, 23,3 млн. человек) и Лос-Анджелесская (5,8 тыс. кв. км, 18,6 млн. человек) агломерации. </w:t>
      </w:r>
    </w:p>
    <w:p>
      <w:pPr>
        <w:spacing w:after="0"/>
        <w:ind w:left="0"/>
        <w:jc w:val="both"/>
      </w:pPr>
      <w:r>
        <w:rPr>
          <w:rFonts w:ascii="Times New Roman"/>
          <w:b w:val="false"/>
          <w:i w:val="false"/>
          <w:color w:val="000000"/>
          <w:sz w:val="28"/>
        </w:rPr>
        <w:t xml:space="preserve">
      Агломерациями мирового уровня в Европе являются Лондонская (11 тыс. кв. км, 13,4 млн. человек) и Парижская (12 тыс. кв. км, более 12 млн. человек). </w:t>
      </w:r>
    </w:p>
    <w:p>
      <w:pPr>
        <w:spacing w:after="0"/>
        <w:ind w:left="0"/>
        <w:jc w:val="both"/>
      </w:pPr>
      <w:r>
        <w:rPr>
          <w:rFonts w:ascii="Times New Roman"/>
          <w:b w:val="false"/>
          <w:i w:val="false"/>
          <w:color w:val="000000"/>
          <w:sz w:val="28"/>
        </w:rPr>
        <w:t xml:space="preserve">
      Быстрыми темпами формируются урбанизированные территории в Китае – Шанхай (7,1 тыс. кв. км, 18,6 млн. человек), Бразилии – Рио-де-Жанейро (4,6 тыс. кв. км, 12,1 млн. человек), Аргентине – Буэнос-Айрес (2,7 тыс. кв. км, 14,6 млн. человек), Индии – Колката (1,8 тыс. кв. км, 15,6 млн. человек) и других развивающихся странах. </w:t>
      </w:r>
    </w:p>
    <w:p>
      <w:pPr>
        <w:spacing w:after="0"/>
        <w:ind w:left="0"/>
        <w:jc w:val="both"/>
      </w:pPr>
      <w:r>
        <w:rPr>
          <w:rFonts w:ascii="Times New Roman"/>
          <w:b w:val="false"/>
          <w:i w:val="false"/>
          <w:color w:val="000000"/>
          <w:sz w:val="28"/>
        </w:rPr>
        <w:t xml:space="preserve">
      Свою специфику имеет развитие агломераций в развивающихся странах. Для них характерна модель растущего сосредоточения населения и всех сфер экономики в немногих ведущих и крупнейших центрах. Переток населения из сельской местности в крупные и крупнейшие центры будет продолжаться высокими темпами. </w:t>
      </w:r>
    </w:p>
    <w:p>
      <w:pPr>
        <w:spacing w:after="0"/>
        <w:ind w:left="0"/>
        <w:jc w:val="both"/>
      </w:pPr>
      <w:r>
        <w:rPr>
          <w:rFonts w:ascii="Times New Roman"/>
          <w:b w:val="false"/>
          <w:i w:val="false"/>
          <w:color w:val="000000"/>
          <w:sz w:val="28"/>
        </w:rPr>
        <w:t>
      Если развитие городских центров "пускается на самотек", неконтролируемые процессы миграции населения из сельской местности могут вести к формированию чрезмерной нагрузки на мощности жилищно-коммунальной инфраструктуры, возникновению на периферии городских поселений зон социально-экономической маргинализации, содействовать дальнейшему закреплению межрегиональных диспропорций и служить препятствием для диверсификации экономики.</w:t>
      </w:r>
    </w:p>
    <w:p>
      <w:pPr>
        <w:spacing w:after="0"/>
        <w:ind w:left="0"/>
        <w:jc w:val="both"/>
      </w:pPr>
      <w:r>
        <w:rPr>
          <w:rFonts w:ascii="Times New Roman"/>
          <w:b w:val="false"/>
          <w:i w:val="false"/>
          <w:color w:val="000000"/>
          <w:sz w:val="28"/>
        </w:rPr>
        <w:t xml:space="preserve">
      Подобные тенденции характерны для многих городских агломераций в странах Латинской Америки и Африки, способствуя консервации не только экономической отсталости и неравенства, но и социальной нестабильности. </w:t>
      </w:r>
    </w:p>
    <w:p>
      <w:pPr>
        <w:spacing w:after="0"/>
        <w:ind w:left="0"/>
        <w:jc w:val="both"/>
      </w:pPr>
      <w:r>
        <w:rPr>
          <w:rFonts w:ascii="Times New Roman"/>
          <w:b w:val="false"/>
          <w:i w:val="false"/>
          <w:color w:val="000000"/>
          <w:sz w:val="28"/>
        </w:rPr>
        <w:t>
      Незавершенный демографический переход в большинстве из них создает дополнительные условия для роста статистически фиксируемой численности населения агломераций. Опасность такой "ложной урбанизации" на крупногородской стадии заключается в формировании перегруженных городов и перенаселенной пригородной зоны, по сути сохраняющей сельский уклад жизнедеятельности в отсутствие выраженной городской экономики.</w:t>
      </w:r>
    </w:p>
    <w:p>
      <w:pPr>
        <w:spacing w:after="0"/>
        <w:ind w:left="0"/>
        <w:jc w:val="both"/>
      </w:pPr>
      <w:r>
        <w:rPr>
          <w:rFonts w:ascii="Times New Roman"/>
          <w:b w:val="false"/>
          <w:i w:val="false"/>
          <w:color w:val="000000"/>
          <w:sz w:val="28"/>
        </w:rPr>
        <w:t xml:space="preserve">
      Согласно докладу "Развитие городских агломераций Китая – 2010", представленному Институтом географических наук и природных ресурсов Академии наук Китайской Народной Республики, Китай создает 23 городские агломерации. </w:t>
      </w:r>
    </w:p>
    <w:p>
      <w:pPr>
        <w:spacing w:after="0"/>
        <w:ind w:left="0"/>
        <w:jc w:val="both"/>
      </w:pPr>
      <w:r>
        <w:rPr>
          <w:rFonts w:ascii="Times New Roman"/>
          <w:b w:val="false"/>
          <w:i w:val="false"/>
          <w:color w:val="000000"/>
          <w:sz w:val="28"/>
        </w:rPr>
        <w:t>
      Городские агломерации являются самыми перспективными районами в будущей структуре экономического развития Китая. Через 10-20 лет Китай должен создать группы самых конкурентоспособных и инновационно продвинутых агломераций мирового уровня, а численность населения каждой должна быть не менее 20 млн. человек.</w:t>
      </w:r>
    </w:p>
    <w:p>
      <w:pPr>
        <w:spacing w:after="0"/>
        <w:ind w:left="0"/>
        <w:jc w:val="both"/>
      </w:pPr>
      <w:r>
        <w:rPr>
          <w:rFonts w:ascii="Times New Roman"/>
          <w:b w:val="false"/>
          <w:i w:val="false"/>
          <w:color w:val="000000"/>
          <w:sz w:val="28"/>
        </w:rPr>
        <w:t xml:space="preserve">
      В настоящее время в Казахстане городами "первого уровня" определены агломерации с центрами в городах Астане, Алматы и Шымкенте, которые относятся к агломерациям первого уровня и с центром в городе Актобе, который относится к агломерации второго уровня (перспективная агломерация), так как формирующиеся городские агломерации концентрируют более трети всего населения страны. </w:t>
      </w:r>
    </w:p>
    <w:p>
      <w:pPr>
        <w:spacing w:after="0"/>
        <w:ind w:left="0"/>
        <w:jc w:val="both"/>
      </w:pPr>
      <w:r>
        <w:rPr>
          <w:rFonts w:ascii="Times New Roman"/>
          <w:b w:val="false"/>
          <w:i w:val="false"/>
          <w:color w:val="000000"/>
          <w:sz w:val="28"/>
        </w:rPr>
        <w:t xml:space="preserve">
      Наиболее масштабные из них (с учетом численности населения и сложности структуры агломерации, включающей город-центр с пригородами) развиваются вокруг Алматы и Шымкента. Астана, стремительный рост которой обусловлен современной политикой государства, направленной на повышение роли новой столицы в системе расселения, еще не успела сформировать развитую пригородную зону. На западе республики перспективным является будущая агломерация с центром в городе Актобе. </w:t>
      </w:r>
    </w:p>
    <w:p>
      <w:pPr>
        <w:spacing w:after="0"/>
        <w:ind w:left="0"/>
        <w:jc w:val="both"/>
      </w:pPr>
      <w:r>
        <w:rPr>
          <w:rFonts w:ascii="Times New Roman"/>
          <w:b w:val="false"/>
          <w:i w:val="false"/>
          <w:color w:val="000000"/>
          <w:sz w:val="28"/>
        </w:rPr>
        <w:t>
      При этом в состав Астанинской агломерации тяготеют город Караганда и прилегающие к нему населенные пункты (города-спутники, поселки), способные образовать единое агломерационное образование.</w:t>
      </w:r>
    </w:p>
    <w:p>
      <w:pPr>
        <w:spacing w:after="0"/>
        <w:ind w:left="0"/>
        <w:jc w:val="both"/>
      </w:pPr>
      <w:r>
        <w:rPr>
          <w:rFonts w:ascii="Times New Roman"/>
          <w:b w:val="false"/>
          <w:i w:val="false"/>
          <w:color w:val="000000"/>
          <w:sz w:val="28"/>
        </w:rPr>
        <w:t xml:space="preserve">
      Полноценное развитие агломераций второго уровня (Актобе) прогнозируется лишь в долгосрочной перспективе, ориентировочно не ранее 2017 года. </w:t>
      </w:r>
    </w:p>
    <w:p>
      <w:pPr>
        <w:spacing w:after="0"/>
        <w:ind w:left="0"/>
        <w:jc w:val="both"/>
      </w:pPr>
      <w:r>
        <w:rPr>
          <w:rFonts w:ascii="Times New Roman"/>
          <w:b w:val="false"/>
          <w:i w:val="false"/>
          <w:color w:val="000000"/>
          <w:sz w:val="28"/>
        </w:rPr>
        <w:t>
      Агломерации в Казахстане определены по основным критериям формирования и развития городских агломераций:</w:t>
      </w:r>
    </w:p>
    <w:p>
      <w:pPr>
        <w:spacing w:after="0"/>
        <w:ind w:left="0"/>
        <w:jc w:val="both"/>
      </w:pPr>
      <w:r>
        <w:rPr>
          <w:rFonts w:ascii="Times New Roman"/>
          <w:b w:val="false"/>
          <w:i w:val="false"/>
          <w:color w:val="000000"/>
          <w:sz w:val="28"/>
        </w:rPr>
        <w:t>
      1)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 (таблица 1).</w:t>
      </w:r>
    </w:p>
    <w:p>
      <w:pPr>
        <w:spacing w:after="0"/>
        <w:ind w:left="0"/>
        <w:jc w:val="both"/>
      </w:pPr>
      <w:r>
        <w:rPr>
          <w:rFonts w:ascii="Times New Roman"/>
          <w:b w:val="false"/>
          <w:i w:val="false"/>
          <w:color w:val="000000"/>
          <w:sz w:val="28"/>
        </w:rPr>
        <w:t>
      Таблица 1. Информация по численности и демографической емкости агломераций на начало 2012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659"/>
        <w:gridCol w:w="2853"/>
        <w:gridCol w:w="1574"/>
        <w:gridCol w:w="2489"/>
        <w:gridCol w:w="1575"/>
        <w:gridCol w:w="2307"/>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Демографическая емкость (людность центра), тыс.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Казахстан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2012 году численность населения городов "первого уровня" составила 5 554,5 тыс. человек, что составляет 33,3 % от общей численности населения Республики Казахстан, или более 41,8 % от городского населения страны. При этом численность населения городов Астаны, Алматы и Шымкента превышает уровень, за которым в условиях Казахстана реализуются агломерационные эффекты (500 тыс. человек), тогда как численность населения города Актобе пока не достигает этого уровня. </w:t>
      </w:r>
    </w:p>
    <w:p>
      <w:pPr>
        <w:spacing w:after="0"/>
        <w:ind w:left="0"/>
        <w:jc w:val="both"/>
      </w:pPr>
      <w:r>
        <w:rPr>
          <w:rFonts w:ascii="Times New Roman"/>
          <w:b w:val="false"/>
          <w:i w:val="false"/>
          <w:color w:val="000000"/>
          <w:sz w:val="28"/>
        </w:rPr>
        <w:t>
      Применительно к проблеме агломерационного развития в Республике Казахстан важным является вопрос ограничения неконтролируемого роста численности населения в городах-центрах, что загружает городскую инфраструктуру.</w:t>
      </w:r>
    </w:p>
    <w:p>
      <w:pPr>
        <w:spacing w:after="0"/>
        <w:ind w:left="0"/>
        <w:jc w:val="both"/>
      </w:pPr>
      <w:r>
        <w:rPr>
          <w:rFonts w:ascii="Times New Roman"/>
          <w:b w:val="false"/>
          <w:i w:val="false"/>
          <w:color w:val="000000"/>
          <w:sz w:val="28"/>
        </w:rPr>
        <w:t xml:space="preserve">
      2)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 </w:t>
      </w:r>
    </w:p>
    <w:p>
      <w:pPr>
        <w:spacing w:after="0"/>
        <w:ind w:left="0"/>
        <w:jc w:val="both"/>
      </w:pPr>
      <w:r>
        <w:rPr>
          <w:rFonts w:ascii="Times New Roman"/>
          <w:b w:val="false"/>
          <w:i w:val="false"/>
          <w:color w:val="000000"/>
          <w:sz w:val="28"/>
        </w:rPr>
        <w:t>
      в настоящее время определены границы агломераций и населенных пунктов, входящих в зону влияния агломераций (включая города-спутники, соседние города, поселки, села). Для делимитации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агломерации. В качестве границы агломерации принята 1,5-часовая изохрона для агломераций первого уровня и 1,0-часовая изохрона для агломераций второго уровня. При помощи данного метода идентифицированы поселения в пределах территории агломерации:</w:t>
      </w:r>
    </w:p>
    <w:p>
      <w:pPr>
        <w:spacing w:after="0"/>
        <w:ind w:left="0"/>
        <w:jc w:val="both"/>
      </w:pPr>
      <w:r>
        <w:rPr>
          <w:rFonts w:ascii="Times New Roman"/>
          <w:b w:val="false"/>
          <w:i w:val="false"/>
          <w:color w:val="000000"/>
          <w:sz w:val="28"/>
        </w:rPr>
        <w:t>
      в 1,5-часовую изохрону транспортной доступности Астанинской агломерации входят Аршалынский, Целиноградский и Шортандинский районы Акмолинской области;</w:t>
      </w:r>
    </w:p>
    <w:p>
      <w:pPr>
        <w:spacing w:after="0"/>
        <w:ind w:left="0"/>
        <w:jc w:val="both"/>
      </w:pPr>
      <w:r>
        <w:rPr>
          <w:rFonts w:ascii="Times New Roman"/>
          <w:b w:val="false"/>
          <w:i w:val="false"/>
          <w:color w:val="000000"/>
          <w:sz w:val="28"/>
        </w:rPr>
        <w:t>
      в зону влияния Алматинской агломерации входят: центр (центр) – город Алматы, населенные пункты пригородной зоны, к которым относятся пять административных районов Алматинской области: Карасайский, Талгарский, Илийский, Енбекшиказахский, Жамбылский, а также территория Капшагайской городской администрации. Территория зоны влияния определена, исходя из наиболее тесных связей города и пригородов (ежедневная трудовая маятниковая миграция составляет порядка 250 тыс. человек</w:t>
      </w:r>
      <w:r>
        <w:rPr>
          <w:rFonts w:ascii="Times New Roman"/>
          <w:b w:val="false"/>
          <w:i w:val="false"/>
          <w:color w:val="000000"/>
          <w:vertAlign w:val="superscript"/>
        </w:rPr>
        <w:t>1</w:t>
      </w:r>
      <w:r>
        <w:rPr>
          <w:rFonts w:ascii="Times New Roman"/>
          <w:b w:val="false"/>
          <w:i w:val="false"/>
          <w:color w:val="000000"/>
          <w:sz w:val="28"/>
        </w:rPr>
        <w:t>), и учитывает размещение сложившихся городов-спутников Капшагай, Каскелен, Талгар, Есик, села Узынагаш и четырех новых городов-спутников Gate City (финансовый центр), Golden City (культурный центр), Growing City (промышленный центр), Green City (туристический центр);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Источник: АО "Институт экономических исследований и местные исполнительные органы."</w:t>
      </w:r>
    </w:p>
    <w:p>
      <w:pPr>
        <w:spacing w:after="0"/>
        <w:ind w:left="0"/>
        <w:jc w:val="both"/>
      </w:pPr>
      <w:r>
        <w:rPr>
          <w:rFonts w:ascii="Times New Roman"/>
          <w:b w:val="false"/>
          <w:i w:val="false"/>
          <w:color w:val="000000"/>
          <w:sz w:val="28"/>
        </w:rPr>
        <w:t>
      в зону влияния Шымкентской агломерации входят: центр – город Шымкент, город Арысь, Байдибекский, Тюлькубасский, Казыгуртский, Толебийский, Ордабасынский и Сайрамский районы;</w:t>
      </w:r>
    </w:p>
    <w:p>
      <w:pPr>
        <w:spacing w:after="0"/>
        <w:ind w:left="0"/>
        <w:jc w:val="both"/>
      </w:pPr>
      <w:r>
        <w:rPr>
          <w:rFonts w:ascii="Times New Roman"/>
          <w:b w:val="false"/>
          <w:i w:val="false"/>
          <w:color w:val="000000"/>
          <w:sz w:val="28"/>
        </w:rPr>
        <w:t>
      в 1,0-часовую изохрону транспортной доступности перспективной Актюбинской агломерации входят центр – город Актобе, города Хромтау, Алга, Кандыагаш, ряд сельских населенных пунктов Алгинского, Каргалинского, Мартукского, Мугалжарского, Хобдинского и Хромтауского районов.</w:t>
      </w:r>
    </w:p>
    <w:p>
      <w:pPr>
        <w:spacing w:after="0"/>
        <w:ind w:left="0"/>
        <w:jc w:val="both"/>
      </w:pPr>
      <w:r>
        <w:rPr>
          <w:rFonts w:ascii="Times New Roman"/>
          <w:b w:val="false"/>
          <w:i w:val="false"/>
          <w:color w:val="000000"/>
          <w:sz w:val="28"/>
        </w:rPr>
        <w:t>
      Предполагается увеличение логистического потенциала в агломерациях в связи со строительством международных транспортных коридоров, которые проходят через города Алматы, Шымкент, Актобе</w:t>
      </w:r>
      <w:r>
        <w:rPr>
          <w:rFonts w:ascii="Times New Roman"/>
          <w:b w:val="false"/>
          <w:i w:val="false"/>
          <w:color w:val="000000"/>
          <w:vertAlign w:val="superscript"/>
        </w:rPr>
        <w:t>2</w:t>
      </w: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xml:space="preserve">
      Вместе с тем, на сегодняшний день отсутствуют статистические данные по пассажирскому обороту, что затрудняет определение транспортной доступности между городом-центром и городами-спутниками; </w:t>
      </w:r>
    </w:p>
    <w:p>
      <w:pPr>
        <w:spacing w:after="0"/>
        <w:ind w:left="0"/>
        <w:jc w:val="both"/>
      </w:pPr>
      <w:r>
        <w:rPr>
          <w:rFonts w:ascii="Times New Roman"/>
          <w:b w:val="false"/>
          <w:i w:val="false"/>
          <w:color w:val="000000"/>
          <w:sz w:val="28"/>
        </w:rPr>
        <w:t>
      3) экономический потенциал, то есть развитость города-центра (промышленный, сервисный, трудовой, финансовый, научный потенциал).</w:t>
      </w:r>
    </w:p>
    <w:p>
      <w:pPr>
        <w:spacing w:after="0"/>
        <w:ind w:left="0"/>
        <w:jc w:val="both"/>
      </w:pPr>
      <w:r>
        <w:rPr>
          <w:rFonts w:ascii="Times New Roman"/>
          <w:b w:val="false"/>
          <w:i w:val="false"/>
          <w:color w:val="000000"/>
          <w:sz w:val="28"/>
        </w:rPr>
        <w:t xml:space="preserve">
      Астана – столица республики, город, являющийся одним из лидеров социально-экономического развития страны. Определяющее воздействие на динамичное развитие города, близлежащих областей и пространственной структуры страны в целом оказало решение о переносе столицы. Выгодное экономико-географическое расположение в сочетании с большим объемом материальных, финансовых и трудовых ресурсов имеет первостепенное значение для формирования города Астаны в качестве центра агломерации, агломерационный потенциал развития которого еще не реализован. </w:t>
      </w:r>
    </w:p>
    <w:p>
      <w:pPr>
        <w:spacing w:after="0"/>
        <w:ind w:left="0"/>
        <w:jc w:val="both"/>
      </w:pPr>
      <w:r>
        <w:rPr>
          <w:rFonts w:ascii="Times New Roman"/>
          <w:b w:val="false"/>
          <w:i w:val="false"/>
          <w:color w:val="000000"/>
          <w:sz w:val="28"/>
        </w:rPr>
        <w:t xml:space="preserve">
      Доля валового регионального продукта (далее – ВРП) города в республиканском объеме составляет 8,5 % (данные за 2012 год). Основу экономики города составляют: прочие услуги (26,9 %), оптовая и розничная торговля (22,7 %), транспорт и связь (14,7 %), строительство (12,3 %). </w:t>
      </w:r>
    </w:p>
    <w:p>
      <w:pPr>
        <w:spacing w:after="0"/>
        <w:ind w:left="0"/>
        <w:jc w:val="both"/>
      </w:pPr>
      <w:r>
        <w:rPr>
          <w:rFonts w:ascii="Times New Roman"/>
          <w:b w:val="false"/>
          <w:i w:val="false"/>
          <w:color w:val="000000"/>
          <w:sz w:val="28"/>
        </w:rPr>
        <w:t xml:space="preserve">
      Анализ уровня жизни населения города выявил положительную динамику практически по всем рассматриваемым показателям. Экономически активное население города Астаны составило в 2012 году 417,6 тыс. человек и за период 2000 – 2012 годов выросло в 2,3 раза. </w:t>
      </w:r>
    </w:p>
    <w:p>
      <w:pPr>
        <w:spacing w:after="0"/>
        <w:ind w:left="0"/>
        <w:jc w:val="both"/>
      </w:pPr>
      <w:r>
        <w:rPr>
          <w:rFonts w:ascii="Times New Roman"/>
          <w:b w:val="false"/>
          <w:i w:val="false"/>
          <w:color w:val="000000"/>
          <w:sz w:val="28"/>
        </w:rPr>
        <w:t>
      Алматы – крупнейший мегаполис страны, активно формирующийся как агломерационный центр. В зону притяжения города Алматы входят города Талгар, Есик, Каскелен, Капшагай и прилегающие к ним поселки и села с тесными экономическими, трудовыми и социальными связями. Город Алматы отличается высокой концентрацией человеческих, финансовых ресурсов, образовательного и научного потенциала, развитой инфраструктурой, обеспечивающей связь с национальным и мировым рынками.</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Проект "Западная Европа - Западный Китай"</w:t>
      </w:r>
    </w:p>
    <w:p>
      <w:pPr>
        <w:spacing w:after="0"/>
        <w:ind w:left="0"/>
        <w:jc w:val="both"/>
      </w:pPr>
      <w:r>
        <w:rPr>
          <w:rFonts w:ascii="Times New Roman"/>
          <w:b w:val="false"/>
          <w:i w:val="false"/>
          <w:color w:val="000000"/>
          <w:sz w:val="28"/>
        </w:rPr>
        <w:t>
      Анализ отраслевой структуры ВРП города Алматы показывает, что экономическую базу города составляет сектор услуг (включая операции с недвижимым имуществом, финансы, образование, здравоохранение и прочие услуги, кроме торговли и ремонта – 45,5 %). Вторая позиция по удельному весу приходится на оптовую/розничную торговлю – 33,9 %, затем следуют транспорт и связь – 15,0 %, промышленность – 5,6 %, строительство – 3,2 %.</w:t>
      </w:r>
    </w:p>
    <w:p>
      <w:pPr>
        <w:spacing w:after="0"/>
        <w:ind w:left="0"/>
        <w:jc w:val="both"/>
      </w:pPr>
      <w:r>
        <w:rPr>
          <w:rFonts w:ascii="Times New Roman"/>
          <w:b w:val="false"/>
          <w:i w:val="false"/>
          <w:color w:val="000000"/>
          <w:sz w:val="28"/>
        </w:rPr>
        <w:t xml:space="preserve">
      Экономически активное население города составило в 2012 году 774,7 тыс. человек и за период 2008 – 2012 годов выросло на 9,8 %. </w:t>
      </w:r>
    </w:p>
    <w:p>
      <w:pPr>
        <w:spacing w:after="0"/>
        <w:ind w:left="0"/>
        <w:jc w:val="both"/>
      </w:pPr>
      <w:r>
        <w:rPr>
          <w:rFonts w:ascii="Times New Roman"/>
          <w:b w:val="false"/>
          <w:i w:val="false"/>
          <w:color w:val="000000"/>
          <w:sz w:val="28"/>
        </w:rPr>
        <w:t>
      В настоящее время развитие пригородной зоны города Алматы осуществляется в рамках принятой Комплексной схемы градостроительного планирования территорий пригородной зоны города Алматы.</w:t>
      </w:r>
    </w:p>
    <w:p>
      <w:pPr>
        <w:spacing w:after="0"/>
        <w:ind w:left="0"/>
        <w:jc w:val="both"/>
      </w:pPr>
      <w:r>
        <w:rPr>
          <w:rFonts w:ascii="Times New Roman"/>
          <w:b w:val="false"/>
          <w:i w:val="false"/>
          <w:color w:val="000000"/>
          <w:sz w:val="28"/>
        </w:rPr>
        <w:t>
      Шымкент – административный, социально-экономический, научный, образовательный и культурный центр Южно-Казахстанской области. При этом город с его экономическим потенциалом может стать агломерационным центром юга страны. Вместе с тем необходимо регулирование данного процесса с целью недопущения его развития в формате "ложной урбанизации".</w:t>
      </w:r>
    </w:p>
    <w:p>
      <w:pPr>
        <w:spacing w:after="0"/>
        <w:ind w:left="0"/>
        <w:jc w:val="both"/>
      </w:pPr>
      <w:r>
        <w:rPr>
          <w:rFonts w:ascii="Times New Roman"/>
          <w:b w:val="false"/>
          <w:i w:val="false"/>
          <w:color w:val="000000"/>
          <w:sz w:val="28"/>
        </w:rPr>
        <w:t xml:space="preserve">
      В период 2008 – 2012 годов наблюдался ежегодный прирост численности населения города Шымкента в среднем на 2,1 %. </w:t>
      </w:r>
    </w:p>
    <w:p>
      <w:pPr>
        <w:spacing w:after="0"/>
        <w:ind w:left="0"/>
        <w:jc w:val="both"/>
      </w:pPr>
      <w:r>
        <w:rPr>
          <w:rFonts w:ascii="Times New Roman"/>
          <w:b w:val="false"/>
          <w:i w:val="false"/>
          <w:color w:val="000000"/>
          <w:sz w:val="28"/>
        </w:rPr>
        <w:t>
      Город Актобе является административным центром Актюбинской области. Территория города Актобе, включая административно подчиненные пять сельских округов (Благодарный, Каргалинский, Курайлинский, Новый, Саздинский), равна 2,3 тыс. кв. км. Доля промышленного производства в областном объеме составляет 17,7 процентов, то есть 232,7 млрд. тенге (по данным за 2012 год). Основной удельный вес приходится на обрабатывающую промышленность – 77 процентов;</w:t>
      </w:r>
    </w:p>
    <w:p>
      <w:pPr>
        <w:spacing w:after="0"/>
        <w:ind w:left="0"/>
        <w:jc w:val="both"/>
      </w:pPr>
      <w:r>
        <w:rPr>
          <w:rFonts w:ascii="Times New Roman"/>
          <w:b w:val="false"/>
          <w:i w:val="false"/>
          <w:color w:val="000000"/>
          <w:sz w:val="28"/>
        </w:rPr>
        <w:t>
      4) административный статус города-центра (столица, город республиканского значения), что немаловажно в условиях Казахстана, поскольку предполагает контроль бюджетных ресурсов.</w:t>
      </w:r>
    </w:p>
    <w:p>
      <w:pPr>
        <w:spacing w:after="0"/>
        <w:ind w:left="0"/>
        <w:jc w:val="both"/>
      </w:pPr>
      <w:r>
        <w:rPr>
          <w:rFonts w:ascii="Times New Roman"/>
          <w:b w:val="false"/>
          <w:i w:val="false"/>
          <w:color w:val="000000"/>
          <w:sz w:val="28"/>
        </w:rPr>
        <w:t xml:space="preserve">
      В настоящее время финансирование регионов в республике происходит в рамках сложившейся системы межбюджетных отношений, которая основана на перераспределении бюджетных средств из регионов-доноров в регионы-реципиенты (предоставление бюджетных субвенций отстающим в экономическом плане областям). </w:t>
      </w:r>
    </w:p>
    <w:p>
      <w:pPr>
        <w:spacing w:after="0"/>
        <w:ind w:left="0"/>
        <w:jc w:val="both"/>
      </w:pPr>
      <w:r>
        <w:rPr>
          <w:rFonts w:ascii="Times New Roman"/>
          <w:b w:val="false"/>
          <w:i w:val="false"/>
          <w:color w:val="000000"/>
          <w:sz w:val="28"/>
        </w:rPr>
        <w:t>
      Такая система межбюджетных отношений в республике в недостаточной мере стимулирует местные исполнительные органы (как регионов-доноров, так и регионов-реципиентов) к увеличению темпов роста социально-экономического развития своих территорий.</w:t>
      </w:r>
    </w:p>
    <w:p>
      <w:pPr>
        <w:spacing w:after="0"/>
        <w:ind w:left="0"/>
        <w:jc w:val="both"/>
      </w:pPr>
      <w:r>
        <w:rPr>
          <w:rFonts w:ascii="Times New Roman"/>
          <w:b w:val="false"/>
          <w:i w:val="false"/>
          <w:color w:val="000000"/>
          <w:sz w:val="28"/>
        </w:rPr>
        <w:t>
                      SWOT-анализ развития агломераций в Казахстане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6807"/>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(в сравнении с другими регионами страны) уровень предоставления услуг в сферах образования, здравоохранения, культуры и досуга;</w:t>
            </w:r>
          </w:p>
          <w:p>
            <w:pPr>
              <w:spacing w:after="20"/>
              <w:ind w:left="20"/>
              <w:jc w:val="both"/>
            </w:pPr>
            <w:r>
              <w:rPr>
                <w:rFonts w:ascii="Times New Roman"/>
                <w:b w:val="false"/>
                <w:i w:val="false"/>
                <w:color w:val="000000"/>
                <w:sz w:val="20"/>
              </w:rPr>
              <w:t>
положительные показатели естественного и миграционного прироста населения;</w:t>
            </w:r>
          </w:p>
          <w:p>
            <w:pPr>
              <w:spacing w:after="20"/>
              <w:ind w:left="20"/>
              <w:jc w:val="both"/>
            </w:pPr>
            <w:r>
              <w:rPr>
                <w:rFonts w:ascii="Times New Roman"/>
                <w:b w:val="false"/>
                <w:i w:val="false"/>
                <w:color w:val="000000"/>
                <w:sz w:val="20"/>
              </w:rPr>
              <w:t>
благоприятные условия для развития малого и среднего бизнеса;</w:t>
            </w:r>
          </w:p>
          <w:p>
            <w:pPr>
              <w:spacing w:after="20"/>
              <w:ind w:left="20"/>
              <w:jc w:val="both"/>
            </w:pPr>
            <w:r>
              <w:rPr>
                <w:rFonts w:ascii="Times New Roman"/>
                <w:b w:val="false"/>
                <w:i w:val="false"/>
                <w:color w:val="000000"/>
                <w:sz w:val="20"/>
              </w:rPr>
              <w:t>
наличие кадровой базы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плотность расселения, отсутствие городов-ядер с населением более 2 млн. чел;</w:t>
            </w:r>
          </w:p>
          <w:p>
            <w:pPr>
              <w:spacing w:after="20"/>
              <w:ind w:left="20"/>
              <w:jc w:val="both"/>
            </w:pPr>
            <w:r>
              <w:rPr>
                <w:rFonts w:ascii="Times New Roman"/>
                <w:b w:val="false"/>
                <w:i w:val="false"/>
                <w:color w:val="000000"/>
                <w:sz w:val="20"/>
              </w:rPr>
              <w:t>
отсутствие общей системной инфраструктуры городов-центров и прилегающих территорий (систем населенных мест);</w:t>
            </w:r>
          </w:p>
          <w:p>
            <w:pPr>
              <w:spacing w:after="20"/>
              <w:ind w:left="20"/>
              <w:jc w:val="both"/>
            </w:pPr>
            <w:r>
              <w:rPr>
                <w:rFonts w:ascii="Times New Roman"/>
                <w:b w:val="false"/>
                <w:i w:val="false"/>
                <w:color w:val="000000"/>
                <w:sz w:val="20"/>
              </w:rPr>
              <w:t>
неэффективная транспортная инфраструктура внутри городов-центров (транспортные пробки);</w:t>
            </w:r>
          </w:p>
          <w:p>
            <w:pPr>
              <w:spacing w:after="20"/>
              <w:ind w:left="20"/>
              <w:jc w:val="both"/>
            </w:pPr>
            <w:r>
              <w:rPr>
                <w:rFonts w:ascii="Times New Roman"/>
                <w:b w:val="false"/>
                <w:i w:val="false"/>
                <w:color w:val="000000"/>
                <w:sz w:val="20"/>
              </w:rPr>
              <w:t>
негативная экологическая ситуация в крупных городах (загазованность, неприменение смарт-технологий "зеленой экономики", неразвитость общественного транспорта, наличие неэкологичных и энергоемких производств внутри городов);</w:t>
            </w:r>
          </w:p>
          <w:p>
            <w:pPr>
              <w:spacing w:after="20"/>
              <w:ind w:left="20"/>
              <w:jc w:val="both"/>
            </w:pPr>
            <w:r>
              <w:rPr>
                <w:rFonts w:ascii="Times New Roman"/>
                <w:b w:val="false"/>
                <w:i w:val="false"/>
                <w:color w:val="000000"/>
                <w:sz w:val="20"/>
              </w:rPr>
              <w:t>
недостаточная развитость зон рекреации и зеленых зон в городах;</w:t>
            </w:r>
          </w:p>
          <w:p>
            <w:pPr>
              <w:spacing w:after="20"/>
              <w:ind w:left="20"/>
              <w:jc w:val="both"/>
            </w:pPr>
            <w:r>
              <w:rPr>
                <w:rFonts w:ascii="Times New Roman"/>
                <w:b w:val="false"/>
                <w:i w:val="false"/>
                <w:color w:val="000000"/>
                <w:sz w:val="20"/>
              </w:rPr>
              <w:t>
отсутствие у крупных городов страны привлекательных брендов (узнаваемого международного имиджа);</w:t>
            </w:r>
          </w:p>
          <w:p>
            <w:pPr>
              <w:spacing w:after="20"/>
              <w:ind w:left="20"/>
              <w:jc w:val="both"/>
            </w:pPr>
            <w:r>
              <w:rPr>
                <w:rFonts w:ascii="Times New Roman"/>
                <w:b w:val="false"/>
                <w:i w:val="false"/>
                <w:color w:val="000000"/>
                <w:sz w:val="20"/>
              </w:rPr>
              <w:t>
низкая конкурентоспособность крупных городов страны на глобальном и региональном рынках;</w:t>
            </w:r>
          </w:p>
          <w:p>
            <w:pPr>
              <w:spacing w:after="20"/>
              <w:ind w:left="20"/>
              <w:jc w:val="both"/>
            </w:pPr>
            <w:r>
              <w:rPr>
                <w:rFonts w:ascii="Times New Roman"/>
                <w:b w:val="false"/>
                <w:i w:val="false"/>
                <w:color w:val="000000"/>
                <w:sz w:val="20"/>
              </w:rPr>
              <w:t>
отсутствие единой современной градостроительной документации города-центра и пригородных населенных пунктов</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реструктуризация экономики (постиндустриальное развитие);</w:t>
            </w:r>
          </w:p>
          <w:p>
            <w:pPr>
              <w:spacing w:after="20"/>
              <w:ind w:left="20"/>
              <w:jc w:val="both"/>
            </w:pPr>
            <w:r>
              <w:rPr>
                <w:rFonts w:ascii="Times New Roman"/>
                <w:b w:val="false"/>
                <w:i w:val="false"/>
                <w:color w:val="000000"/>
                <w:sz w:val="20"/>
              </w:rPr>
              <w:t>
формирование многочисленного и диверсифицированного рынка труда;</w:t>
            </w:r>
          </w:p>
          <w:p>
            <w:pPr>
              <w:spacing w:after="20"/>
              <w:ind w:left="20"/>
              <w:jc w:val="both"/>
            </w:pPr>
            <w:r>
              <w:rPr>
                <w:rFonts w:ascii="Times New Roman"/>
                <w:b w:val="false"/>
                <w:i w:val="false"/>
                <w:color w:val="000000"/>
                <w:sz w:val="20"/>
              </w:rPr>
              <w:t>
повышение привлекательности как емкого рынка сбыта товаров и услуг;</w:t>
            </w:r>
          </w:p>
          <w:p>
            <w:pPr>
              <w:spacing w:after="20"/>
              <w:ind w:left="20"/>
              <w:jc w:val="both"/>
            </w:pPr>
            <w:r>
              <w:rPr>
                <w:rFonts w:ascii="Times New Roman"/>
                <w:b w:val="false"/>
                <w:i w:val="false"/>
                <w:color w:val="000000"/>
                <w:sz w:val="20"/>
              </w:rPr>
              <w:t>
создание "инфраструктурного эффекта" (мощные транспортные комплексы, мультимодальные узлы, информационные коммуникации);</w:t>
            </w:r>
          </w:p>
          <w:p>
            <w:pPr>
              <w:spacing w:after="20"/>
              <w:ind w:left="20"/>
              <w:jc w:val="both"/>
            </w:pPr>
            <w:r>
              <w:rPr>
                <w:rFonts w:ascii="Times New Roman"/>
                <w:b w:val="false"/>
                <w:i w:val="false"/>
                <w:color w:val="000000"/>
                <w:sz w:val="20"/>
              </w:rPr>
              <w:t>
эффекты соседства с крупным центром, то есть предоставление жителям всей агломерации доступа к трудовым, торговым и другим возможностям разных зон агломерации в полном масштабе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урбанизация" вследствие неконтролируемого массового наплыва низкоквалифицированных трудовых ресурсов;</w:t>
            </w:r>
          </w:p>
          <w:p>
            <w:pPr>
              <w:spacing w:after="20"/>
              <w:ind w:left="20"/>
              <w:jc w:val="both"/>
            </w:pPr>
            <w:r>
              <w:rPr>
                <w:rFonts w:ascii="Times New Roman"/>
                <w:b w:val="false"/>
                <w:i w:val="false"/>
                <w:color w:val="000000"/>
                <w:sz w:val="20"/>
              </w:rPr>
              <w:t>
дефицит жилья;</w:t>
            </w:r>
          </w:p>
          <w:p>
            <w:pPr>
              <w:spacing w:after="20"/>
              <w:ind w:left="20"/>
              <w:jc w:val="both"/>
            </w:pPr>
            <w:r>
              <w:rPr>
                <w:rFonts w:ascii="Times New Roman"/>
                <w:b w:val="false"/>
                <w:i w:val="false"/>
                <w:color w:val="000000"/>
                <w:sz w:val="20"/>
              </w:rPr>
              <w:t>
высокая безработица;</w:t>
            </w:r>
          </w:p>
          <w:p>
            <w:pPr>
              <w:spacing w:after="20"/>
              <w:ind w:left="20"/>
              <w:jc w:val="both"/>
            </w:pPr>
            <w:r>
              <w:rPr>
                <w:rFonts w:ascii="Times New Roman"/>
                <w:b w:val="false"/>
                <w:i w:val="false"/>
                <w:color w:val="000000"/>
                <w:sz w:val="20"/>
              </w:rPr>
              <w:t>
чрезмерная нагрузка на городскую социальную и инженерную инфраструктуру;</w:t>
            </w:r>
          </w:p>
          <w:p>
            <w:pPr>
              <w:spacing w:after="20"/>
              <w:ind w:left="20"/>
              <w:jc w:val="both"/>
            </w:pPr>
            <w:r>
              <w:rPr>
                <w:rFonts w:ascii="Times New Roman"/>
                <w:b w:val="false"/>
                <w:i w:val="false"/>
                <w:color w:val="000000"/>
                <w:sz w:val="20"/>
              </w:rPr>
              <w:t>
хаотичная застройка окраин города;</w:t>
            </w:r>
          </w:p>
          <w:p>
            <w:pPr>
              <w:spacing w:after="20"/>
              <w:ind w:left="20"/>
              <w:jc w:val="both"/>
            </w:pPr>
            <w:r>
              <w:rPr>
                <w:rFonts w:ascii="Times New Roman"/>
                <w:b w:val="false"/>
                <w:i w:val="false"/>
                <w:color w:val="000000"/>
                <w:sz w:val="20"/>
              </w:rPr>
              <w:t>
маргинализация и асоциализация прибывающего населения (увеличение преступности)</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Города "второго уровня" (областные центры, города Семей и Туркестан)</w:t>
      </w:r>
    </w:p>
    <w:p>
      <w:pPr>
        <w:spacing w:after="0"/>
        <w:ind w:left="0"/>
        <w:jc w:val="both"/>
      </w:pPr>
      <w:r>
        <w:rPr>
          <w:rFonts w:ascii="Times New Roman"/>
          <w:b w:val="false"/>
          <w:i w:val="false"/>
          <w:color w:val="000000"/>
          <w:sz w:val="28"/>
        </w:rPr>
        <w:t xml:space="preserve">
      В настоящее время в Казахстане к городам "второго уровня" относятся 14 городов, из них 12 городов являются административными центрами 12 областей (города Кокшетау, Талдыкорган, Атырау, Уральск, Тараз, Караганды, Костанай, Кызылорда, Павлодар, Петропавловск, Усть-Каменогорск, Актау), 2 города являются городами областного значения (Семей, Туркестан). </w:t>
      </w:r>
    </w:p>
    <w:p>
      <w:pPr>
        <w:spacing w:after="0"/>
        <w:ind w:left="0"/>
        <w:jc w:val="both"/>
      </w:pPr>
      <w:r>
        <w:rPr>
          <w:rFonts w:ascii="Times New Roman"/>
          <w:b w:val="false"/>
          <w:i w:val="false"/>
          <w:color w:val="000000"/>
          <w:sz w:val="28"/>
        </w:rPr>
        <w:t>
      Численность населения городов "второго уровня" на 1 января 2013 года составила 3 594,4 тыс. человек, что составляет 21,3 % от общей численности населения в республике, или порядка 40 % от городского населения страны. За рассматриваемый период во всех городах второго уровня наблюдается рост численности населения, что связано как с положительными значениями естественного прироста населения, так и сложившимся положительным сальдо миграции населения.</w:t>
      </w:r>
    </w:p>
    <w:p>
      <w:pPr>
        <w:spacing w:after="0"/>
        <w:ind w:left="0"/>
        <w:jc w:val="both"/>
      </w:pPr>
      <w:r>
        <w:rPr>
          <w:rFonts w:ascii="Times New Roman"/>
          <w:b w:val="false"/>
          <w:i w:val="false"/>
          <w:color w:val="000000"/>
          <w:sz w:val="28"/>
        </w:rPr>
        <w:t>
      Сравнительный анализ основных показателей социально-экономического развития этих городов показал, что большинство городов являются центрами притяжения и концентрации производственных, финансовых и трудовых ресурсов в своих регионах.</w:t>
      </w:r>
    </w:p>
    <w:p>
      <w:pPr>
        <w:spacing w:after="0"/>
        <w:ind w:left="0"/>
        <w:jc w:val="both"/>
      </w:pPr>
      <w:r>
        <w:rPr>
          <w:rFonts w:ascii="Times New Roman"/>
          <w:b w:val="false"/>
          <w:i w:val="false"/>
          <w:color w:val="000000"/>
          <w:sz w:val="28"/>
        </w:rPr>
        <w:t>
      Таблица 2. Основные социально-экономические показатели городов "второго уровня"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2"/>
        <w:gridCol w:w="1653"/>
        <w:gridCol w:w="1343"/>
        <w:gridCol w:w="1654"/>
        <w:gridCol w:w="1654"/>
        <w:gridCol w:w="3217"/>
        <w:gridCol w:w="1344"/>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области, тыс. тг.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40 203,5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89 321,7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131 018,4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117 589,0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1 048 776,0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627 740,0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82 467,3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620 125,9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126 873,4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2465"/>
        <w:gridCol w:w="1205"/>
        <w:gridCol w:w="2465"/>
        <w:gridCol w:w="1205"/>
        <w:gridCol w:w="2466"/>
        <w:gridCol w:w="1206"/>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общей площади жилых домов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метров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301 230,0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341 128,3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195 144,0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131 104,3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промышленного производства городов "второго уровня" в 2012 году составил 3,33 трлн. тенге, что составляет порядка 20 % от общереспубликанского объема промышленного производства. </w:t>
      </w:r>
    </w:p>
    <w:p>
      <w:pPr>
        <w:spacing w:after="0"/>
        <w:ind w:left="0"/>
        <w:jc w:val="both"/>
      </w:pPr>
      <w:r>
        <w:rPr>
          <w:rFonts w:ascii="Times New Roman"/>
          <w:b w:val="false"/>
          <w:i w:val="false"/>
          <w:color w:val="000000"/>
          <w:sz w:val="28"/>
        </w:rPr>
        <w:t>
      За 2008 – 2012 годы общий объем промышленного производства городов второго уровня увеличился на 30,5 %.</w:t>
      </w:r>
    </w:p>
    <w:p>
      <w:pPr>
        <w:spacing w:after="0"/>
        <w:ind w:left="0"/>
        <w:jc w:val="both"/>
      </w:pPr>
      <w:r>
        <w:rPr>
          <w:rFonts w:ascii="Times New Roman"/>
          <w:b w:val="false"/>
          <w:i w:val="false"/>
          <w:color w:val="000000"/>
          <w:sz w:val="28"/>
        </w:rPr>
        <w:t xml:space="preserve">
      В городах второго уровня хорошо развиты отрасли обрабатывающей промышленности. Так, анализ структуры промышленного производства этих городов показал, что в большинстве доля обрабатывающей промышленности в общем объеме промышленного производства превышает 70 %. </w:t>
      </w:r>
    </w:p>
    <w:p>
      <w:pPr>
        <w:spacing w:after="0"/>
        <w:ind w:left="0"/>
        <w:jc w:val="both"/>
      </w:pPr>
      <w:r>
        <w:rPr>
          <w:rFonts w:ascii="Times New Roman"/>
          <w:b w:val="false"/>
          <w:i w:val="false"/>
          <w:color w:val="000000"/>
          <w:sz w:val="28"/>
        </w:rPr>
        <w:t>
      В городах Атырау, Караганде и Актау удельный вес обрабатывающей отрасли в общем объеме промышленного производства в 2012 году составлял 46 – 50 %.</w:t>
      </w:r>
    </w:p>
    <w:p>
      <w:pPr>
        <w:spacing w:after="0"/>
        <w:ind w:left="0"/>
        <w:jc w:val="both"/>
      </w:pPr>
      <w:r>
        <w:rPr>
          <w:rFonts w:ascii="Times New Roman"/>
          <w:b w:val="false"/>
          <w:i w:val="false"/>
          <w:color w:val="000000"/>
          <w:sz w:val="28"/>
        </w:rPr>
        <w:t>
      Основными проблемами инженерной инфраструктуры городов "второго уровня" являются высокий износ водопроводных, канализационных, тепловых и электрических сетей, автомобильных дорог.</w:t>
      </w:r>
    </w:p>
    <w:p>
      <w:pPr>
        <w:spacing w:after="0"/>
        <w:ind w:left="0"/>
        <w:jc w:val="both"/>
      </w:pPr>
      <w:r>
        <w:rPr>
          <w:rFonts w:ascii="Times New Roman"/>
          <w:b w:val="false"/>
          <w:i w:val="false"/>
          <w:color w:val="000000"/>
          <w:sz w:val="28"/>
        </w:rPr>
        <w:t>
      Таблица 3. Степень износа коммунальной инфраструктуры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637"/>
        <w:gridCol w:w="1871"/>
        <w:gridCol w:w="1871"/>
        <w:gridCol w:w="1871"/>
        <w:gridCol w:w="1871"/>
        <w:gridCol w:w="2963"/>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сети,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сети,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сети,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(в неудовлетворительном состоянии),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Города "третьего уровня" (малые и моногорода)</w:t>
      </w:r>
    </w:p>
    <w:p>
      <w:pPr>
        <w:spacing w:after="0"/>
        <w:ind w:left="0"/>
        <w:jc w:val="both"/>
      </w:pPr>
      <w:r>
        <w:rPr>
          <w:rFonts w:ascii="Times New Roman"/>
          <w:b w:val="false"/>
          <w:i w:val="false"/>
          <w:color w:val="000000"/>
          <w:sz w:val="28"/>
        </w:rPr>
        <w:t>
      В настоящее время в Казахстане насчитывается 41 малый город, численность населения, которых по состоянию на 1 января 2013 года составляет 904,2 тыс. человек. 33 малых города являются административными центрами соответствующих сельских районов. 8 малых городов не являются центрами сельских районов. По географическому месторасположению можно выделить следующие типы городов:</w:t>
      </w:r>
    </w:p>
    <w:p>
      <w:pPr>
        <w:spacing w:after="0"/>
        <w:ind w:left="0"/>
        <w:jc w:val="both"/>
      </w:pPr>
      <w:r>
        <w:rPr>
          <w:rFonts w:ascii="Times New Roman"/>
          <w:b w:val="false"/>
          <w:i w:val="false"/>
          <w:color w:val="000000"/>
          <w:sz w:val="28"/>
        </w:rPr>
        <w:t>
      1) в зоне влияния агломераций – Акколь, Алга, Кандыагаш, Есик, Капшагай, Каскелен, Талгар, Ленгер;</w:t>
      </w:r>
    </w:p>
    <w:p>
      <w:pPr>
        <w:spacing w:after="0"/>
        <w:ind w:left="0"/>
        <w:jc w:val="both"/>
      </w:pPr>
      <w:r>
        <w:rPr>
          <w:rFonts w:ascii="Times New Roman"/>
          <w:b w:val="false"/>
          <w:i w:val="false"/>
          <w:color w:val="000000"/>
          <w:sz w:val="28"/>
        </w:rPr>
        <w:t>
      2) вдоль автомобильных и железнодорожных магистралей республиканского и международного значения – Акколь, Атбасар, Ерейментау, Есиль, Макинск, Щучинск, Алга, Кандыагаш, Шалкар, Жаркент, Капшагай, Каскелен, Сарканд, Аягоз, Шу, Приозерск, Аральск, Эмба, Ушарал, Уштобе, Зайсан, Шар, Шемонаиха, Арысь, Сарыагаш, Булаево, Мамлютка, Тайынша;</w:t>
      </w:r>
    </w:p>
    <w:p>
      <w:pPr>
        <w:spacing w:after="0"/>
        <w:ind w:left="0"/>
        <w:jc w:val="both"/>
      </w:pPr>
      <w:r>
        <w:rPr>
          <w:rFonts w:ascii="Times New Roman"/>
          <w:b w:val="false"/>
          <w:i w:val="false"/>
          <w:color w:val="000000"/>
          <w:sz w:val="28"/>
        </w:rPr>
        <w:t>
      3) на приграничных территориях – Жаркент, Ушарал, Зайсан, Сарыагаш, Шардара, Шар, Шемонаиха, Мамлютка, Булаево.</w:t>
      </w:r>
    </w:p>
    <w:p>
      <w:pPr>
        <w:spacing w:after="0"/>
        <w:ind w:left="0"/>
        <w:jc w:val="both"/>
      </w:pPr>
      <w:r>
        <w:rPr>
          <w:rFonts w:ascii="Times New Roman"/>
          <w:b w:val="false"/>
          <w:i w:val="false"/>
          <w:color w:val="000000"/>
          <w:sz w:val="28"/>
        </w:rPr>
        <w:t>
      Перечень моногородов включает 27 городов, численность населения которых составляет 1,53 млн. человек, или 16,8 % городского населения страны, из них 16 городов являются административными центрами соответствующих районов. В моногородах сосредоточена значительная часть промышленного потенциала Казахстана</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3</w:t>
      </w:r>
      <w:r>
        <w:rPr>
          <w:rFonts w:ascii="Times New Roman"/>
          <w:b w:val="false"/>
          <w:i w:val="false"/>
          <w:color w:val="000000"/>
          <w:sz w:val="28"/>
        </w:rPr>
        <w:t>На территории г. Хромтау Актюбинской области добывается весь объем хромовой руды в Казахстане и 95 % хромовых руд в СНГ, г. Степногорск является центром промышленного производства, занимающим значительную долю в общем объеме промышленного производства Акмолинской области.</w:t>
      </w:r>
    </w:p>
    <w:p>
      <w:pPr>
        <w:spacing w:after="0"/>
        <w:ind w:left="0"/>
        <w:jc w:val="both"/>
      </w:pPr>
      <w:r>
        <w:rPr>
          <w:rFonts w:ascii="Times New Roman"/>
          <w:b w:val="false"/>
          <w:i w:val="false"/>
          <w:color w:val="000000"/>
          <w:sz w:val="28"/>
        </w:rPr>
        <w:t>
            По транспортному расположению моногорода можно разделить на две группы: города, находящиеся вдоль железнодорожных линий (20 городов), и города, находящиеся в отдалении от железных дорог либо в железнодорожном тупике (7 городов).</w:t>
      </w:r>
    </w:p>
    <w:p>
      <w:pPr>
        <w:spacing w:after="0"/>
        <w:ind w:left="0"/>
        <w:jc w:val="both"/>
      </w:pPr>
      <w:r>
        <w:rPr>
          <w:rFonts w:ascii="Times New Roman"/>
          <w:b w:val="false"/>
          <w:i w:val="false"/>
          <w:color w:val="000000"/>
          <w:sz w:val="28"/>
        </w:rPr>
        <w:t>
            Из 27 моногородов страны вдоль автомобильных дорог международного значения находятся 7 городов, республиканского значения – 14, местного значения – 7.</w:t>
      </w:r>
    </w:p>
    <w:p>
      <w:pPr>
        <w:spacing w:after="0"/>
        <w:ind w:left="0"/>
        <w:jc w:val="both"/>
      </w:pPr>
      <w:r>
        <w:rPr>
          <w:rFonts w:ascii="Times New Roman"/>
          <w:b w:val="false"/>
          <w:i w:val="false"/>
          <w:color w:val="000000"/>
          <w:sz w:val="28"/>
        </w:rPr>
        <w:t>
            Несмотря на общий рост населения в 41 малом городе в сравнении с показателями 1999 года (на 14,3 %), в большинстве малых городов численность населения снизилась. Также, несмотря на общий рост населения в моногородах за десятилетний период (на 4 %), в 11 из них произошло сокращение численности населения на 11,8 %</w:t>
      </w:r>
      <w:r>
        <w:rPr>
          <w:rFonts w:ascii="Times New Roman"/>
          <w:b w:val="false"/>
          <w:i w:val="false"/>
          <w:color w:val="000000"/>
          <w:vertAlign w:val="superscript"/>
        </w:rPr>
        <w:t>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Источник: данные по малым и моногородам представлены АО "Институт экономических исследований" и местными исполнительными органами.</w:t>
      </w:r>
    </w:p>
    <w:p>
      <w:pPr>
        <w:spacing w:after="0"/>
        <w:ind w:left="0"/>
        <w:jc w:val="both"/>
      </w:pPr>
      <w:r>
        <w:rPr>
          <w:rFonts w:ascii="Times New Roman"/>
          <w:b w:val="false"/>
          <w:i w:val="false"/>
          <w:color w:val="000000"/>
          <w:sz w:val="28"/>
        </w:rPr>
        <w:t xml:space="preserve">
      Среднедушевые денежные доходы населения малых городов составляют лишь 65 % от среднереспубликанского уровня, тогда как среднедушевые доходы большинства моногородов не достигают среднеобластного уровня. Так, в городах Аркалык, Кентау, Балхаш, Сарань среднедушевые денежные доходы составили 80 – 85 % к среднеобластному уровню. Основными источниками доходов населения моногородов являются заработная плата на предприятиях и организациях (в основном бюджетных), доля которой составляет в общей сумме доходов 50 – 60 %, пенсии, стипендии, различные пособия составляют до 20 – 30 % доходов, поступления от подсобного хозяйства – 10 – 15 %, остальное – помощь близких и друзей. </w:t>
      </w:r>
    </w:p>
    <w:p>
      <w:pPr>
        <w:spacing w:after="0"/>
        <w:ind w:left="0"/>
        <w:jc w:val="both"/>
      </w:pPr>
      <w:r>
        <w:rPr>
          <w:rFonts w:ascii="Times New Roman"/>
          <w:b w:val="false"/>
          <w:i w:val="false"/>
          <w:color w:val="000000"/>
          <w:sz w:val="28"/>
        </w:rPr>
        <w:t>
      Общий объем промышленного производства малых городов в 2012 году составил 719 311 млн. тенге, что составляет 4,26 % от общереспубликанского объема промышленной продукции. Промышленное производство в малых и моногородах характеризуется выраженной специализацией на одной-двух отраслях, а другие отрасли развиты незначительно, либо промышленные предприятия вообще отсутствуют.</w:t>
      </w:r>
    </w:p>
    <w:p>
      <w:pPr>
        <w:spacing w:after="0"/>
        <w:ind w:left="0"/>
        <w:jc w:val="both"/>
      </w:pPr>
      <w:r>
        <w:rPr>
          <w:rFonts w:ascii="Times New Roman"/>
          <w:b w:val="false"/>
          <w:i w:val="false"/>
          <w:color w:val="000000"/>
          <w:sz w:val="28"/>
        </w:rPr>
        <w:t>
      В большинстве малых и моногородов страны образовался комплекс проблем, в основном связанных с состоянием бывших градообразующих предприятий или доминирующей отрасли.</w:t>
      </w:r>
    </w:p>
    <w:p>
      <w:pPr>
        <w:spacing w:after="0"/>
        <w:ind w:left="0"/>
        <w:jc w:val="both"/>
      </w:pPr>
      <w:r>
        <w:rPr>
          <w:rFonts w:ascii="Times New Roman"/>
          <w:b w:val="false"/>
          <w:i w:val="false"/>
          <w:color w:val="000000"/>
          <w:sz w:val="28"/>
        </w:rPr>
        <w:t>
      Одна из проблем – неудовлетворительное состояние инженерной и социальной инфраструктуры. Высокий износ водопроводных, канализационных, тепловых и электрических сетей требует значительных финансовых вложений. Так, в половине моногородов (14 городов) износ электрических сетей достигает 70 %.</w:t>
      </w:r>
    </w:p>
    <w:p>
      <w:pPr>
        <w:spacing w:after="0"/>
        <w:ind w:left="0"/>
        <w:jc w:val="both"/>
      </w:pPr>
      <w:r>
        <w:rPr>
          <w:rFonts w:ascii="Times New Roman"/>
          <w:b w:val="false"/>
          <w:i w:val="false"/>
          <w:color w:val="000000"/>
          <w:sz w:val="28"/>
        </w:rPr>
        <w:t>
      Неудовлетворительное состояние производственной инфраструктуры является одной из ключевых проблем, сдерживающих развитие малых и моногородов. Особенно остро стоит проблема транспортной удаленности и плохого состояния автомобильных дорог.</w:t>
      </w:r>
    </w:p>
    <w:p>
      <w:pPr>
        <w:spacing w:after="0"/>
        <w:ind w:left="0"/>
        <w:jc w:val="both"/>
      </w:pPr>
      <w:r>
        <w:rPr>
          <w:rFonts w:ascii="Times New Roman"/>
          <w:b w:val="false"/>
          <w:i w:val="false"/>
          <w:color w:val="000000"/>
          <w:sz w:val="28"/>
        </w:rPr>
        <w:t>
                Таблица 4. Информация по наиболее критичным показателям</w:t>
      </w:r>
    </w:p>
    <w:p>
      <w:pPr>
        <w:spacing w:after="0"/>
        <w:ind w:left="0"/>
        <w:jc w:val="both"/>
      </w:pPr>
      <w:r>
        <w:rPr>
          <w:rFonts w:ascii="Times New Roman"/>
          <w:b w:val="false"/>
          <w:i w:val="false"/>
          <w:color w:val="000000"/>
          <w:sz w:val="28"/>
        </w:rPr>
        <w:t>
                              среди малых/моногородов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806"/>
        <w:gridCol w:w="4855"/>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города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электрических сетей,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(85), Шемонаиха (87), Приозерск (82)</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(94), Риддер (82), Житикара (81,3) Зыряновск (82)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тепловых сетей,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(80), Приозерск (80), Лисаковск (70,6), Текели (80)</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(95), Текели (80), Зыряновск (80), Серебрянск (78), Курчатов (68)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водопроводных сетей,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(82), Макинск (80), Щучинск (64), Талгар (75), Каркаралинск (50), Приозерск (79), Ленгер (70)</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 (95), Зыряновск (82), Серебрянск (75), Курчатов (74), Каратау (60), Кентау (60)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домов,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 (21), Зайсан (19), Приозерск (10,8), Шар (9 %), Есиль (6)</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 (84,7), Абай (36,7), Жанаозен (10,9), Каратау (8,4), Жанатас (7,1)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численности населения,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(на 28,3), Степняк (на 24,0), Державинск (на 20,6), Сергеевка (на 22,5), Мамлютка (на 19,3), Булаево (на 18,9), Шар (на 16,7)</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 (на 33,5), Каражал (на 19,5), Абай (на 19,3), Жанатас (на 18,2), Серебрянск (на 16,3)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разработки эффективных мер по развитию малых и моногородов Казахстана изучались успешные примеры зарубежных стран в развитии подобных населенных пунктов. </w:t>
      </w:r>
    </w:p>
    <w:p>
      <w:pPr>
        <w:spacing w:after="0"/>
        <w:ind w:left="0"/>
        <w:jc w:val="both"/>
      </w:pPr>
      <w:r>
        <w:rPr>
          <w:rFonts w:ascii="Times New Roman"/>
          <w:b w:val="false"/>
          <w:i w:val="false"/>
          <w:color w:val="000000"/>
          <w:sz w:val="28"/>
        </w:rPr>
        <w:t xml:space="preserve">
      Учитывая характер и специфику сложившейся ситуации в малых городах, для Казахстана возможна адаптация и применение опыта таких стран, как США, Швеции, а также в целом Европейского союза (далее – ЕС). </w:t>
      </w:r>
    </w:p>
    <w:p>
      <w:pPr>
        <w:spacing w:after="0"/>
        <w:ind w:left="0"/>
        <w:jc w:val="both"/>
      </w:pPr>
      <w:r>
        <w:rPr>
          <w:rFonts w:ascii="Times New Roman"/>
          <w:b w:val="false"/>
          <w:i w:val="false"/>
          <w:color w:val="000000"/>
          <w:sz w:val="28"/>
        </w:rPr>
        <w:t>
      К примеру, в результате снижения добычи угля и объемов производства текстильной промышленности город Биг Стоун Гэп (США) оказался в тяжелой социально-экономической ситуации. Благодаря реструктуризации экономики города и использованию преимущества близости к природе и рекреационным местам удалось стабилизировать уровень безработицы и увеличить численность населения города.</w:t>
      </w:r>
    </w:p>
    <w:p>
      <w:pPr>
        <w:spacing w:after="0"/>
        <w:ind w:left="0"/>
        <w:jc w:val="both"/>
      </w:pPr>
      <w:r>
        <w:rPr>
          <w:rFonts w:ascii="Times New Roman"/>
          <w:b w:val="false"/>
          <w:i w:val="false"/>
          <w:color w:val="000000"/>
          <w:sz w:val="28"/>
        </w:rPr>
        <w:t xml:space="preserve">
      Другой пример: зависимость города Фармвилль от табачной отрасли была ликвидирована через диверсификацию экономики города путем агрессивной поддержки малого и среднего бизнеса (далее – МСБ) и "переманивания" бизнеса из большого города. Здесь были использованы преимущества близости большого города, 2-х железнодорожных линий и шоссе. </w:t>
      </w:r>
    </w:p>
    <w:p>
      <w:pPr>
        <w:spacing w:after="0"/>
        <w:ind w:left="0"/>
        <w:jc w:val="both"/>
      </w:pPr>
      <w:r>
        <w:rPr>
          <w:rFonts w:ascii="Times New Roman"/>
          <w:b w:val="false"/>
          <w:i w:val="false"/>
          <w:color w:val="000000"/>
          <w:sz w:val="28"/>
        </w:rPr>
        <w:t xml:space="preserve">
      Одним из успешных примеров превращения недостатков в преимущества служит город Кируна (Швеция). В результате снижения объемов добычи железа и сокращения занятых город оказался на грани банкротства. Для диверсификации экономики города градообразующее предприятие вложило масштабные инвестиции в развитие научно-иследовательских опытно-конструкторских разработок (далее – НИОКР), аэрокосмической отрасли и туристской индустрии. </w:t>
      </w:r>
    </w:p>
    <w:p>
      <w:pPr>
        <w:spacing w:after="0"/>
        <w:ind w:left="0"/>
        <w:jc w:val="both"/>
      </w:pPr>
      <w:r>
        <w:rPr>
          <w:rFonts w:ascii="Times New Roman"/>
          <w:b w:val="false"/>
          <w:i w:val="false"/>
          <w:color w:val="000000"/>
          <w:sz w:val="28"/>
        </w:rPr>
        <w:t xml:space="preserve">
      Смена технологических укладов привела к тотальному сокращению занятых в традиционных отраслях промышленности (в текстильной промышленности – более чем на половину, в металлообработке – на треть) и безработице в 27 % в городе Хелмонд (Нидерланды). В результате принятых мер властями в город были привлечены многочисленные отечественные и иностранные компании, характеризующиеся "пулом", технологическими новациями, ориентированные на широкое использование научно-технического прогресса и предпринимательство, активно действующие на международном рынке. Численность города возросла с 48 до 70 тыс. человек, а безработица сократилась с 27 до 6,8 %. </w:t>
      </w:r>
    </w:p>
    <w:p>
      <w:pPr>
        <w:spacing w:after="0"/>
        <w:ind w:left="0"/>
        <w:jc w:val="both"/>
      </w:pPr>
      <w:r>
        <w:rPr>
          <w:rFonts w:ascii="Times New Roman"/>
          <w:b w:val="false"/>
          <w:i w:val="false"/>
          <w:color w:val="000000"/>
          <w:sz w:val="28"/>
        </w:rPr>
        <w:t>
      В Польше политика развития малых городов преследовала цель повышения грамотности населения и развития человеческого капитала. В связи с этим были реализованы проекты по развитию транспортной инфраструктуры, альтернативных источников энергии, информационного общества, улучшению окружающей среды, образования.</w:t>
      </w:r>
    </w:p>
    <w:p>
      <w:pPr>
        <w:spacing w:after="0"/>
        <w:ind w:left="0"/>
        <w:jc w:val="both"/>
      </w:pPr>
      <w:r>
        <w:rPr>
          <w:rFonts w:ascii="Times New Roman"/>
          <w:b w:val="false"/>
          <w:i w:val="false"/>
          <w:color w:val="000000"/>
          <w:sz w:val="28"/>
        </w:rPr>
        <w:t>
      Разные страны выбирали разные пути для решения проблем своих моногородов. Наиболее близки к нашим проблемы моногородов таких стран, как Германия, Австралия, Япония и США.</w:t>
      </w:r>
    </w:p>
    <w:p>
      <w:pPr>
        <w:spacing w:after="0"/>
        <w:ind w:left="0"/>
        <w:jc w:val="both"/>
      </w:pPr>
      <w:r>
        <w:rPr>
          <w:rFonts w:ascii="Times New Roman"/>
          <w:b w:val="false"/>
          <w:i w:val="false"/>
          <w:color w:val="000000"/>
          <w:sz w:val="28"/>
        </w:rPr>
        <w:t>
      Например, в Германии для решения проблем, возникших в связи со спадом в угольной промышленности Рурского бассейна, государством был введен налог – "угольный пфеннинг" для субсидирования угольной отрасли.</w:t>
      </w:r>
    </w:p>
    <w:p>
      <w:pPr>
        <w:spacing w:after="0"/>
        <w:ind w:left="0"/>
        <w:jc w:val="both"/>
      </w:pPr>
      <w:r>
        <w:rPr>
          <w:rFonts w:ascii="Times New Roman"/>
          <w:b w:val="false"/>
          <w:i w:val="false"/>
          <w:color w:val="000000"/>
          <w:sz w:val="28"/>
        </w:rPr>
        <w:t>
      Примечателен в мировой практике развития моногородов опыт города Теннант-Крик (Австралия). После истощения угольных шахт города для сохранения уровня занятости государством и градообразующим предприятием был организован переезд специалистов и шахтеров на другие месторождения, что позволило сохранить не только рабочие места, но и кадровый потенциал.</w:t>
      </w:r>
    </w:p>
    <w:p>
      <w:pPr>
        <w:spacing w:after="0"/>
        <w:ind w:left="0"/>
        <w:jc w:val="both"/>
      </w:pPr>
      <w:r>
        <w:rPr>
          <w:rFonts w:ascii="Times New Roman"/>
          <w:b w:val="false"/>
          <w:i w:val="false"/>
          <w:color w:val="000000"/>
          <w:sz w:val="28"/>
        </w:rPr>
        <w:t xml:space="preserve">
      В Японии решение проблем моногородов также осуществлялось совместно государством и градообразующим предприятием. Здесь был организован перевод части сотрудников на производственные мощности компании в других городах. </w:t>
      </w:r>
    </w:p>
    <w:p>
      <w:pPr>
        <w:spacing w:after="0"/>
        <w:ind w:left="0"/>
        <w:jc w:val="both"/>
      </w:pPr>
      <w:r>
        <w:rPr>
          <w:rFonts w:ascii="Times New Roman"/>
          <w:b w:val="false"/>
          <w:i w:val="false"/>
          <w:color w:val="000000"/>
          <w:sz w:val="28"/>
        </w:rPr>
        <w:t>
      При этом градообразующим предприятием были созданы новые малые предприятия в различных сферах экономики (электроника и информационные системы, производство товаров для жизни и продуктов питания, создание технопарка).</w:t>
      </w:r>
    </w:p>
    <w:p>
      <w:pPr>
        <w:spacing w:after="0"/>
        <w:ind w:left="0"/>
        <w:jc w:val="both"/>
      </w:pPr>
      <w:r>
        <w:rPr>
          <w:rFonts w:ascii="Times New Roman"/>
          <w:b w:val="false"/>
          <w:i w:val="false"/>
          <w:color w:val="000000"/>
          <w:sz w:val="28"/>
        </w:rPr>
        <w:t>
      Одним из успешных примеров диверсификации экономики моногорода считается опыт города Бирмингем (США). Используя естественные преимущества города и продуманную политику правительства по привлечению инвестиций (например, мелких производителей на свободные производственные площади, развитие инфраструктуры высшего образования и другие меры), город смог решить проблемы, связанные с закрытием градообразующих металлургических предприятий.</w:t>
      </w:r>
    </w:p>
    <w:p>
      <w:pPr>
        <w:spacing w:after="0"/>
        <w:ind w:left="0"/>
        <w:jc w:val="both"/>
      </w:pPr>
      <w:r>
        <w:rPr>
          <w:rFonts w:ascii="Times New Roman"/>
          <w:b w:val="false"/>
          <w:i w:val="false"/>
          <w:color w:val="000000"/>
          <w:sz w:val="28"/>
        </w:rPr>
        <w:t>
      Как видно из мировой практики наиболее успешными в решении своих проблем оказались города, в которых прослеживалась высокая совместная заинтересованность как со стороны государства, так и со стороны градообразующего предприятия.</w:t>
      </w:r>
    </w:p>
    <w:p>
      <w:pPr>
        <w:spacing w:after="0"/>
        <w:ind w:left="0"/>
        <w:jc w:val="both"/>
      </w:pPr>
      <w:r>
        <w:rPr>
          <w:rFonts w:ascii="Times New Roman"/>
          <w:b w:val="false"/>
          <w:i w:val="false"/>
          <w:color w:val="000000"/>
          <w:sz w:val="28"/>
        </w:rPr>
        <w:t xml:space="preserve">
      Значительный прогресс наблюдается в тех городах, где основные усилия были направлены на стимулирование предпринимательства – курсы переподготовки, организация бизнес-инкубаторов, создание новых производств градообразующим предприятием, налоговые льготы. </w:t>
      </w:r>
    </w:p>
    <w:p>
      <w:pPr>
        <w:spacing w:after="0"/>
        <w:ind w:left="0"/>
        <w:jc w:val="both"/>
      </w:pPr>
      <w:r>
        <w:rPr>
          <w:rFonts w:ascii="Times New Roman"/>
          <w:b w:val="false"/>
          <w:i w:val="false"/>
          <w:color w:val="000000"/>
          <w:sz w:val="28"/>
        </w:rPr>
        <w:t>
      SWOT-анализ развития малых и моногородов в Казахстане: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2"/>
        <w:gridCol w:w="6628"/>
      </w:tblGrid>
      <w:tr>
        <w:trPr>
          <w:trHeight w:val="30" w:hRule="atLeast"/>
        </w:trPr>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и транспортной инфраструктуры;</w:t>
            </w:r>
          </w:p>
          <w:p>
            <w:pPr>
              <w:spacing w:after="20"/>
              <w:ind w:left="20"/>
              <w:jc w:val="both"/>
            </w:pPr>
            <w:r>
              <w:rPr>
                <w:rFonts w:ascii="Times New Roman"/>
                <w:b w:val="false"/>
                <w:i w:val="false"/>
                <w:color w:val="000000"/>
                <w:sz w:val="20"/>
              </w:rPr>
              <w:t>
положительные показатели естественного прироста населения в перспективных городах;</w:t>
            </w:r>
          </w:p>
          <w:p>
            <w:pPr>
              <w:spacing w:after="20"/>
              <w:ind w:left="20"/>
              <w:jc w:val="both"/>
            </w:pPr>
            <w:r>
              <w:rPr>
                <w:rFonts w:ascii="Times New Roman"/>
                <w:b w:val="false"/>
                <w:i w:val="false"/>
                <w:color w:val="000000"/>
                <w:sz w:val="20"/>
              </w:rPr>
              <w:t>
благоприятные условия для развития малого и среднего предпринимательства;</w:t>
            </w:r>
          </w:p>
          <w:p>
            <w:pPr>
              <w:spacing w:after="20"/>
              <w:ind w:left="20"/>
              <w:jc w:val="both"/>
            </w:pPr>
            <w:r>
              <w:rPr>
                <w:rFonts w:ascii="Times New Roman"/>
                <w:b w:val="false"/>
                <w:i w:val="false"/>
                <w:color w:val="000000"/>
                <w:sz w:val="20"/>
              </w:rPr>
              <w:t>
наличие кадровой базы;</w:t>
            </w:r>
          </w:p>
          <w:p>
            <w:pPr>
              <w:spacing w:after="20"/>
              <w:ind w:left="20"/>
              <w:jc w:val="both"/>
            </w:pPr>
            <w:r>
              <w:rPr>
                <w:rFonts w:ascii="Times New Roman"/>
                <w:b w:val="false"/>
                <w:i w:val="false"/>
                <w:color w:val="000000"/>
                <w:sz w:val="20"/>
              </w:rPr>
              <w:t>
наличие свободных территорий для размещения новых производственных мощностей</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диверсификации промышленности;</w:t>
            </w:r>
          </w:p>
          <w:p>
            <w:pPr>
              <w:spacing w:after="20"/>
              <w:ind w:left="20"/>
              <w:jc w:val="both"/>
            </w:pPr>
            <w:r>
              <w:rPr>
                <w:rFonts w:ascii="Times New Roman"/>
                <w:b w:val="false"/>
                <w:i w:val="false"/>
                <w:color w:val="000000"/>
                <w:sz w:val="20"/>
              </w:rPr>
              <w:t>
неполная загрузка имеющихся производственных мощностей ввиду неконкурентоспособности производимой продукции;</w:t>
            </w:r>
          </w:p>
          <w:p>
            <w:pPr>
              <w:spacing w:after="20"/>
              <w:ind w:left="20"/>
              <w:jc w:val="both"/>
            </w:pPr>
            <w:r>
              <w:rPr>
                <w:rFonts w:ascii="Times New Roman"/>
                <w:b w:val="false"/>
                <w:i w:val="false"/>
                <w:color w:val="000000"/>
                <w:sz w:val="20"/>
              </w:rPr>
              <w:t>
спад производства на промышленных предприятиях (в моногородах – в зависимости от ситуации на сырьевых рынках), невостребованность производимой продукции;</w:t>
            </w:r>
          </w:p>
          <w:p>
            <w:pPr>
              <w:spacing w:after="20"/>
              <w:ind w:left="20"/>
              <w:jc w:val="both"/>
            </w:pPr>
            <w:r>
              <w:rPr>
                <w:rFonts w:ascii="Times New Roman"/>
                <w:b w:val="false"/>
                <w:i w:val="false"/>
                <w:color w:val="000000"/>
                <w:sz w:val="20"/>
              </w:rPr>
              <w:t>
низкая доля экономически активного населения;</w:t>
            </w:r>
          </w:p>
          <w:p>
            <w:pPr>
              <w:spacing w:after="20"/>
              <w:ind w:left="20"/>
              <w:jc w:val="both"/>
            </w:pPr>
            <w:r>
              <w:rPr>
                <w:rFonts w:ascii="Times New Roman"/>
                <w:b w:val="false"/>
                <w:i w:val="false"/>
                <w:color w:val="000000"/>
                <w:sz w:val="20"/>
              </w:rPr>
              <w:t>
отсутствие мест приложения труда;</w:t>
            </w:r>
          </w:p>
          <w:p>
            <w:pPr>
              <w:spacing w:after="20"/>
              <w:ind w:left="20"/>
              <w:jc w:val="both"/>
            </w:pPr>
            <w:r>
              <w:rPr>
                <w:rFonts w:ascii="Times New Roman"/>
                <w:b w:val="false"/>
                <w:i w:val="false"/>
                <w:color w:val="000000"/>
                <w:sz w:val="20"/>
              </w:rPr>
              <w:t>
отток населения в благополучные регионы;</w:t>
            </w:r>
          </w:p>
          <w:p>
            <w:pPr>
              <w:spacing w:after="20"/>
              <w:ind w:left="20"/>
              <w:jc w:val="both"/>
            </w:pPr>
            <w:r>
              <w:rPr>
                <w:rFonts w:ascii="Times New Roman"/>
                <w:b w:val="false"/>
                <w:i w:val="false"/>
                <w:color w:val="000000"/>
                <w:sz w:val="20"/>
              </w:rPr>
              <w:t>
низкие показатели уровня жизни населения;</w:t>
            </w:r>
          </w:p>
          <w:p>
            <w:pPr>
              <w:spacing w:after="20"/>
              <w:ind w:left="20"/>
              <w:jc w:val="both"/>
            </w:pPr>
            <w:r>
              <w:rPr>
                <w:rFonts w:ascii="Times New Roman"/>
                <w:b w:val="false"/>
                <w:i w:val="false"/>
                <w:color w:val="000000"/>
                <w:sz w:val="20"/>
              </w:rPr>
              <w:t>
слабая обеспеченность населения услугами социальных учреждений;</w:t>
            </w:r>
          </w:p>
          <w:p>
            <w:pPr>
              <w:spacing w:after="20"/>
              <w:ind w:left="20"/>
              <w:jc w:val="both"/>
            </w:pPr>
            <w:r>
              <w:rPr>
                <w:rFonts w:ascii="Times New Roman"/>
                <w:b w:val="false"/>
                <w:i w:val="false"/>
                <w:color w:val="000000"/>
                <w:sz w:val="20"/>
              </w:rPr>
              <w:t>
высокая изношенность инженерной, социальной и жилищно-коммунальной инфраструктуры, внутригородских дорог</w:t>
            </w:r>
          </w:p>
        </w:tc>
      </w:tr>
      <w:tr>
        <w:trPr>
          <w:trHeight w:val="30" w:hRule="atLeast"/>
        </w:trPr>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реструктуризация экономики, маркетинг и выявление потенциальных брендов городов;</w:t>
            </w:r>
          </w:p>
          <w:p>
            <w:pPr>
              <w:spacing w:after="20"/>
              <w:ind w:left="20"/>
              <w:jc w:val="both"/>
            </w:pPr>
            <w:r>
              <w:rPr>
                <w:rFonts w:ascii="Times New Roman"/>
                <w:b w:val="false"/>
                <w:i w:val="false"/>
                <w:color w:val="000000"/>
                <w:sz w:val="20"/>
              </w:rPr>
              <w:t>
диверсификация экономики и освоение новых специализаций;</w:t>
            </w:r>
          </w:p>
          <w:p>
            <w:pPr>
              <w:spacing w:after="20"/>
              <w:ind w:left="20"/>
              <w:jc w:val="both"/>
            </w:pPr>
            <w:r>
              <w:rPr>
                <w:rFonts w:ascii="Times New Roman"/>
                <w:b w:val="false"/>
                <w:i w:val="false"/>
                <w:color w:val="000000"/>
                <w:sz w:val="20"/>
              </w:rPr>
              <w:t>
модернизация действующих предприятий, привлечение новых (стратегических, "якорных" инвесторов), аутсорсинг;</w:t>
            </w:r>
          </w:p>
          <w:p>
            <w:pPr>
              <w:spacing w:after="20"/>
              <w:ind w:left="20"/>
              <w:jc w:val="both"/>
            </w:pPr>
            <w:r>
              <w:rPr>
                <w:rFonts w:ascii="Times New Roman"/>
                <w:b w:val="false"/>
                <w:i w:val="false"/>
                <w:color w:val="000000"/>
                <w:sz w:val="20"/>
              </w:rPr>
              <w:t>
привлечение квалифицированных кадров, подготовка и переподготовка местных кадров;</w:t>
            </w:r>
          </w:p>
          <w:p>
            <w:pPr>
              <w:spacing w:after="20"/>
              <w:ind w:left="20"/>
              <w:jc w:val="both"/>
            </w:pPr>
            <w:r>
              <w:rPr>
                <w:rFonts w:ascii="Times New Roman"/>
                <w:b w:val="false"/>
                <w:i w:val="false"/>
                <w:color w:val="000000"/>
                <w:sz w:val="20"/>
              </w:rPr>
              <w:t>
повышение уровня жизни населения;</w:t>
            </w:r>
          </w:p>
          <w:p>
            <w:pPr>
              <w:spacing w:after="20"/>
              <w:ind w:left="20"/>
              <w:jc w:val="both"/>
            </w:pPr>
            <w:r>
              <w:rPr>
                <w:rFonts w:ascii="Times New Roman"/>
                <w:b w:val="false"/>
                <w:i w:val="false"/>
                <w:color w:val="000000"/>
                <w:sz w:val="20"/>
              </w:rPr>
              <w:t>
развитие малого и среднего бизнеса в сфере промышленности, строительства, переработки сельскохозяйственной продукции, транспорта, туризма и рекреации;</w:t>
            </w:r>
          </w:p>
          <w:p>
            <w:pPr>
              <w:spacing w:after="20"/>
              <w:ind w:left="20"/>
              <w:jc w:val="both"/>
            </w:pPr>
            <w:r>
              <w:rPr>
                <w:rFonts w:ascii="Times New Roman"/>
                <w:b w:val="false"/>
                <w:i w:val="false"/>
                <w:color w:val="000000"/>
                <w:sz w:val="20"/>
              </w:rPr>
              <w:t>
развитие государственно-частного партнерства (далее – ГЧП)</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безработица в связи с остановкой градообразующих предприятий;</w:t>
            </w:r>
          </w:p>
          <w:p>
            <w:pPr>
              <w:spacing w:after="20"/>
              <w:ind w:left="20"/>
              <w:jc w:val="both"/>
            </w:pPr>
            <w:r>
              <w:rPr>
                <w:rFonts w:ascii="Times New Roman"/>
                <w:b w:val="false"/>
                <w:i w:val="false"/>
                <w:color w:val="000000"/>
                <w:sz w:val="20"/>
              </w:rPr>
              <w:t>
технологическая отсталость промышленных предприятий, что снижает конкурентоспособность производимой продукции;</w:t>
            </w:r>
          </w:p>
          <w:p>
            <w:pPr>
              <w:spacing w:after="20"/>
              <w:ind w:left="20"/>
              <w:jc w:val="both"/>
            </w:pPr>
            <w:r>
              <w:rPr>
                <w:rFonts w:ascii="Times New Roman"/>
                <w:b w:val="false"/>
                <w:i w:val="false"/>
                <w:color w:val="000000"/>
                <w:sz w:val="20"/>
              </w:rPr>
              <w:t>
депопуляция городов;</w:t>
            </w:r>
          </w:p>
          <w:p>
            <w:pPr>
              <w:spacing w:after="20"/>
              <w:ind w:left="20"/>
              <w:jc w:val="both"/>
            </w:pPr>
            <w:r>
              <w:rPr>
                <w:rFonts w:ascii="Times New Roman"/>
                <w:b w:val="false"/>
                <w:i w:val="false"/>
                <w:color w:val="000000"/>
                <w:sz w:val="20"/>
              </w:rPr>
              <w:t>
снижение инвестиционной привлекательности</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Сельские территории</w:t>
      </w:r>
    </w:p>
    <w:p>
      <w:pPr>
        <w:spacing w:after="0"/>
        <w:ind w:left="0"/>
        <w:jc w:val="both"/>
      </w:pPr>
      <w:r>
        <w:rPr>
          <w:rFonts w:ascii="Times New Roman"/>
          <w:b w:val="false"/>
          <w:i w:val="false"/>
          <w:color w:val="000000"/>
          <w:sz w:val="28"/>
        </w:rPr>
        <w:t>
      По итогам мониторинга социально-экономического развития насчитывается 6 838 СНП, в которых проживает 7,7 млн. человек. Из общего количества СНП 1 080 соответствует высокому, 5 293 – среднему, а 465 – низкому потенциалу развития. При этом более половины СНП являются малочисленными и в них проживает всего 9,3 % сельских жителей.</w:t>
      </w:r>
    </w:p>
    <w:p>
      <w:pPr>
        <w:spacing w:after="0"/>
        <w:ind w:left="0"/>
        <w:jc w:val="both"/>
      </w:pPr>
      <w:r>
        <w:rPr>
          <w:rFonts w:ascii="Times New Roman"/>
          <w:b w:val="false"/>
          <w:i w:val="false"/>
          <w:color w:val="000000"/>
          <w:sz w:val="28"/>
        </w:rPr>
        <w:t>
      Доступ к централизованному водоснабжению имеют 74 % сельского населения, а 23 % автомобильных дорог местного значения требуют капитального ремонта.</w:t>
      </w:r>
    </w:p>
    <w:p>
      <w:pPr>
        <w:spacing w:after="0"/>
        <w:ind w:left="0"/>
        <w:jc w:val="both"/>
      </w:pPr>
      <w:r>
        <w:rPr>
          <w:rFonts w:ascii="Times New Roman"/>
          <w:b w:val="false"/>
          <w:i w:val="false"/>
          <w:color w:val="000000"/>
          <w:sz w:val="28"/>
        </w:rPr>
        <w:t>
      Решение вопросов развития сельских территорий предусмотрено в рамках различных программных документов, однако отсутствие комплексного подхода в данном направлении не позволяют достичь желаемых результатов.</w:t>
      </w:r>
    </w:p>
    <w:p>
      <w:pPr>
        <w:spacing w:after="0"/>
        <w:ind w:left="0"/>
        <w:jc w:val="both"/>
      </w:pPr>
      <w:r>
        <w:rPr>
          <w:rFonts w:ascii="Times New Roman"/>
          <w:b w:val="false"/>
          <w:i w:val="false"/>
          <w:color w:val="000000"/>
          <w:sz w:val="28"/>
        </w:rPr>
        <w:t xml:space="preserve">
      Так, несмотря на государственную поддержку положительное сальдо миграции сельского населения только в двух областях – Алматинской и Мангистауской, что связано с отсутствием достаточной работы в региональной политике по сельским населенным пунктам. </w:t>
      </w:r>
    </w:p>
    <w:p>
      <w:pPr>
        <w:spacing w:after="0"/>
        <w:ind w:left="0"/>
        <w:jc w:val="both"/>
      </w:pPr>
      <w:r>
        <w:rPr>
          <w:rFonts w:ascii="Times New Roman"/>
          <w:b w:val="false"/>
          <w:i w:val="false"/>
          <w:color w:val="000000"/>
          <w:sz w:val="28"/>
        </w:rPr>
        <w:t>
      Отток населения из сел наблюдается в основном в аграрных регионах (Западно-Казахстанская, Восточно-Казахстанская, Северо-Казахстанская, Южно-Казахстанская, Костанайская области).</w:t>
      </w:r>
    </w:p>
    <w:p>
      <w:pPr>
        <w:spacing w:after="0"/>
        <w:ind w:left="0"/>
        <w:jc w:val="left"/>
      </w:pPr>
      <w:r>
        <w:rPr>
          <w:rFonts w:ascii="Times New Roman"/>
          <w:b/>
          <w:i w:val="false"/>
          <w:color w:val="000000"/>
        </w:rPr>
        <w:t xml:space="preserve"> Прирост/убыль сельчан за счет миграции (2011 – 2013 годы) </w:t>
      </w:r>
    </w:p>
    <w:p>
      <w:pPr>
        <w:spacing w:after="0"/>
        <w:ind w:left="0"/>
        <w:jc w:val="both"/>
      </w:pPr>
      <w:r>
        <w:drawing>
          <wp:inline distT="0" distB="0" distL="0" distR="0">
            <wp:extent cx="2921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127000"/>
                    </a:xfrm>
                    <a:prstGeom prst="rect">
                      <a:avLst/>
                    </a:prstGeom>
                  </pic:spPr>
                </pic:pic>
              </a:graphicData>
            </a:graphic>
          </wp:inline>
        </w:drawing>
      </w:r>
    </w:p>
    <w:p>
      <w:pPr>
        <w:spacing w:after="0"/>
        <w:ind w:left="0"/>
        <w:jc w:val="left"/>
      </w:pPr>
      <w:r>
        <w:rPr>
          <w:rFonts w:ascii="Times New Roman"/>
          <w:b/>
          <w:i w:val="false"/>
          <w:color w:val="000000"/>
          <w:sz w:val="28"/>
        </w:rPr>
        <w:t xml:space="preserve">Весь объем государственной поддержки в регион в денежном выражении </w:t>
      </w:r>
      <w:r>
        <w:br/>
      </w:r>
      <w:r>
        <w:br/>
      </w:r>
    </w:p>
    <w:p>
      <w:pPr>
        <w:spacing w:after="0"/>
        <w:ind w:left="0"/>
        <w:jc w:val="both"/>
      </w:pPr>
      <w:r>
        <w:drawing>
          <wp:inline distT="0" distB="0" distL="0" distR="0">
            <wp:extent cx="7112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этим, наряду с решением общих проблем развития сельских территорий, необходимо приступить к новому этапу комплексного развития опорных СНП с обеспечением более высокого уровня жизни сельского населения.</w:t>
      </w:r>
    </w:p>
    <w:p>
      <w:pPr>
        <w:spacing w:after="0"/>
        <w:ind w:left="0"/>
        <w:jc w:val="both"/>
      </w:pPr>
      <w:r>
        <w:rPr>
          <w:rFonts w:ascii="Times New Roman"/>
          <w:b w:val="false"/>
          <w:i w:val="false"/>
          <w:color w:val="000000"/>
          <w:sz w:val="28"/>
        </w:rPr>
        <w:t xml:space="preserve">
      Для развития опорных сел был изучен опыт развития сельских территорий Республики Беларусь. </w:t>
      </w:r>
    </w:p>
    <w:p>
      <w:pPr>
        <w:spacing w:after="0"/>
        <w:ind w:left="0"/>
        <w:jc w:val="both"/>
      </w:pPr>
      <w:r>
        <w:rPr>
          <w:rFonts w:ascii="Times New Roman"/>
          <w:b w:val="false"/>
          <w:i w:val="false"/>
          <w:color w:val="000000"/>
          <w:sz w:val="28"/>
        </w:rPr>
        <w:t xml:space="preserve">
      В Республике Беларусь реализовывалась Государственная программа возрождения и развития села на 2005 – 2010 годы, которая была направлена на создание условий для приоритетного социально-экономического развития села и повышения эффективности работы агропромышленного комплекса. </w:t>
      </w:r>
    </w:p>
    <w:p>
      <w:pPr>
        <w:spacing w:after="0"/>
        <w:ind w:left="0"/>
        <w:jc w:val="both"/>
      </w:pPr>
      <w:r>
        <w:rPr>
          <w:rFonts w:ascii="Times New Roman"/>
          <w:b w:val="false"/>
          <w:i w:val="false"/>
          <w:color w:val="000000"/>
          <w:sz w:val="28"/>
        </w:rPr>
        <w:t xml:space="preserve">
      Основными целями и задачами этой Государственной программы являлись: </w:t>
      </w:r>
    </w:p>
    <w:p>
      <w:pPr>
        <w:spacing w:after="0"/>
        <w:ind w:left="0"/>
        <w:jc w:val="both"/>
      </w:pPr>
      <w:r>
        <w:rPr>
          <w:rFonts w:ascii="Times New Roman"/>
          <w:b w:val="false"/>
          <w:i w:val="false"/>
          <w:color w:val="000000"/>
          <w:sz w:val="28"/>
        </w:rPr>
        <w:t xml:space="preserve">
      1) возрождение и развитие социальной и производственной сфер белорусского села, обеспечение условий для устойчивого ведения сельскохозяйственного производства; </w:t>
      </w:r>
    </w:p>
    <w:p>
      <w:pPr>
        <w:spacing w:after="0"/>
        <w:ind w:left="0"/>
        <w:jc w:val="both"/>
      </w:pPr>
      <w:r>
        <w:rPr>
          <w:rFonts w:ascii="Times New Roman"/>
          <w:b w:val="false"/>
          <w:i w:val="false"/>
          <w:color w:val="000000"/>
          <w:sz w:val="28"/>
        </w:rPr>
        <w:t xml:space="preserve">
      2) повышение доходов сельского населения, создание основ для престижности проживания в сельской местности и улучшения демографической ситуации на селе; </w:t>
      </w:r>
    </w:p>
    <w:p>
      <w:pPr>
        <w:spacing w:after="0"/>
        <w:ind w:left="0"/>
        <w:jc w:val="both"/>
      </w:pPr>
      <w:r>
        <w:rPr>
          <w:rFonts w:ascii="Times New Roman"/>
          <w:b w:val="false"/>
          <w:i w:val="false"/>
          <w:color w:val="000000"/>
          <w:sz w:val="28"/>
        </w:rPr>
        <w:t xml:space="preserve">
      3) обеспечение эффективного производства сельскохозяйственной продукции и продовольствия в объемах, достаточных для внутреннего рынка и формирования экспортных ресурсов. </w:t>
      </w:r>
    </w:p>
    <w:p>
      <w:pPr>
        <w:spacing w:after="0"/>
        <w:ind w:left="0"/>
        <w:jc w:val="both"/>
      </w:pPr>
      <w:r>
        <w:rPr>
          <w:rFonts w:ascii="Times New Roman"/>
          <w:b w:val="false"/>
          <w:i w:val="false"/>
          <w:color w:val="000000"/>
          <w:sz w:val="28"/>
        </w:rPr>
        <w:t xml:space="preserve">
      Проводниками социальных стандартов на селе были определены агрогородки. </w:t>
      </w:r>
    </w:p>
    <w:p>
      <w:pPr>
        <w:spacing w:after="0"/>
        <w:ind w:left="0"/>
        <w:jc w:val="both"/>
      </w:pPr>
      <w:r>
        <w:rPr>
          <w:rFonts w:ascii="Times New Roman"/>
          <w:b w:val="false"/>
          <w:i w:val="false"/>
          <w:color w:val="000000"/>
          <w:sz w:val="28"/>
        </w:rPr>
        <w:t>
      В этом документе агрогородок определяется как качественно новый тип сельских поселков: агрогородок – благоустроенный населенный пункт с численностью населения, как правило, менее тысячи человек, в котором будут созданы производственная и социальная инфраструктуры для обеспечения социальных стандартов проживающему в нем населению и жителям прилегающих территорий.</w:t>
      </w:r>
    </w:p>
    <w:p>
      <w:pPr>
        <w:spacing w:after="0"/>
        <w:ind w:left="0"/>
        <w:jc w:val="both"/>
      </w:pPr>
      <w:r>
        <w:rPr>
          <w:rFonts w:ascii="Times New Roman"/>
          <w:b w:val="false"/>
          <w:i w:val="false"/>
          <w:color w:val="000000"/>
          <w:sz w:val="28"/>
        </w:rPr>
        <w:t xml:space="preserve">
      Агрогородки создаются на основе административно-территориальных единиц базового уровня, территории которых является исторически устоявшимися административными образованиями. При реализации Программы агрогородки были подразделены на две группы. Первая – это селения, где курс на создание полноценного поселения был взят и реализуется давно и последовательно. Здесь различная модификация и совершенствование имеют планомерный характер и не воспринимаются чем-то чрезвычайным, радикальным. Другие поселения, чтобы обрести статус агрогородка должны значительно преобразиться по многим аспектам. В этом случае требуются вполне заметные и кардинальные новшества, требующие значительных финансовых вливаний. </w:t>
      </w:r>
    </w:p>
    <w:p>
      <w:pPr>
        <w:spacing w:after="0"/>
        <w:ind w:left="0"/>
        <w:jc w:val="both"/>
      </w:pPr>
      <w:r>
        <w:rPr>
          <w:rFonts w:ascii="Times New Roman"/>
          <w:b w:val="false"/>
          <w:i w:val="false"/>
          <w:color w:val="000000"/>
          <w:sz w:val="28"/>
        </w:rPr>
        <w:t>
      Достигнутые позитивные результаты в Республике Беларусь делают актуальным применение подобных подходов и инструментов в развитии опорных СНП в рамках реализации новой региональной политики Республики Казахстан.</w:t>
      </w:r>
    </w:p>
    <w:p>
      <w:pPr>
        <w:spacing w:after="0"/>
        <w:ind w:left="0"/>
        <w:jc w:val="left"/>
      </w:pPr>
      <w:r>
        <w:rPr>
          <w:rFonts w:ascii="Times New Roman"/>
          <w:b/>
          <w:i w:val="false"/>
          <w:color w:val="000000"/>
        </w:rPr>
        <w:t xml:space="preserve"> Приграничные территории</w:t>
      </w:r>
    </w:p>
    <w:p>
      <w:pPr>
        <w:spacing w:after="0"/>
        <w:ind w:left="0"/>
        <w:jc w:val="both"/>
      </w:pPr>
      <w:r>
        <w:rPr>
          <w:rFonts w:ascii="Times New Roman"/>
          <w:b w:val="false"/>
          <w:i w:val="false"/>
          <w:color w:val="000000"/>
          <w:sz w:val="28"/>
        </w:rPr>
        <w:t>
      Общая протяженность Государственной границы Республики Казахстан по суше составляет 13 394 км. В республике насчитывается 12 приграничных областей, 62 приграничных района и 1 297 населенных пунктов, расположенных на их территории.</w:t>
      </w:r>
    </w:p>
    <w:p>
      <w:pPr>
        <w:spacing w:after="0"/>
        <w:ind w:left="0"/>
        <w:jc w:val="both"/>
      </w:pPr>
      <w:r>
        <w:rPr>
          <w:rFonts w:ascii="Times New Roman"/>
          <w:b w:val="false"/>
          <w:i w:val="false"/>
          <w:color w:val="000000"/>
          <w:sz w:val="28"/>
        </w:rPr>
        <w:t xml:space="preserve">
      Это обстоятельство предопределяет высокую степень актуальности развития и использования всех преимуществ, связанных с подобным положением и одновременно необходимость учета и нивелирования вытекающих из этого недостатков. </w:t>
      </w:r>
    </w:p>
    <w:p>
      <w:pPr>
        <w:spacing w:after="0"/>
        <w:ind w:left="0"/>
        <w:jc w:val="both"/>
      </w:pPr>
      <w:r>
        <w:rPr>
          <w:rFonts w:ascii="Times New Roman"/>
          <w:b w:val="false"/>
          <w:i w:val="false"/>
          <w:color w:val="000000"/>
          <w:sz w:val="28"/>
        </w:rPr>
        <w:t>
      В южных регионах страны в силу густозаселенности приграничных территорий сопредельных стран, а также наличия развитой инфраструктуры, транспортной доступности и приграничной торговли имеются все предпосылки для динамичного роста социально-экономического потенциала населенных пунктов.</w:t>
      </w:r>
    </w:p>
    <w:p>
      <w:pPr>
        <w:spacing w:after="0"/>
        <w:ind w:left="0"/>
        <w:jc w:val="both"/>
      </w:pPr>
      <w:r>
        <w:rPr>
          <w:rFonts w:ascii="Times New Roman"/>
          <w:b w:val="false"/>
          <w:i w:val="false"/>
          <w:color w:val="000000"/>
          <w:sz w:val="28"/>
        </w:rPr>
        <w:t xml:space="preserve">
      Для стран с переходной экономикой приграничное положение наиболее экономически выгодно в случае "разности потенциалов" – когда за границей расположен более развитый сосед, заинтересованный в переносе части производства на территорию с конкурентными преимуществами: более дешевой рабочей силой и инфраструктурой при низких транспортных издержках (пример штата Сонора в Мексике на границе с США, границы Чехии, Венгрии со старыми странами ЕС). Но даже при соседстве с развитыми странами приграничный эффект проявляется слабо, если институциональная среда остается неблагоприятной для инвестиций (например северо-западная граница России и ЕС). </w:t>
      </w:r>
    </w:p>
    <w:p>
      <w:pPr>
        <w:spacing w:after="0"/>
        <w:ind w:left="0"/>
        <w:jc w:val="both"/>
      </w:pPr>
      <w:r>
        <w:rPr>
          <w:rFonts w:ascii="Times New Roman"/>
          <w:b w:val="false"/>
          <w:i w:val="false"/>
          <w:color w:val="000000"/>
          <w:sz w:val="28"/>
        </w:rPr>
        <w:t>
      На границе Казахстана и России "разности потенциалов" нет, соседние регионы России не имеют явного преимущества в развитии, как и регионы Казахстана. Высокий душевой ВРП в западных областях Казахстана и Тюменской области остается статистической величиной, большая часть нефтегазовых доходов централизуется в центральный бюджет, что препятствует ускоренному развитию и созданию новых рабочих мест в самих регионах. Приграничное взаимодействие средне- или слаборазвитых регионов невелико или имеет узкую номенклатуру обмена, значительную долю теневой торговли.</w:t>
      </w:r>
    </w:p>
    <w:p>
      <w:pPr>
        <w:spacing w:after="0"/>
        <w:ind w:left="0"/>
        <w:jc w:val="both"/>
      </w:pPr>
      <w:r>
        <w:rPr>
          <w:rFonts w:ascii="Times New Roman"/>
          <w:b w:val="false"/>
          <w:i w:val="false"/>
          <w:color w:val="000000"/>
          <w:sz w:val="28"/>
        </w:rPr>
        <w:t>
      В юго-восточных приграничных регионах страны усиливаются такие негативные факторы, как быстрый темп роста экономики соседних государств, отток населения в города и депопуляция значительных территорий, демографическое давление на приграничные регионы страны со стороны соседних государств.</w:t>
      </w:r>
    </w:p>
    <w:p>
      <w:pPr>
        <w:spacing w:after="0"/>
        <w:ind w:left="0"/>
        <w:jc w:val="both"/>
      </w:pPr>
      <w:r>
        <w:rPr>
          <w:rFonts w:ascii="Times New Roman"/>
          <w:b w:val="false"/>
          <w:i w:val="false"/>
          <w:color w:val="000000"/>
          <w:sz w:val="28"/>
        </w:rPr>
        <w:t>
      Так, в 2000 году в Китае принята программа "Стратегия широкомасштабного развития Запада". На ближайшие годы официальным лозунгом экономического развития Китая провозглашен "Стабильный Восток, развивающийся Запад". В 2000 – 2009 годы валовый внутренний продукт (далее – ВВП) Западного Китая ежегодно увеличивался в среднем на 11,9 %, что превысило средний уровень по стране. Тенденция быстрого роста сохранялась и в 2009 году, когда страна переживала не самые лучшие времена в условиях мирового финансового кризиса. Темп роста ВВП в Западном Китае оказался на 2,8 % выше, чем в восточной части страны</w:t>
      </w:r>
      <w:r>
        <w:rPr>
          <w:rFonts w:ascii="Times New Roman"/>
          <w:b w:val="false"/>
          <w:i w:val="false"/>
          <w:color w:val="000000"/>
          <w:vertAlign w:val="superscript"/>
        </w:rPr>
        <w:t>5</w:t>
      </w:r>
      <w:r>
        <w:rPr>
          <w:rFonts w:ascii="Times New Roman"/>
          <w:b w:val="false"/>
          <w:i w:val="false"/>
          <w:color w:val="000000"/>
          <w:sz w:val="28"/>
        </w:rPr>
        <w:t>. При этом наблюдается депопуляция численности населения Восточно-Казахстанской области, если в 2003 году она составляла 1 466 тыс. человек, то к 2013 году снизилась до 1 394 тыс. человек.</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В рамках стратегии освоения запада страны наиболее важными считаются следующие мегапроекты: отведение водных ресурсов с юга на север; Цинхай-Тибетская железная дорога; газопровод "Запад-Восток"; линия электропередачи между западным и восточным регионами. Осуществляется также крупномасшабный и дорогостоящий экологический проект, предусматривающий восстановление лесо-травяного покрова на рекультивируемых пахотных угодьях западных районах Китая.</w:t>
      </w:r>
    </w:p>
    <w:p>
      <w:pPr>
        <w:spacing w:after="0"/>
        <w:ind w:left="0"/>
        <w:jc w:val="both"/>
      </w:pPr>
      <w:r>
        <w:rPr>
          <w:rFonts w:ascii="Times New Roman"/>
          <w:b w:val="false"/>
          <w:i w:val="false"/>
          <w:color w:val="000000"/>
          <w:sz w:val="28"/>
        </w:rPr>
        <w:t>
      Вместе с тем, динамично развивающийся товарооборот с Китаем, создание международных центров приграничной торговли, принятые меры по развитию транспортных сообщений вглубь территорий республики с выходом в другие страны, огромный туристический потенциал создают предпосылки для развития экономики этих регионов.</w:t>
      </w:r>
    </w:p>
    <w:p>
      <w:pPr>
        <w:spacing w:after="0"/>
        <w:ind w:left="0"/>
        <w:jc w:val="both"/>
      </w:pPr>
      <w:r>
        <w:rPr>
          <w:rFonts w:ascii="Times New Roman"/>
          <w:b w:val="false"/>
          <w:i w:val="false"/>
          <w:color w:val="000000"/>
          <w:sz w:val="28"/>
        </w:rPr>
        <w:t xml:space="preserve">
      За счет высокой транспортной доступности наблюдается высокая интеграция приграничных территорий Республики Казахстан и Российской Федерации, где расположены 12 российских и 7 казахстанских регионов. </w:t>
      </w:r>
    </w:p>
    <w:p>
      <w:pPr>
        <w:spacing w:after="0"/>
        <w:ind w:left="0"/>
        <w:jc w:val="both"/>
      </w:pPr>
      <w:r>
        <w:rPr>
          <w:rFonts w:ascii="Times New Roman"/>
          <w:b w:val="false"/>
          <w:i w:val="false"/>
          <w:color w:val="000000"/>
          <w:sz w:val="28"/>
        </w:rPr>
        <w:t>
      По уровню социально-экономического развития к высокоразвитым приграничным регионам относятся Восточно-Казахстанская (российская зона приграничья) и Атырауская области, развитым – Южно-Казахстанская область, среднеразвитым – Актюбинская, Алматинская, Восточно-Казахстанская (китайская зона приграничья), Жамбылская, Западно-Казахстанская, Северо-Казахстанская, Костанайская, Павлодарская области, низкоразвитым – Кызылординская область.</w:t>
      </w:r>
    </w:p>
    <w:p>
      <w:pPr>
        <w:spacing w:after="0"/>
        <w:ind w:left="0"/>
        <w:jc w:val="both"/>
      </w:pPr>
      <w:r>
        <w:rPr>
          <w:rFonts w:ascii="Times New Roman"/>
          <w:b w:val="false"/>
          <w:i w:val="false"/>
          <w:color w:val="000000"/>
          <w:sz w:val="28"/>
        </w:rPr>
        <w:t>
      В связи с этим, наряду с решением общих проблем развития сельских территорий, необходимо приступить к новому этапу комплексного развития приграничных территорий, позволяющему обеспечить комплексность и гармоничность социально-экономического развития.</w:t>
      </w:r>
    </w:p>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реализации Программы</w:t>
      </w:r>
      <w:r>
        <w:br/>
      </w:r>
      <w:r>
        <w:rPr>
          <w:rFonts w:ascii="Times New Roman"/>
          <w:b/>
          <w:i w:val="false"/>
          <w:color w:val="000000"/>
        </w:rPr>
        <w:t>4.1. Цель Программы</w:t>
      </w:r>
    </w:p>
    <w:p>
      <w:pPr>
        <w:spacing w:after="0"/>
        <w:ind w:left="0"/>
        <w:jc w:val="both"/>
      </w:pPr>
      <w:r>
        <w:rPr>
          <w:rFonts w:ascii="Times New Roman"/>
          <w:b w:val="false"/>
          <w:i w:val="false"/>
          <w:color w:val="000000"/>
          <w:sz w:val="28"/>
        </w:rPr>
        <w:t>
      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w:t>
      </w:r>
    </w:p>
    <w:p>
      <w:pPr>
        <w:spacing w:after="0"/>
        <w:ind w:left="0"/>
        <w:jc w:val="left"/>
      </w:pPr>
      <w:r>
        <w:rPr>
          <w:rFonts w:ascii="Times New Roman"/>
          <w:b/>
          <w:i w:val="false"/>
          <w:color w:val="000000"/>
        </w:rPr>
        <w:t xml:space="preserve"> 4.2. Целевые индикаторы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1978"/>
        <w:gridCol w:w="1978"/>
        <w:gridCol w:w="1979"/>
        <w:gridCol w:w="1979"/>
        <w:gridCol w:w="1979"/>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населения агломераций, тыс. человек</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6 328,2</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1 083,2</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3 000,8</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1 621,5</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Инвестиции в основной капитал на душу населения (в рамках Программы), тыс. тенге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включая опорные СНП и приграничные территории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модернизированных сетей, в том числе тепло-, электро- и газоснабжения, %, в том числе: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Доступ к централизованному водоснабжению и водоотведению,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 в том числе:</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включая опорные СНП и приграничные территории</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4.3. Задачи</w:t>
      </w:r>
    </w:p>
    <w:p>
      <w:pPr>
        <w:spacing w:after="0"/>
        <w:ind w:left="0"/>
        <w:jc w:val="both"/>
      </w:pPr>
      <w:r>
        <w:rPr>
          <w:rFonts w:ascii="Times New Roman"/>
          <w:b w:val="false"/>
          <w:i w:val="false"/>
          <w:color w:val="000000"/>
          <w:sz w:val="28"/>
        </w:rPr>
        <w:t>
      Достижение цели Программы на предстоящий период до 2020 года будет осуществляться решением следующих задач:</w:t>
      </w:r>
    </w:p>
    <w:p>
      <w:pPr>
        <w:spacing w:after="0"/>
        <w:ind w:left="0"/>
        <w:jc w:val="both"/>
      </w:pPr>
      <w:r>
        <w:rPr>
          <w:rFonts w:ascii="Times New Roman"/>
          <w:b w:val="false"/>
          <w:i w:val="false"/>
          <w:color w:val="000000"/>
          <w:sz w:val="28"/>
        </w:rPr>
        <w:t>
      1) совершенствование территориального развития страны;</w:t>
      </w:r>
    </w:p>
    <w:p>
      <w:pPr>
        <w:spacing w:after="0"/>
        <w:ind w:left="0"/>
        <w:jc w:val="both"/>
      </w:pPr>
      <w:r>
        <w:rPr>
          <w:rFonts w:ascii="Times New Roman"/>
          <w:b w:val="false"/>
          <w:i w:val="false"/>
          <w:color w:val="000000"/>
          <w:sz w:val="28"/>
        </w:rPr>
        <w:t>
      2) обеспечение комфортных условий проживания населения, включая улучшение состояния окружающей среды, жилищного фонда, коммунальной и транспортной инфраструктуры;</w:t>
      </w:r>
    </w:p>
    <w:p>
      <w:pPr>
        <w:spacing w:after="0"/>
        <w:ind w:left="0"/>
        <w:jc w:val="both"/>
      </w:pPr>
      <w:r>
        <w:rPr>
          <w:rFonts w:ascii="Times New Roman"/>
          <w:b w:val="false"/>
          <w:i w:val="false"/>
          <w:color w:val="000000"/>
          <w:sz w:val="28"/>
        </w:rPr>
        <w:t>
      3) эффективное и рациональное обеспечение населения питьевой водой и услугами водоотведения;</w:t>
      </w:r>
    </w:p>
    <w:p>
      <w:pPr>
        <w:spacing w:after="0"/>
        <w:ind w:left="0"/>
        <w:jc w:val="both"/>
      </w:pPr>
      <w:r>
        <w:rPr>
          <w:rFonts w:ascii="Times New Roman"/>
          <w:b w:val="false"/>
          <w:i w:val="false"/>
          <w:color w:val="000000"/>
          <w:sz w:val="28"/>
        </w:rPr>
        <w:t>
      4) комплексное решение проблем развития жилищного строительства, обеспечивающее дальнейшее повышение доступности жилья для населения.</w:t>
      </w:r>
    </w:p>
    <w:p>
      <w:pPr>
        <w:spacing w:after="0"/>
        <w:ind w:left="0"/>
        <w:jc w:val="left"/>
      </w:pPr>
      <w:r>
        <w:rPr>
          <w:rFonts w:ascii="Times New Roman"/>
          <w:b/>
          <w:i w:val="false"/>
          <w:color w:val="000000"/>
        </w:rPr>
        <w:t xml:space="preserve"> 4.4. Показатели результатов реализации Программы</w:t>
      </w:r>
    </w:p>
    <w:p>
      <w:pPr>
        <w:spacing w:after="0"/>
        <w:ind w:left="0"/>
        <w:jc w:val="both"/>
      </w:pPr>
      <w:r>
        <w:rPr>
          <w:rFonts w:ascii="Times New Roman"/>
          <w:b w:val="false"/>
          <w:i w:val="false"/>
          <w:color w:val="000000"/>
          <w:sz w:val="28"/>
        </w:rPr>
        <w:t>
      В результате реализации Программы предусматривается увеличение финансовой поддержки региональному развитию и продвижению региональных инициатив по активизации потенциала роста.</w:t>
      </w:r>
    </w:p>
    <w:p>
      <w:pPr>
        <w:spacing w:after="0"/>
        <w:ind w:left="0"/>
        <w:jc w:val="left"/>
      </w:pPr>
      <w:r>
        <w:rPr>
          <w:rFonts w:ascii="Times New Roman"/>
          <w:b/>
          <w:i w:val="false"/>
          <w:color w:val="000000"/>
        </w:rPr>
        <w:t xml:space="preserve"> Города "первого уровня" (агломерации)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803"/>
        <w:gridCol w:w="1804"/>
        <w:gridCol w:w="1804"/>
        <w:gridCol w:w="1804"/>
        <w:gridCol w:w="1804"/>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Протяженность модернизированных сетей (км), в том числе: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 всего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 всего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 всего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 всего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 всего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Снижение аварийности на городских сетях водоснабжения и водоотведения, число аварий на 1 километр сетей (коэффициент), в том числе: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водоснабжение, всего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водоотведение, всего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нормативно очищенных сточных вод в городах при сбросах в водоемы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Ввод жилья в агломерации (включая их пригородную зону)* (тыс. кв. м.)</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ввода жилья в разрезе направлений жилищного строительства указаны в </w:t>
            </w:r>
            <w:r>
              <w:rPr>
                <w:rFonts w:ascii="Times New Roman"/>
                <w:b w:val="false"/>
                <w:i w:val="false"/>
                <w:color w:val="000000"/>
                <w:sz w:val="20"/>
              </w:rPr>
              <w:t>приложении 3</w:t>
            </w:r>
            <w:r>
              <w:rPr>
                <w:rFonts w:ascii="Times New Roman"/>
                <w:b w:val="false"/>
                <w:i w:val="false"/>
                <w:color w:val="000000"/>
                <w:sz w:val="20"/>
              </w:rPr>
              <w:t xml:space="preserve"> к настоящей Программе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Снижение доли объектов кондоминиума, требующих капитального ремонта (%), в том числе: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Совершенствование градостроительной документации, нормативно-технических документов, сметно-нормативной базы, технологических карт на новые технологии и типовых проектов для строительства объектов различных сфер экономики (единиц), в том числе: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межрегиональные схемы территориального развития Республики Казахстан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межрегиональные схемы территориального развития агломерации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генеральные планы городов-центров агломерации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генеральные планы малых городов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генеральные планы и схемы застройки СНП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разработка сметно-нормативных документов в сфере архитектуры, градостроительства и строительства*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разработка технологических карт по новым технологиям строительного производства*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разработка типовых проектов*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разработка и переработка нормативно-технических документов*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разработанной документации едины для городов "второго уровня", "третьего уровня", сельских и приграничных территорий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Рациональное обустройство и развитие территорий</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проектов (единиц)</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rPr>
          <w:rFonts w:ascii="Times New Roman"/>
          <w:b/>
          <w:i w:val="false"/>
          <w:color w:val="000000"/>
        </w:rPr>
        <w:t xml:space="preserve">  Города "второго уровня" (областные центры,</w:t>
      </w:r>
      <w:r>
        <w:br/>
      </w:r>
      <w:r>
        <w:rPr>
          <w:rFonts w:ascii="Times New Roman"/>
          <w:b/>
          <w:i w:val="false"/>
          <w:color w:val="000000"/>
        </w:rPr>
        <w:t>города Семей и Туркестан)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1845"/>
        <w:gridCol w:w="1846"/>
        <w:gridCol w:w="1846"/>
        <w:gridCol w:w="1846"/>
        <w:gridCol w:w="1846"/>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Протяженность модернизированных сетей (км), в том числе:</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Снижение аварийности на городских сетях водоснабжения и водоотведения, число аварий на 1 километр сетей (коэффициент), в том числе:</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водоснабжение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водоотведение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нормативно очищенных сточных вод в городах при сбросах в водоемы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Ввод жилья* (тыс. кв. м.), всего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ввода жилья в разрезе направлений жилищного строительства указаны в </w:t>
            </w:r>
            <w:r>
              <w:rPr>
                <w:rFonts w:ascii="Times New Roman"/>
                <w:b w:val="false"/>
                <w:i w:val="false"/>
                <w:color w:val="000000"/>
                <w:sz w:val="20"/>
              </w:rPr>
              <w:t>приложении 3</w:t>
            </w:r>
            <w:r>
              <w:rPr>
                <w:rFonts w:ascii="Times New Roman"/>
                <w:b w:val="false"/>
                <w:i w:val="false"/>
                <w:color w:val="000000"/>
                <w:sz w:val="20"/>
              </w:rPr>
              <w:t xml:space="preserve"> к настоящей Программе</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Снижение доли объектов кондоминиума, требующих капитального ремонта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Совершенствование градостроительной документации, нормативно-технических документов, сметно-нормативной базы, технологических карт на новые технологии и типовых проектов для строительства объектов различных сфер экономики (единиц), в том числе:</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комплексные схемы градостроительного планирования территорий областей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генеральные планы городов второго уровня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Рациональное обустройство и развитие территорий</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проектов (единиц)</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rPr>
          <w:rFonts w:ascii="Times New Roman"/>
          <w:b/>
          <w:i w:val="false"/>
          <w:color w:val="000000"/>
        </w:rPr>
        <w:t xml:space="preserve">  Города "третьего уровня" (малые и моногорода)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1945"/>
        <w:gridCol w:w="1945"/>
        <w:gridCol w:w="1638"/>
        <w:gridCol w:w="1638"/>
        <w:gridCol w:w="1639"/>
      </w:tblGrid>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Протяженность модернизированных сетей (км),в том числе:</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теплоснабжения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электроснабжения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газоснабжения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водоснабжения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водоотведения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Снижение аварийности на городских сетях водоснабжения и водоотведения, число аварий на 1 километр сетей (коэффициент), в том числе:</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водоснабжение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водоотведение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нормативно очищенных сточных вод в городах при сбросах в водоемы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Ввод жилья* (тыс. кв. м.), всего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ввода жилья в разрезе направлений жилищного строительства указаны в </w:t>
            </w:r>
            <w:r>
              <w:rPr>
                <w:rFonts w:ascii="Times New Roman"/>
                <w:b w:val="false"/>
                <w:i w:val="false"/>
                <w:color w:val="000000"/>
                <w:sz w:val="20"/>
              </w:rPr>
              <w:t>приложении 3</w:t>
            </w:r>
            <w:r>
              <w:rPr>
                <w:rFonts w:ascii="Times New Roman"/>
                <w:b w:val="false"/>
                <w:i w:val="false"/>
                <w:color w:val="000000"/>
                <w:sz w:val="20"/>
              </w:rPr>
              <w:t xml:space="preserve"> к настоящей Программе</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Снижение доли объектов кондоминиума, требующих капитального ремонта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Совершенствование градостроительной документации, нормативно-технических документов, сметно-нормативной базы, технологических карт на новые технологии и типовых проектов для строительства объектов различных сфер экономики (единиц):</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малые города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моногорода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Рациональное обустройство и развитие территорий</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проектов, единиц</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rPr>
          <w:rFonts w:ascii="Times New Roman"/>
          <w:b/>
          <w:i w:val="false"/>
          <w:color w:val="000000"/>
        </w:rPr>
        <w:t xml:space="preserve">  Сельские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909"/>
        <w:gridCol w:w="1909"/>
        <w:gridCol w:w="1909"/>
        <w:gridCol w:w="1909"/>
        <w:gridCol w:w="1909"/>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Численность населения в опорных СНП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Протяженность модернизированных сетей (км), в том числе:</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Ввод жилья* (тыс. кв. м.), всего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ввода жилья в разрезе направлений жилищного строительства указаны в </w:t>
            </w:r>
            <w:r>
              <w:rPr>
                <w:rFonts w:ascii="Times New Roman"/>
                <w:b w:val="false"/>
                <w:i w:val="false"/>
                <w:color w:val="000000"/>
                <w:sz w:val="20"/>
              </w:rPr>
              <w:t>приложении 3</w:t>
            </w:r>
            <w:r>
              <w:rPr>
                <w:rFonts w:ascii="Times New Roman"/>
                <w:b w:val="false"/>
                <w:i w:val="false"/>
                <w:color w:val="000000"/>
                <w:sz w:val="20"/>
              </w:rPr>
              <w:t xml:space="preserve"> к настоящей Программе</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Снижение доли объектов кондоминиума, требующих капитального ремонта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Рациональное обустройство и развитие территорий</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проектов ( единиц)</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Приграничные территории</w:t>
      </w:r>
    </w:p>
    <w:p>
      <w:pPr>
        <w:spacing w:after="0"/>
        <w:ind w:left="0"/>
        <w:jc w:val="both"/>
      </w:pPr>
      <w:r>
        <w:rPr>
          <w:rFonts w:ascii="Times New Roman"/>
          <w:b w:val="false"/>
          <w:i w:val="false"/>
          <w:color w:val="000000"/>
          <w:sz w:val="28"/>
        </w:rPr>
        <w:t>
      К 2020 году рост численности населения в опорных СНП, расположенных на приграничных территориях, увеличится на 5 % (факт 2013 года – 175.2 тыс. чел.).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 МНЭ, МФ, МИР, МСХ, МИО областей, городов Алматы и Астаны.</w:t>
      </w:r>
    </w:p>
    <w:p>
      <w:pPr>
        <w:spacing w:after="0"/>
        <w:ind w:left="0"/>
        <w:jc w:val="left"/>
      </w:pPr>
      <w:r>
        <w:rPr>
          <w:rFonts w:ascii="Times New Roman"/>
          <w:b/>
          <w:i w:val="false"/>
          <w:color w:val="000000"/>
        </w:rPr>
        <w:t xml:space="preserve"> 5. Этапы реализации Программы</w:t>
      </w:r>
    </w:p>
    <w:p>
      <w:pPr>
        <w:spacing w:after="0"/>
        <w:ind w:left="0"/>
        <w:jc w:val="both"/>
      </w:pPr>
      <w:r>
        <w:rPr>
          <w:rFonts w:ascii="Times New Roman"/>
          <w:b w:val="false"/>
          <w:i w:val="false"/>
          <w:color w:val="000000"/>
          <w:sz w:val="28"/>
        </w:rPr>
        <w:t>
      Программа будет реализовываться в 2015 – 2019 годах без разбивки на этапы. В рамках Программы предусматривается решение задач по:</w:t>
      </w:r>
    </w:p>
    <w:p>
      <w:pPr>
        <w:spacing w:after="0"/>
        <w:ind w:left="0"/>
        <w:jc w:val="both"/>
      </w:pPr>
      <w:r>
        <w:rPr>
          <w:rFonts w:ascii="Times New Roman"/>
          <w:b w:val="false"/>
          <w:i w:val="false"/>
          <w:color w:val="000000"/>
          <w:sz w:val="28"/>
        </w:rPr>
        <w:t>
      1) совершенствованию территориального развития страны;</w:t>
      </w:r>
    </w:p>
    <w:p>
      <w:pPr>
        <w:spacing w:after="0"/>
        <w:ind w:left="0"/>
        <w:jc w:val="both"/>
      </w:pPr>
      <w:r>
        <w:rPr>
          <w:rFonts w:ascii="Times New Roman"/>
          <w:b w:val="false"/>
          <w:i w:val="false"/>
          <w:color w:val="000000"/>
          <w:sz w:val="28"/>
        </w:rPr>
        <w:t>
      2) обеспечению комфортных условий проживания населения, включая улучшение состояния окружающей среды, жилищного фонда, коммунальной и транспортной инфраструктуры;</w:t>
      </w:r>
    </w:p>
    <w:p>
      <w:pPr>
        <w:spacing w:after="0"/>
        <w:ind w:left="0"/>
        <w:jc w:val="both"/>
      </w:pPr>
      <w:r>
        <w:rPr>
          <w:rFonts w:ascii="Times New Roman"/>
          <w:b w:val="false"/>
          <w:i w:val="false"/>
          <w:color w:val="000000"/>
          <w:sz w:val="28"/>
        </w:rPr>
        <w:t>
      3) эффективному и рациональному обеспечению населения питьевой водой и услугами водоотведения;</w:t>
      </w:r>
    </w:p>
    <w:p>
      <w:pPr>
        <w:spacing w:after="0"/>
        <w:ind w:left="0"/>
        <w:jc w:val="both"/>
      </w:pPr>
      <w:r>
        <w:rPr>
          <w:rFonts w:ascii="Times New Roman"/>
          <w:b w:val="false"/>
          <w:i w:val="false"/>
          <w:color w:val="000000"/>
          <w:sz w:val="28"/>
        </w:rPr>
        <w:t>
      4) комплексному решению проблем развития жилищного строительства, обеспечивающему дальнейшее повышение доступности жилья для населения.</w:t>
      </w:r>
    </w:p>
    <w:p>
      <w:pPr>
        <w:spacing w:after="0"/>
        <w:ind w:left="0"/>
        <w:jc w:val="both"/>
      </w:pPr>
      <w:r>
        <w:rPr>
          <w:rFonts w:ascii="Times New Roman"/>
          <w:b w:val="false"/>
          <w:i w:val="false"/>
          <w:color w:val="000000"/>
          <w:sz w:val="28"/>
        </w:rPr>
        <w:t>
      Данные задачи, направленные на создание условий, обеспечивающих развитие социально-экономического потенциала регионов, будут осуществляться на основе интенсивного развития высокоурбанизированных зон, обеспечения благоприятной среды для жизни населения, разработки нормативно-технических документов, сметно-нормативной базы, технологических карт на новые технологии и разработки типовых проектов для строительства объектов различных сфер экономики, территориальной концентрации людей и капитала в перспективных районах и центрах экономического роста:</w:t>
      </w:r>
    </w:p>
    <w:p>
      <w:pPr>
        <w:spacing w:after="0"/>
        <w:ind w:left="0"/>
        <w:jc w:val="both"/>
      </w:pPr>
      <w:r>
        <w:rPr>
          <w:rFonts w:ascii="Times New Roman"/>
          <w:b w:val="false"/>
          <w:i w:val="false"/>
          <w:color w:val="000000"/>
          <w:sz w:val="28"/>
        </w:rPr>
        <w:t>
      1) городов "первого уровня" (агломераций с центрами в городах Астане, Алматы, Шымкенте и Актобе);</w:t>
      </w:r>
    </w:p>
    <w:p>
      <w:pPr>
        <w:spacing w:after="0"/>
        <w:ind w:left="0"/>
        <w:jc w:val="both"/>
      </w:pPr>
      <w:r>
        <w:rPr>
          <w:rFonts w:ascii="Times New Roman"/>
          <w:b w:val="false"/>
          <w:i w:val="false"/>
          <w:color w:val="000000"/>
          <w:sz w:val="28"/>
        </w:rPr>
        <w:t>
      2) городов "второго уровня" (областных центров, городов Семей и Туркестан);</w:t>
      </w:r>
    </w:p>
    <w:p>
      <w:pPr>
        <w:spacing w:after="0"/>
        <w:ind w:left="0"/>
        <w:jc w:val="both"/>
      </w:pPr>
      <w:r>
        <w:rPr>
          <w:rFonts w:ascii="Times New Roman"/>
          <w:b w:val="false"/>
          <w:i w:val="false"/>
          <w:color w:val="000000"/>
          <w:sz w:val="28"/>
        </w:rPr>
        <w:t>
      3) городов "третьего уровня" (малых и моногородов);</w:t>
      </w:r>
    </w:p>
    <w:p>
      <w:pPr>
        <w:spacing w:after="0"/>
        <w:ind w:left="0"/>
        <w:jc w:val="both"/>
      </w:pPr>
      <w:r>
        <w:rPr>
          <w:rFonts w:ascii="Times New Roman"/>
          <w:b w:val="false"/>
          <w:i w:val="false"/>
          <w:color w:val="000000"/>
          <w:sz w:val="28"/>
        </w:rPr>
        <w:t>
      4) сельских территорий, включая опорные сельские населенные пункты;</w:t>
      </w:r>
    </w:p>
    <w:p>
      <w:pPr>
        <w:spacing w:after="0"/>
        <w:ind w:left="0"/>
        <w:jc w:val="both"/>
      </w:pPr>
      <w:r>
        <w:rPr>
          <w:rFonts w:ascii="Times New Roman"/>
          <w:b w:val="false"/>
          <w:i w:val="false"/>
          <w:color w:val="000000"/>
          <w:sz w:val="28"/>
        </w:rPr>
        <w:t>
      5) приграничных территорий.</w:t>
      </w:r>
    </w:p>
    <w:p>
      <w:pPr>
        <w:spacing w:after="0"/>
        <w:ind w:left="0"/>
        <w:jc w:val="both"/>
      </w:pPr>
      <w:r>
        <w:rPr>
          <w:rFonts w:ascii="Times New Roman"/>
          <w:b w:val="false"/>
          <w:i w:val="false"/>
          <w:color w:val="000000"/>
          <w:sz w:val="28"/>
        </w:rPr>
        <w:t>
      Для реализации проектов, направленных на решение задач, предусмотренных Программой, будут использованы механизмы возвратного финансирования проектов, в том числе через акционерное общество "Фонд развития жилищно-коммунального хозяйства" в соответствии с действующим законодательством.</w:t>
      </w:r>
    </w:p>
    <w:p>
      <w:pPr>
        <w:spacing w:after="0"/>
        <w:ind w:left="0"/>
        <w:jc w:val="both"/>
      </w:pPr>
      <w:r>
        <w:rPr>
          <w:rFonts w:ascii="Times New Roman"/>
          <w:b w:val="false"/>
          <w:i w:val="false"/>
          <w:color w:val="000000"/>
          <w:sz w:val="28"/>
        </w:rPr>
        <w:t>
      1. Развитие городов "первого уровня" (агломераций с центрами в</w:t>
      </w:r>
    </w:p>
    <w:p>
      <w:pPr>
        <w:spacing w:after="0"/>
        <w:ind w:left="0"/>
        <w:jc w:val="both"/>
      </w:pPr>
      <w:r>
        <w:rPr>
          <w:rFonts w:ascii="Times New Roman"/>
          <w:b w:val="false"/>
          <w:i w:val="false"/>
          <w:color w:val="000000"/>
          <w:sz w:val="28"/>
        </w:rPr>
        <w:t>
      городах Астане, Алматы, Шымкенте и Актобе)</w:t>
      </w:r>
    </w:p>
    <w:p>
      <w:pPr>
        <w:spacing w:after="0"/>
        <w:ind w:left="0"/>
        <w:jc w:val="both"/>
      </w:pPr>
      <w:r>
        <w:rPr>
          <w:rFonts w:ascii="Times New Roman"/>
          <w:b w:val="false"/>
          <w:i w:val="false"/>
          <w:color w:val="000000"/>
          <w:sz w:val="28"/>
        </w:rPr>
        <w:t>
      Реализация задачи по развитию городских агломераций будет осуществляться по следующим направлениям:</w:t>
      </w:r>
    </w:p>
    <w:p>
      <w:pPr>
        <w:spacing w:after="0"/>
        <w:ind w:left="0"/>
        <w:jc w:val="both"/>
      </w:pPr>
      <w:r>
        <w:rPr>
          <w:rFonts w:ascii="Times New Roman"/>
          <w:b w:val="false"/>
          <w:i w:val="false"/>
          <w:color w:val="000000"/>
          <w:sz w:val="28"/>
        </w:rPr>
        <w:t>
      1) экономическое позиционирование городских агломераций на республиканском и региональном рынках;</w:t>
      </w:r>
    </w:p>
    <w:p>
      <w:pPr>
        <w:spacing w:after="0"/>
        <w:ind w:left="0"/>
        <w:jc w:val="both"/>
      </w:pPr>
      <w:r>
        <w:rPr>
          <w:rFonts w:ascii="Times New Roman"/>
          <w:b w:val="false"/>
          <w:i w:val="false"/>
          <w:color w:val="000000"/>
          <w:sz w:val="28"/>
        </w:rPr>
        <w:t>
      2) скоординированное развитие инфраструктуры городских агломераций с применением инновационных технологий;</w:t>
      </w:r>
    </w:p>
    <w:p>
      <w:pPr>
        <w:spacing w:after="0"/>
        <w:ind w:left="0"/>
        <w:jc w:val="both"/>
      </w:pPr>
      <w:r>
        <w:rPr>
          <w:rFonts w:ascii="Times New Roman"/>
          <w:b w:val="false"/>
          <w:i w:val="false"/>
          <w:color w:val="000000"/>
          <w:sz w:val="28"/>
        </w:rPr>
        <w:t>
      3) совершенствование территориальной, градостроительной и институциональной политики развития городских агломераций.</w:t>
      </w:r>
    </w:p>
    <w:p>
      <w:pPr>
        <w:spacing w:after="0"/>
        <w:ind w:left="0"/>
        <w:jc w:val="both"/>
      </w:pPr>
      <w:r>
        <w:rPr>
          <w:rFonts w:ascii="Times New Roman"/>
          <w:b w:val="false"/>
          <w:i w:val="false"/>
          <w:color w:val="000000"/>
          <w:sz w:val="28"/>
        </w:rPr>
        <w:t>
      1. Экономическое позиционирование городских агломераций на республиканском и региональном рынках.</w:t>
      </w:r>
    </w:p>
    <w:p>
      <w:pPr>
        <w:spacing w:after="0"/>
        <w:ind w:left="0"/>
        <w:jc w:val="both"/>
      </w:pPr>
      <w:r>
        <w:rPr>
          <w:rFonts w:ascii="Times New Roman"/>
          <w:b w:val="false"/>
          <w:i w:val="false"/>
          <w:color w:val="000000"/>
          <w:sz w:val="28"/>
        </w:rPr>
        <w:t>
      В рамках данного направления будет осуществляться целенаправленная политика улучшения предпринимательского климата и обновления имиджа городов Астаны, Алматы, Шымкента и Актобе в целях обеспечения их привлекательности для мирового бизнеса.</w:t>
      </w:r>
    </w:p>
    <w:p>
      <w:pPr>
        <w:spacing w:after="0"/>
        <w:ind w:left="0"/>
        <w:jc w:val="both"/>
      </w:pPr>
      <w:r>
        <w:rPr>
          <w:rFonts w:ascii="Times New Roman"/>
          <w:b w:val="false"/>
          <w:i w:val="false"/>
          <w:color w:val="000000"/>
          <w:sz w:val="28"/>
        </w:rPr>
        <w:t>
      Для создания высокоорганизованной урбанистической среды жизни этих агломераций и становления их в новой роли будут предусмотрены:</w:t>
      </w:r>
    </w:p>
    <w:p>
      <w:pPr>
        <w:spacing w:after="0"/>
        <w:ind w:left="0"/>
        <w:jc w:val="both"/>
      </w:pPr>
      <w:r>
        <w:rPr>
          <w:rFonts w:ascii="Times New Roman"/>
          <w:b w:val="false"/>
          <w:i w:val="false"/>
          <w:color w:val="000000"/>
          <w:sz w:val="28"/>
        </w:rPr>
        <w:t>
      1) формирование в агломерациях и на тяготеющих к ним территориях полифункциональных зон:</w:t>
      </w:r>
    </w:p>
    <w:p>
      <w:pPr>
        <w:spacing w:after="0"/>
        <w:ind w:left="0"/>
        <w:jc w:val="both"/>
      </w:pPr>
      <w:r>
        <w:rPr>
          <w:rFonts w:ascii="Times New Roman"/>
          <w:b w:val="false"/>
          <w:i w:val="false"/>
          <w:color w:val="000000"/>
          <w:sz w:val="28"/>
        </w:rPr>
        <w:t>
      общенациональной и, в перспективе, центрально-азиатской дистрибуции (торговля и услуги);</w:t>
      </w:r>
    </w:p>
    <w:p>
      <w:pPr>
        <w:spacing w:after="0"/>
        <w:ind w:left="0"/>
        <w:jc w:val="both"/>
      </w:pPr>
      <w:r>
        <w:rPr>
          <w:rFonts w:ascii="Times New Roman"/>
          <w:b w:val="false"/>
          <w:i w:val="false"/>
          <w:color w:val="000000"/>
          <w:sz w:val="28"/>
        </w:rPr>
        <w:t>
      транспортно-логистических и процессинговых услуг с формированием в перспективе крупнейших в регионе торгово-логистических центров (на примере Сингапура, Гонконга), центров авиатранзита ("хабов");</w:t>
      </w:r>
    </w:p>
    <w:p>
      <w:pPr>
        <w:spacing w:after="0"/>
        <w:ind w:left="0"/>
        <w:jc w:val="both"/>
      </w:pPr>
      <w:r>
        <w:rPr>
          <w:rFonts w:ascii="Times New Roman"/>
          <w:b w:val="false"/>
          <w:i w:val="false"/>
          <w:color w:val="000000"/>
          <w:sz w:val="28"/>
        </w:rPr>
        <w:t>
      технологического трансферта: импорт массовых стандартных технологий, разворачивание процессинговых центров ведущих иностранных компаний (филиалы, совместные предприятия), ориентированных на внутренний и внешний рынки;</w:t>
      </w:r>
    </w:p>
    <w:p>
      <w:pPr>
        <w:spacing w:after="0"/>
        <w:ind w:left="0"/>
        <w:jc w:val="both"/>
      </w:pPr>
      <w:r>
        <w:rPr>
          <w:rFonts w:ascii="Times New Roman"/>
          <w:b w:val="false"/>
          <w:i w:val="false"/>
          <w:color w:val="000000"/>
          <w:sz w:val="28"/>
        </w:rPr>
        <w:t>
      инновационного развития (на примере "Парк инновационных технологий" в городе Алматы), то есть формирование специальных экономических зон, индустриальных парков, зон инновационного роста, промышленных площадок, центров коммерциализации технологий в рамках определенных экономических специализаций городских агломераций;</w:t>
      </w:r>
    </w:p>
    <w:p>
      <w:pPr>
        <w:spacing w:after="0"/>
        <w:ind w:left="0"/>
        <w:jc w:val="both"/>
      </w:pPr>
      <w:r>
        <w:rPr>
          <w:rFonts w:ascii="Times New Roman"/>
          <w:b w:val="false"/>
          <w:i w:val="false"/>
          <w:color w:val="000000"/>
          <w:sz w:val="28"/>
        </w:rPr>
        <w:t>
      центра туристских, рекреационных и спортивных услуг, развлекательного и досугового обслуживания;</w:t>
      </w:r>
    </w:p>
    <w:p>
      <w:pPr>
        <w:spacing w:after="0"/>
        <w:ind w:left="0"/>
        <w:jc w:val="both"/>
      </w:pPr>
      <w:r>
        <w:rPr>
          <w:rFonts w:ascii="Times New Roman"/>
          <w:b w:val="false"/>
          <w:i w:val="false"/>
          <w:color w:val="000000"/>
          <w:sz w:val="28"/>
        </w:rPr>
        <w:t>
      продовольственной специализации (продовольственный пояс);</w:t>
      </w:r>
    </w:p>
    <w:p>
      <w:pPr>
        <w:spacing w:after="0"/>
        <w:ind w:left="0"/>
        <w:jc w:val="both"/>
      </w:pPr>
      <w:r>
        <w:rPr>
          <w:rFonts w:ascii="Times New Roman"/>
          <w:b w:val="false"/>
          <w:i w:val="false"/>
          <w:color w:val="000000"/>
          <w:sz w:val="28"/>
        </w:rPr>
        <w:t>
      международного финансового центра;</w:t>
      </w:r>
    </w:p>
    <w:p>
      <w:pPr>
        <w:spacing w:after="0"/>
        <w:ind w:left="0"/>
        <w:jc w:val="both"/>
      </w:pPr>
      <w:r>
        <w:rPr>
          <w:rFonts w:ascii="Times New Roman"/>
          <w:b w:val="false"/>
          <w:i w:val="false"/>
          <w:color w:val="000000"/>
          <w:sz w:val="28"/>
        </w:rPr>
        <w:t>
      2) реализация крупных государственных проектов, в том числе через механизм ГЧП, в рамках определенных экономических специализаций городских агломераций (на примере таких проектов, как строительство "Назарбаев Университет", Международного центра приграничного сотрудничества "Хоргос", городов-спутников G4 City, автомобильной дороги "Западная Европа – Западный Китай" и других);</w:t>
      </w:r>
    </w:p>
    <w:p>
      <w:pPr>
        <w:spacing w:after="0"/>
        <w:ind w:left="0"/>
        <w:jc w:val="both"/>
      </w:pPr>
      <w:r>
        <w:rPr>
          <w:rFonts w:ascii="Times New Roman"/>
          <w:b w:val="false"/>
          <w:i w:val="false"/>
          <w:color w:val="000000"/>
          <w:sz w:val="28"/>
        </w:rPr>
        <w:t>
      3) стимулирование дислокации в центрах городских агломераций представительств и офисов международных организаций, филиалов крупнейших транснациональных компаний;</w:t>
      </w:r>
    </w:p>
    <w:p>
      <w:pPr>
        <w:spacing w:after="0"/>
        <w:ind w:left="0"/>
        <w:jc w:val="both"/>
      </w:pPr>
      <w:r>
        <w:rPr>
          <w:rFonts w:ascii="Times New Roman"/>
          <w:b w:val="false"/>
          <w:i w:val="false"/>
          <w:color w:val="000000"/>
          <w:sz w:val="28"/>
        </w:rPr>
        <w:t xml:space="preserve">
      4) применение инструментов, предусмотренных в государственных и отраслевых программах (таких как </w:t>
      </w:r>
      <w:r>
        <w:rPr>
          <w:rFonts w:ascii="Times New Roman"/>
          <w:b w:val="false"/>
          <w:i w:val="false"/>
          <w:color w:val="000000"/>
          <w:sz w:val="28"/>
        </w:rPr>
        <w:t>"Дорожная карта бизнеса 2020"</w:t>
      </w:r>
      <w:r>
        <w:rPr>
          <w:rFonts w:ascii="Times New Roman"/>
          <w:b w:val="false"/>
          <w:i w:val="false"/>
          <w:color w:val="000000"/>
          <w:sz w:val="28"/>
        </w:rPr>
        <w:t xml:space="preserve">, </w:t>
      </w:r>
      <w:r>
        <w:rPr>
          <w:rFonts w:ascii="Times New Roman"/>
          <w:b w:val="false"/>
          <w:i w:val="false"/>
          <w:color w:val="000000"/>
          <w:sz w:val="28"/>
        </w:rPr>
        <w:t>"Дорожная карта занятости 2020"</w:t>
      </w:r>
      <w:r>
        <w:rPr>
          <w:rFonts w:ascii="Times New Roman"/>
          <w:b w:val="false"/>
          <w:i w:val="false"/>
          <w:color w:val="000000"/>
          <w:sz w:val="28"/>
        </w:rPr>
        <w:t>, развития туризма, транспорта и коммуникаций и других).</w:t>
      </w:r>
    </w:p>
    <w:p>
      <w:pPr>
        <w:spacing w:after="0"/>
        <w:ind w:left="0"/>
        <w:jc w:val="both"/>
      </w:pPr>
      <w:r>
        <w:rPr>
          <w:rFonts w:ascii="Times New Roman"/>
          <w:b w:val="false"/>
          <w:i w:val="false"/>
          <w:color w:val="000000"/>
          <w:sz w:val="28"/>
        </w:rPr>
        <w:t>
      Реализация намечаемых мероприятий предусматривает охват административных территорий, входящих в зону агломераций, что, с одной стороны, станет импульсом для их развития, а с другой стороны вызовет необходимость координации управления (надрегиональное регулирование), проведения совместных мероприятий смежных регионов (кооперативные проекты).</w:t>
      </w:r>
    </w:p>
    <w:p>
      <w:pPr>
        <w:spacing w:after="0"/>
        <w:ind w:left="0"/>
        <w:jc w:val="both"/>
      </w:pPr>
      <w:r>
        <w:rPr>
          <w:rFonts w:ascii="Times New Roman"/>
          <w:b w:val="false"/>
          <w:i w:val="false"/>
          <w:color w:val="000000"/>
          <w:sz w:val="28"/>
        </w:rPr>
        <w:t>
      2. Скоординированное развитие инфраструктуры городских агломераций с применением инновационных технологий.</w:t>
      </w:r>
    </w:p>
    <w:p>
      <w:pPr>
        <w:spacing w:after="0"/>
        <w:ind w:left="0"/>
        <w:jc w:val="both"/>
      </w:pPr>
      <w:r>
        <w:rPr>
          <w:rFonts w:ascii="Times New Roman"/>
          <w:b w:val="false"/>
          <w:i w:val="false"/>
          <w:color w:val="000000"/>
          <w:sz w:val="28"/>
        </w:rPr>
        <w:t>
      В рамках данного направления будут приняты меры по инфраструктурному обеспечению агломераций, как одному из основных механизмов их развития.</w:t>
      </w:r>
    </w:p>
    <w:p>
      <w:pPr>
        <w:spacing w:after="0"/>
        <w:ind w:left="0"/>
        <w:jc w:val="both"/>
      </w:pPr>
      <w:r>
        <w:rPr>
          <w:rFonts w:ascii="Times New Roman"/>
          <w:b w:val="false"/>
          <w:i w:val="false"/>
          <w:color w:val="000000"/>
          <w:sz w:val="28"/>
        </w:rPr>
        <w:t>
      Скоординированное (через долгосрочное планирование) развитие инфраструктуры городских агломераций будет предусматривать:</w:t>
      </w:r>
    </w:p>
    <w:p>
      <w:pPr>
        <w:spacing w:after="0"/>
        <w:ind w:left="0"/>
        <w:jc w:val="both"/>
      </w:pPr>
      <w:r>
        <w:rPr>
          <w:rFonts w:ascii="Times New Roman"/>
          <w:b w:val="false"/>
          <w:i w:val="false"/>
          <w:color w:val="000000"/>
          <w:sz w:val="28"/>
        </w:rPr>
        <w:t>
      1) интегрированную транспортную систему путем:</w:t>
      </w:r>
    </w:p>
    <w:p>
      <w:pPr>
        <w:spacing w:after="0"/>
        <w:ind w:left="0"/>
        <w:jc w:val="both"/>
      </w:pPr>
      <w:r>
        <w:rPr>
          <w:rFonts w:ascii="Times New Roman"/>
          <w:b w:val="false"/>
          <w:i w:val="false"/>
          <w:color w:val="000000"/>
          <w:sz w:val="28"/>
        </w:rPr>
        <w:t>
      внедрения новых экспрессных видов транспорта (скоростнорельсовый транспорт);</w:t>
      </w:r>
    </w:p>
    <w:p>
      <w:pPr>
        <w:spacing w:after="0"/>
        <w:ind w:left="0"/>
        <w:jc w:val="both"/>
      </w:pPr>
      <w:r>
        <w:rPr>
          <w:rFonts w:ascii="Times New Roman"/>
          <w:b w:val="false"/>
          <w:i w:val="false"/>
          <w:color w:val="000000"/>
          <w:sz w:val="28"/>
        </w:rPr>
        <w:t>
      реконструкции систем пригородного и внутригородского сообщения в пределах агломераций, с приоритетным развитием общественного транспорта;</w:t>
      </w:r>
    </w:p>
    <w:p>
      <w:pPr>
        <w:spacing w:after="0"/>
        <w:ind w:left="0"/>
        <w:jc w:val="both"/>
      </w:pPr>
      <w:r>
        <w:rPr>
          <w:rFonts w:ascii="Times New Roman"/>
          <w:b w:val="false"/>
          <w:i w:val="false"/>
          <w:color w:val="000000"/>
          <w:sz w:val="28"/>
        </w:rPr>
        <w:t>
      2) развитие производственной, энергетической, инженерно-коммунальной, водохозяйственной и социальной инфраструктур с применением передовых инновационных и технологических решений (с учетом мировых тенденций);</w:t>
      </w:r>
    </w:p>
    <w:p>
      <w:pPr>
        <w:spacing w:after="0"/>
        <w:ind w:left="0"/>
        <w:jc w:val="both"/>
      </w:pPr>
      <w:r>
        <w:rPr>
          <w:rFonts w:ascii="Times New Roman"/>
          <w:b w:val="false"/>
          <w:i w:val="false"/>
          <w:color w:val="000000"/>
          <w:sz w:val="28"/>
        </w:rPr>
        <w:t>
      3) инфокоммуникации путем:</w:t>
      </w:r>
    </w:p>
    <w:p>
      <w:pPr>
        <w:spacing w:after="0"/>
        <w:ind w:left="0"/>
        <w:jc w:val="both"/>
      </w:pPr>
      <w:r>
        <w:rPr>
          <w:rFonts w:ascii="Times New Roman"/>
          <w:b w:val="false"/>
          <w:i w:val="false"/>
          <w:color w:val="000000"/>
          <w:sz w:val="28"/>
        </w:rPr>
        <w:t>
      обеспечения высокой степени проникновения широкополосного доступа (цифровое равенство);</w:t>
      </w:r>
    </w:p>
    <w:p>
      <w:pPr>
        <w:spacing w:after="0"/>
        <w:ind w:left="0"/>
        <w:jc w:val="both"/>
      </w:pPr>
      <w:r>
        <w:rPr>
          <w:rFonts w:ascii="Times New Roman"/>
          <w:b w:val="false"/>
          <w:i w:val="false"/>
          <w:color w:val="000000"/>
          <w:sz w:val="28"/>
        </w:rPr>
        <w:t>
      обеспечения возможности быстрого развертывания и перемещения сети (беспроводные технологии);</w:t>
      </w:r>
    </w:p>
    <w:p>
      <w:pPr>
        <w:spacing w:after="0"/>
        <w:ind w:left="0"/>
        <w:jc w:val="both"/>
      </w:pPr>
      <w:r>
        <w:rPr>
          <w:rFonts w:ascii="Times New Roman"/>
          <w:b w:val="false"/>
          <w:i w:val="false"/>
          <w:color w:val="000000"/>
          <w:sz w:val="28"/>
        </w:rPr>
        <w:t>
      4) построение "зеленой экономики" путем:</w:t>
      </w:r>
    </w:p>
    <w:p>
      <w:pPr>
        <w:spacing w:after="0"/>
        <w:ind w:left="0"/>
        <w:jc w:val="both"/>
      </w:pPr>
      <w:r>
        <w:rPr>
          <w:rFonts w:ascii="Times New Roman"/>
          <w:b w:val="false"/>
          <w:i w:val="false"/>
          <w:color w:val="000000"/>
          <w:sz w:val="28"/>
        </w:rPr>
        <w:t>
      обеспечения энерго- и ресурсосбережения;</w:t>
      </w:r>
    </w:p>
    <w:p>
      <w:pPr>
        <w:spacing w:after="0"/>
        <w:ind w:left="0"/>
        <w:jc w:val="both"/>
      </w:pPr>
      <w:r>
        <w:rPr>
          <w:rFonts w:ascii="Times New Roman"/>
          <w:b w:val="false"/>
          <w:i w:val="false"/>
          <w:color w:val="000000"/>
          <w:sz w:val="28"/>
        </w:rPr>
        <w:t>
      развития "зеленых поясов" и парковых зон;</w:t>
      </w:r>
    </w:p>
    <w:p>
      <w:pPr>
        <w:spacing w:after="0"/>
        <w:ind w:left="0"/>
        <w:jc w:val="both"/>
      </w:pPr>
      <w:r>
        <w:rPr>
          <w:rFonts w:ascii="Times New Roman"/>
          <w:b w:val="false"/>
          <w:i w:val="false"/>
          <w:color w:val="000000"/>
          <w:sz w:val="28"/>
        </w:rPr>
        <w:t>
      использования экологически чистого транспорта;</w:t>
      </w:r>
    </w:p>
    <w:p>
      <w:pPr>
        <w:spacing w:after="0"/>
        <w:ind w:left="0"/>
        <w:jc w:val="both"/>
      </w:pPr>
      <w:r>
        <w:rPr>
          <w:rFonts w:ascii="Times New Roman"/>
          <w:b w:val="false"/>
          <w:i w:val="false"/>
          <w:color w:val="000000"/>
          <w:sz w:val="28"/>
        </w:rPr>
        <w:t>
      выноса производств за пределы городов;</w:t>
      </w:r>
    </w:p>
    <w:p>
      <w:pPr>
        <w:spacing w:after="0"/>
        <w:ind w:left="0"/>
        <w:jc w:val="both"/>
      </w:pPr>
      <w:r>
        <w:rPr>
          <w:rFonts w:ascii="Times New Roman"/>
          <w:b w:val="false"/>
          <w:i w:val="false"/>
          <w:color w:val="000000"/>
          <w:sz w:val="28"/>
        </w:rPr>
        <w:t>
      5) развитие инфраструктуры противодействия паводкам, селям, оползням, лавинам, землетрясениям, а также противопожарной защиты агломераций.</w:t>
      </w:r>
    </w:p>
    <w:p>
      <w:pPr>
        <w:spacing w:after="0"/>
        <w:ind w:left="0"/>
        <w:jc w:val="both"/>
      </w:pPr>
      <w:r>
        <w:rPr>
          <w:rFonts w:ascii="Times New Roman"/>
          <w:b w:val="false"/>
          <w:i w:val="false"/>
          <w:color w:val="000000"/>
          <w:sz w:val="28"/>
        </w:rPr>
        <w:t>
      3. Совершенствование территориальной, градостроительной и институциональной политики развития городских агломераций.</w:t>
      </w:r>
    </w:p>
    <w:p>
      <w:pPr>
        <w:spacing w:after="0"/>
        <w:ind w:left="0"/>
        <w:jc w:val="both"/>
      </w:pPr>
      <w:r>
        <w:rPr>
          <w:rFonts w:ascii="Times New Roman"/>
          <w:b w:val="false"/>
          <w:i w:val="false"/>
          <w:color w:val="000000"/>
          <w:sz w:val="28"/>
        </w:rPr>
        <w:t xml:space="preserve">
      Для гармоничного развития агломераций будут приняты меры по совершенствованию инструментов административно-территориального управления агломерационным развитием. </w:t>
      </w:r>
    </w:p>
    <w:p>
      <w:pPr>
        <w:spacing w:after="0"/>
        <w:ind w:left="0"/>
        <w:jc w:val="both"/>
      </w:pPr>
      <w:r>
        <w:rPr>
          <w:rFonts w:ascii="Times New Roman"/>
          <w:b w:val="false"/>
          <w:i w:val="false"/>
          <w:color w:val="000000"/>
          <w:sz w:val="28"/>
        </w:rPr>
        <w:t>
      В связи с тем, что агломерационные образования Республики Казахстан имеют различную административно-территориальную организацию, они требуют дифференцированной модели построения отношений между субъектами государственного управления. При этом важное значение имеет формирование модели управления агломерацией. В этой связи предусматривается:</w:t>
      </w:r>
    </w:p>
    <w:p>
      <w:pPr>
        <w:spacing w:after="0"/>
        <w:ind w:left="0"/>
        <w:jc w:val="both"/>
      </w:pPr>
      <w:r>
        <w:rPr>
          <w:rFonts w:ascii="Times New Roman"/>
          <w:b w:val="false"/>
          <w:i w:val="false"/>
          <w:color w:val="000000"/>
          <w:sz w:val="28"/>
        </w:rPr>
        <w:t>
      1) применительно к Астанинской и Алматинской агломерациям осуществлять управление на основе договорных отношений между акиматами городов Астаны, Алматы, Акмолинской и Алматинской областей, а также через создание комиссии при Правительстве, отвечающей непосредственно за развитие этих агломераций;</w:t>
      </w:r>
    </w:p>
    <w:p>
      <w:pPr>
        <w:spacing w:after="0"/>
        <w:ind w:left="0"/>
        <w:jc w:val="both"/>
      </w:pPr>
      <w:r>
        <w:rPr>
          <w:rFonts w:ascii="Times New Roman"/>
          <w:b w:val="false"/>
          <w:i w:val="false"/>
          <w:color w:val="000000"/>
          <w:sz w:val="28"/>
        </w:rPr>
        <w:t>
      2) применительно к Шымкентской, Актюбинской агломерациям осуществлять управление на уровне областных акиматов, а также через создание специальной областной комиссии.</w:t>
      </w:r>
    </w:p>
    <w:p>
      <w:pPr>
        <w:spacing w:after="0"/>
        <w:ind w:left="0"/>
        <w:jc w:val="both"/>
      </w:pPr>
      <w:r>
        <w:rPr>
          <w:rFonts w:ascii="Times New Roman"/>
          <w:b w:val="false"/>
          <w:i w:val="false"/>
          <w:color w:val="000000"/>
          <w:sz w:val="28"/>
        </w:rPr>
        <w:t>
      Для развития агломераций предусматривается разработка:</w:t>
      </w:r>
    </w:p>
    <w:p>
      <w:pPr>
        <w:spacing w:after="0"/>
        <w:ind w:left="0"/>
        <w:jc w:val="both"/>
      </w:pPr>
      <w:r>
        <w:rPr>
          <w:rFonts w:ascii="Times New Roman"/>
          <w:b w:val="false"/>
          <w:i w:val="false"/>
          <w:color w:val="000000"/>
          <w:sz w:val="28"/>
        </w:rPr>
        <w:t>
      1) межрегиональных схем территориального развития Республики Казахстан по трем объединенным центрам регионов (центральный, южный, западный) с разработкой его концептуально-методологических основ;</w:t>
      </w:r>
    </w:p>
    <w:p>
      <w:pPr>
        <w:spacing w:after="0"/>
        <w:ind w:left="0"/>
        <w:jc w:val="both"/>
      </w:pPr>
      <w:r>
        <w:rPr>
          <w:rFonts w:ascii="Times New Roman"/>
          <w:b w:val="false"/>
          <w:i w:val="false"/>
          <w:color w:val="000000"/>
          <w:sz w:val="28"/>
        </w:rPr>
        <w:t>
      2) межрегиональных схем территориального развития агломераций на долгосрочный период, которые должны обеспечить:</w:t>
      </w:r>
    </w:p>
    <w:p>
      <w:pPr>
        <w:spacing w:after="0"/>
        <w:ind w:left="0"/>
        <w:jc w:val="both"/>
      </w:pPr>
      <w:r>
        <w:rPr>
          <w:rFonts w:ascii="Times New Roman"/>
          <w:b w:val="false"/>
          <w:i w:val="false"/>
          <w:color w:val="000000"/>
          <w:sz w:val="28"/>
        </w:rPr>
        <w:t xml:space="preserve">
      координацию межрегиональных и межотраслевых интересов в развитии агломерации (так как это касается нескольких административно-территориальных единиц); </w:t>
      </w:r>
    </w:p>
    <w:p>
      <w:pPr>
        <w:spacing w:after="0"/>
        <w:ind w:left="0"/>
        <w:jc w:val="both"/>
      </w:pPr>
      <w:r>
        <w:rPr>
          <w:rFonts w:ascii="Times New Roman"/>
          <w:b w:val="false"/>
          <w:i w:val="false"/>
          <w:color w:val="000000"/>
          <w:sz w:val="28"/>
        </w:rPr>
        <w:t>
      более четкое функциональное зонирование территории агломерации;</w:t>
      </w:r>
    </w:p>
    <w:p>
      <w:pPr>
        <w:spacing w:after="0"/>
        <w:ind w:left="0"/>
        <w:jc w:val="both"/>
      </w:pPr>
      <w:r>
        <w:rPr>
          <w:rFonts w:ascii="Times New Roman"/>
          <w:b w:val="false"/>
          <w:i w:val="false"/>
          <w:color w:val="000000"/>
          <w:sz w:val="28"/>
        </w:rPr>
        <w:t>
      установление зон особого градостроительного регулирования с проведением инвентаризации земель, резервирования территорий для целей развития агломерации (жилая постройка, промышленные площадки, магистральная инфраструктура, зоны рекреации, зеленые пояса и другие);</w:t>
      </w:r>
    </w:p>
    <w:p>
      <w:pPr>
        <w:spacing w:after="0"/>
        <w:ind w:left="0"/>
        <w:jc w:val="both"/>
      </w:pPr>
      <w:r>
        <w:rPr>
          <w:rFonts w:ascii="Times New Roman"/>
          <w:b w:val="false"/>
          <w:i w:val="false"/>
          <w:color w:val="000000"/>
          <w:sz w:val="28"/>
        </w:rPr>
        <w:t>
      скоординированное развитие инфраструктуры города-центра, пригородов, зон притяжения;</w:t>
      </w:r>
    </w:p>
    <w:p>
      <w:pPr>
        <w:spacing w:after="0"/>
        <w:ind w:left="0"/>
        <w:jc w:val="both"/>
      </w:pPr>
      <w:r>
        <w:rPr>
          <w:rFonts w:ascii="Times New Roman"/>
          <w:b w:val="false"/>
          <w:i w:val="false"/>
          <w:color w:val="000000"/>
          <w:sz w:val="28"/>
        </w:rPr>
        <w:t>
      3) единой системы государственного градостроительного кадастра Республики Казахстан;</w:t>
      </w:r>
    </w:p>
    <w:p>
      <w:pPr>
        <w:spacing w:after="0"/>
        <w:ind w:left="0"/>
        <w:jc w:val="both"/>
      </w:pPr>
      <w:r>
        <w:rPr>
          <w:rFonts w:ascii="Times New Roman"/>
          <w:b w:val="false"/>
          <w:i w:val="false"/>
          <w:color w:val="000000"/>
          <w:sz w:val="28"/>
        </w:rPr>
        <w:t>
      4) долгосрочных планов формирования и развития агломераций, утверждаемых постановлениями Правительства (по Астанинской и Алматинской агломерациям) и решениями областных маслихатов (по Шымкентской и Актюбинской агломерациям).</w:t>
      </w:r>
    </w:p>
    <w:p>
      <w:pPr>
        <w:spacing w:after="0"/>
        <w:ind w:left="0"/>
        <w:jc w:val="both"/>
      </w:pPr>
      <w:r>
        <w:rPr>
          <w:rFonts w:ascii="Times New Roman"/>
          <w:b w:val="false"/>
          <w:i w:val="false"/>
          <w:color w:val="000000"/>
          <w:sz w:val="28"/>
        </w:rPr>
        <w:t>
      Совершенствование градостроительной политики предусматривает пересмотр градостроительной документации городов и населенных пунктов прилегающих территорий с учетом изменения территориального пространства городов-центров агломераций за счет освоения имеющихся свободных территорий, а также определения опорного каркаса агломераций на основе существующих предпосылок (экономико-географического положения и природно-ресурсного потенциала).</w:t>
      </w:r>
    </w:p>
    <w:p>
      <w:pPr>
        <w:spacing w:after="0"/>
        <w:ind w:left="0"/>
        <w:jc w:val="both"/>
      </w:pPr>
      <w:r>
        <w:rPr>
          <w:rFonts w:ascii="Times New Roman"/>
          <w:b w:val="false"/>
          <w:i w:val="false"/>
          <w:color w:val="000000"/>
          <w:sz w:val="28"/>
        </w:rPr>
        <w:t>
      2. Развитие городов "второго уровня" (областных центров,</w:t>
      </w:r>
    </w:p>
    <w:p>
      <w:pPr>
        <w:spacing w:after="0"/>
        <w:ind w:left="0"/>
        <w:jc w:val="both"/>
      </w:pPr>
      <w:r>
        <w:rPr>
          <w:rFonts w:ascii="Times New Roman"/>
          <w:b w:val="false"/>
          <w:i w:val="false"/>
          <w:color w:val="000000"/>
          <w:sz w:val="28"/>
        </w:rPr>
        <w:t>
      городов Семей и Туркестан)</w:t>
      </w:r>
    </w:p>
    <w:p>
      <w:pPr>
        <w:spacing w:after="0"/>
        <w:ind w:left="0"/>
        <w:jc w:val="both"/>
      </w:pPr>
      <w:r>
        <w:rPr>
          <w:rFonts w:ascii="Times New Roman"/>
          <w:b w:val="false"/>
          <w:i w:val="false"/>
          <w:color w:val="000000"/>
          <w:sz w:val="28"/>
        </w:rPr>
        <w:t>
      Реализация задачи по развитию городов "второго уровня" (областных центров, городов Семей и Туркестан) будет осуществляться по следующим направлениям в рамках программ их развития:</w:t>
      </w:r>
    </w:p>
    <w:p>
      <w:pPr>
        <w:spacing w:after="0"/>
        <w:ind w:left="0"/>
        <w:jc w:val="both"/>
      </w:pPr>
      <w:r>
        <w:rPr>
          <w:rFonts w:ascii="Times New Roman"/>
          <w:b w:val="false"/>
          <w:i w:val="false"/>
          <w:color w:val="000000"/>
          <w:sz w:val="28"/>
        </w:rPr>
        <w:t>
      1) экономическое позиционирование на рынках Таможенного Союза и Центральной Азии;</w:t>
      </w:r>
    </w:p>
    <w:p>
      <w:pPr>
        <w:spacing w:after="0"/>
        <w:ind w:left="0"/>
        <w:jc w:val="both"/>
      </w:pPr>
      <w:r>
        <w:rPr>
          <w:rFonts w:ascii="Times New Roman"/>
          <w:b w:val="false"/>
          <w:i w:val="false"/>
          <w:color w:val="000000"/>
          <w:sz w:val="28"/>
        </w:rPr>
        <w:t>
      2) эффективное развитие инженерной и социальной инфраструктур;</w:t>
      </w:r>
    </w:p>
    <w:p>
      <w:pPr>
        <w:spacing w:after="0"/>
        <w:ind w:left="0"/>
        <w:jc w:val="both"/>
      </w:pPr>
      <w:r>
        <w:rPr>
          <w:rFonts w:ascii="Times New Roman"/>
          <w:b w:val="false"/>
          <w:i w:val="false"/>
          <w:color w:val="000000"/>
          <w:sz w:val="28"/>
        </w:rPr>
        <w:t>
      3) эффективное градостроительное планирование территорий.</w:t>
      </w:r>
    </w:p>
    <w:p>
      <w:pPr>
        <w:spacing w:after="0"/>
        <w:ind w:left="0"/>
        <w:jc w:val="both"/>
      </w:pPr>
      <w:r>
        <w:rPr>
          <w:rFonts w:ascii="Times New Roman"/>
          <w:b w:val="false"/>
          <w:i w:val="false"/>
          <w:color w:val="000000"/>
          <w:sz w:val="28"/>
        </w:rPr>
        <w:t>
      1. Экономическое позиционирование городов "второго уровня" (областных центров, городов Семей и Туркестан) на рынках Таможенного Союза и Центральной Азии.</w:t>
      </w:r>
    </w:p>
    <w:p>
      <w:pPr>
        <w:spacing w:after="0"/>
        <w:ind w:left="0"/>
        <w:jc w:val="both"/>
      </w:pPr>
      <w:r>
        <w:rPr>
          <w:rFonts w:ascii="Times New Roman"/>
          <w:b w:val="false"/>
          <w:i w:val="false"/>
          <w:color w:val="000000"/>
          <w:sz w:val="28"/>
        </w:rPr>
        <w:t>
      Местными исполнительными органами совместно с научным сообществом областей будут проведены маркетинговые исследования по брендингу городов "второго уровня", в рамках которых будут выявлены перспективные экономические специализации.</w:t>
      </w:r>
    </w:p>
    <w:p>
      <w:pPr>
        <w:spacing w:after="0"/>
        <w:ind w:left="0"/>
        <w:jc w:val="both"/>
      </w:pPr>
      <w:r>
        <w:rPr>
          <w:rFonts w:ascii="Times New Roman"/>
          <w:b w:val="false"/>
          <w:i w:val="false"/>
          <w:color w:val="000000"/>
          <w:sz w:val="28"/>
        </w:rPr>
        <w:t>
      Для создания высокоорганизованной урбанистической среды жизни городов "второго уровня" и становления их в новой роли будут предусмотрены:</w:t>
      </w:r>
    </w:p>
    <w:p>
      <w:pPr>
        <w:spacing w:after="0"/>
        <w:ind w:left="0"/>
        <w:jc w:val="both"/>
      </w:pPr>
      <w:r>
        <w:rPr>
          <w:rFonts w:ascii="Times New Roman"/>
          <w:b w:val="false"/>
          <w:i w:val="false"/>
          <w:color w:val="000000"/>
          <w:sz w:val="28"/>
        </w:rPr>
        <w:t>
      1) формирование в городах второго уровня и на тяготеющих к ним территориях полифункциональных зон:</w:t>
      </w:r>
    </w:p>
    <w:p>
      <w:pPr>
        <w:spacing w:after="0"/>
        <w:ind w:left="0"/>
        <w:jc w:val="both"/>
      </w:pPr>
      <w:r>
        <w:rPr>
          <w:rFonts w:ascii="Times New Roman"/>
          <w:b w:val="false"/>
          <w:i w:val="false"/>
          <w:color w:val="000000"/>
          <w:sz w:val="28"/>
        </w:rPr>
        <w:t>
      межрегиональной дистрибуции (торговля и услуги);</w:t>
      </w:r>
    </w:p>
    <w:p>
      <w:pPr>
        <w:spacing w:after="0"/>
        <w:ind w:left="0"/>
        <w:jc w:val="both"/>
      </w:pPr>
      <w:r>
        <w:rPr>
          <w:rFonts w:ascii="Times New Roman"/>
          <w:b w:val="false"/>
          <w:i w:val="false"/>
          <w:color w:val="000000"/>
          <w:sz w:val="28"/>
        </w:rPr>
        <w:t>
      транспортно-логистических и процессинговых услуг с формированием межрегиональных торгово-логистических центров;</w:t>
      </w:r>
    </w:p>
    <w:p>
      <w:pPr>
        <w:spacing w:after="0"/>
        <w:ind w:left="0"/>
        <w:jc w:val="both"/>
      </w:pPr>
      <w:r>
        <w:rPr>
          <w:rFonts w:ascii="Times New Roman"/>
          <w:b w:val="false"/>
          <w:i w:val="false"/>
          <w:color w:val="000000"/>
          <w:sz w:val="28"/>
        </w:rPr>
        <w:t>
      инновационного развития, то есть формирование специальных экономических зон, индустриальных парков, зон инновационного роста, промышленных площадок, центров коммерциализации технологий в рамках определенных экономических специализаций городов "второго уровня";</w:t>
      </w:r>
    </w:p>
    <w:p>
      <w:pPr>
        <w:spacing w:after="0"/>
        <w:ind w:left="0"/>
        <w:jc w:val="both"/>
      </w:pPr>
      <w:r>
        <w:rPr>
          <w:rFonts w:ascii="Times New Roman"/>
          <w:b w:val="false"/>
          <w:i w:val="false"/>
          <w:color w:val="000000"/>
          <w:sz w:val="28"/>
        </w:rPr>
        <w:t>
      центра туристских, рекреационных и спортивных услуг, развлекательного и досугового обслуживания (в зависимости от местных условий и результатов маркетинговых исследований по брендингу городов "второго уровня");</w:t>
      </w:r>
    </w:p>
    <w:p>
      <w:pPr>
        <w:spacing w:after="0"/>
        <w:ind w:left="0"/>
        <w:jc w:val="both"/>
      </w:pPr>
      <w:r>
        <w:rPr>
          <w:rFonts w:ascii="Times New Roman"/>
          <w:b w:val="false"/>
          <w:i w:val="false"/>
          <w:color w:val="000000"/>
          <w:sz w:val="28"/>
        </w:rPr>
        <w:t>
      продовольственной специализации (продовольственный пояс);</w:t>
      </w:r>
    </w:p>
    <w:p>
      <w:pPr>
        <w:spacing w:after="0"/>
        <w:ind w:left="0"/>
        <w:jc w:val="both"/>
      </w:pPr>
      <w:r>
        <w:rPr>
          <w:rFonts w:ascii="Times New Roman"/>
          <w:b w:val="false"/>
          <w:i w:val="false"/>
          <w:color w:val="000000"/>
          <w:sz w:val="28"/>
        </w:rPr>
        <w:t>
      2) реализация проектов через механизм государственно-частного партнерства в рамках определенных экономических специализаций городов "второго уровня";</w:t>
      </w:r>
    </w:p>
    <w:p>
      <w:pPr>
        <w:spacing w:after="0"/>
        <w:ind w:left="0"/>
        <w:jc w:val="both"/>
      </w:pPr>
      <w:r>
        <w:rPr>
          <w:rFonts w:ascii="Times New Roman"/>
          <w:b w:val="false"/>
          <w:i w:val="false"/>
          <w:color w:val="000000"/>
          <w:sz w:val="28"/>
        </w:rPr>
        <w:t xml:space="preserve">
      3) применение инструментов, предусмотренных в государственных и отраслевых программах (таких как </w:t>
      </w:r>
      <w:r>
        <w:rPr>
          <w:rFonts w:ascii="Times New Roman"/>
          <w:b w:val="false"/>
          <w:i w:val="false"/>
          <w:color w:val="000000"/>
          <w:sz w:val="28"/>
        </w:rPr>
        <w:t>"Дорожная карта бизнеса 2020"</w:t>
      </w:r>
      <w:r>
        <w:rPr>
          <w:rFonts w:ascii="Times New Roman"/>
          <w:b w:val="false"/>
          <w:i w:val="false"/>
          <w:color w:val="000000"/>
          <w:sz w:val="28"/>
        </w:rPr>
        <w:t xml:space="preserve">, </w:t>
      </w:r>
      <w:r>
        <w:rPr>
          <w:rFonts w:ascii="Times New Roman"/>
          <w:b w:val="false"/>
          <w:i w:val="false"/>
          <w:color w:val="000000"/>
          <w:sz w:val="28"/>
        </w:rPr>
        <w:t>"Дорожная карта занятости 2020"</w:t>
      </w:r>
      <w:r>
        <w:rPr>
          <w:rFonts w:ascii="Times New Roman"/>
          <w:b w:val="false"/>
          <w:i w:val="false"/>
          <w:color w:val="000000"/>
          <w:sz w:val="28"/>
        </w:rPr>
        <w:t>, развития туризма, транспорта и коммуникаций и других).</w:t>
      </w:r>
    </w:p>
    <w:p>
      <w:pPr>
        <w:spacing w:after="0"/>
        <w:ind w:left="0"/>
        <w:jc w:val="both"/>
      </w:pPr>
      <w:r>
        <w:rPr>
          <w:rFonts w:ascii="Times New Roman"/>
          <w:b w:val="false"/>
          <w:i w:val="false"/>
          <w:color w:val="000000"/>
          <w:sz w:val="28"/>
        </w:rPr>
        <w:t>
      2. Комплексное развитие инженерной и социальной инфраструктуры городов "второго уровня" (областных центров, городов Семей и Туркестан)</w:t>
      </w:r>
    </w:p>
    <w:p>
      <w:pPr>
        <w:spacing w:after="0"/>
        <w:ind w:left="0"/>
        <w:jc w:val="both"/>
      </w:pPr>
      <w:r>
        <w:rPr>
          <w:rFonts w:ascii="Times New Roman"/>
          <w:b w:val="false"/>
          <w:i w:val="false"/>
          <w:color w:val="000000"/>
          <w:sz w:val="28"/>
        </w:rPr>
        <w:t>
      Комплексное развитие инфраструктуры городов "второго уровня" будет предусматривать:</w:t>
      </w:r>
    </w:p>
    <w:p>
      <w:pPr>
        <w:spacing w:after="0"/>
        <w:ind w:left="0"/>
        <w:jc w:val="both"/>
      </w:pPr>
      <w:r>
        <w:rPr>
          <w:rFonts w:ascii="Times New Roman"/>
          <w:b w:val="false"/>
          <w:i w:val="false"/>
          <w:color w:val="000000"/>
          <w:sz w:val="28"/>
        </w:rPr>
        <w:t xml:space="preserve">
      1) эффективную транспортную систему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и интеграции инфраструктур транспортной системы Республики Казахстан до 2020 года;</w:t>
      </w:r>
    </w:p>
    <w:p>
      <w:pPr>
        <w:spacing w:after="0"/>
        <w:ind w:left="0"/>
        <w:jc w:val="both"/>
      </w:pPr>
      <w:r>
        <w:rPr>
          <w:rFonts w:ascii="Times New Roman"/>
          <w:b w:val="false"/>
          <w:i w:val="false"/>
          <w:color w:val="000000"/>
          <w:sz w:val="28"/>
        </w:rPr>
        <w:t>
      2) развитие производственной, энергетической, инженерно-коммунальной, водохозяйственной и социальной инфраструктур с применением передовых инновационных и технологических решений (с учетом передовых тенденций);</w:t>
      </w:r>
    </w:p>
    <w:p>
      <w:pPr>
        <w:spacing w:after="0"/>
        <w:ind w:left="0"/>
        <w:jc w:val="both"/>
      </w:pPr>
      <w:r>
        <w:rPr>
          <w:rFonts w:ascii="Times New Roman"/>
          <w:b w:val="false"/>
          <w:i w:val="false"/>
          <w:color w:val="000000"/>
          <w:sz w:val="28"/>
        </w:rPr>
        <w:t>
      3) построение энергоэффективной экономики путем:</w:t>
      </w:r>
    </w:p>
    <w:p>
      <w:pPr>
        <w:spacing w:after="0"/>
        <w:ind w:left="0"/>
        <w:jc w:val="both"/>
      </w:pPr>
      <w:r>
        <w:rPr>
          <w:rFonts w:ascii="Times New Roman"/>
          <w:b w:val="false"/>
          <w:i w:val="false"/>
          <w:color w:val="000000"/>
          <w:sz w:val="28"/>
        </w:rPr>
        <w:t>
      обеспечения энерго- и ресурсосбережения;</w:t>
      </w:r>
    </w:p>
    <w:p>
      <w:pPr>
        <w:spacing w:after="0"/>
        <w:ind w:left="0"/>
        <w:jc w:val="both"/>
      </w:pPr>
      <w:r>
        <w:rPr>
          <w:rFonts w:ascii="Times New Roman"/>
          <w:b w:val="false"/>
          <w:i w:val="false"/>
          <w:color w:val="000000"/>
          <w:sz w:val="28"/>
        </w:rPr>
        <w:t>
      развития "зеленых поясов" и лесопарковых зон;</w:t>
      </w:r>
    </w:p>
    <w:p>
      <w:pPr>
        <w:spacing w:after="0"/>
        <w:ind w:left="0"/>
        <w:jc w:val="both"/>
      </w:pPr>
      <w:r>
        <w:rPr>
          <w:rFonts w:ascii="Times New Roman"/>
          <w:b w:val="false"/>
          <w:i w:val="false"/>
          <w:color w:val="000000"/>
          <w:sz w:val="28"/>
        </w:rPr>
        <w:t>
      использования экологически чистого транспорта;</w:t>
      </w:r>
    </w:p>
    <w:p>
      <w:pPr>
        <w:spacing w:after="0"/>
        <w:ind w:left="0"/>
        <w:jc w:val="both"/>
      </w:pPr>
      <w:r>
        <w:rPr>
          <w:rFonts w:ascii="Times New Roman"/>
          <w:b w:val="false"/>
          <w:i w:val="false"/>
          <w:color w:val="000000"/>
          <w:sz w:val="28"/>
        </w:rPr>
        <w:t>
      выноса экологически вредных производств за пределы городов;</w:t>
      </w:r>
    </w:p>
    <w:p>
      <w:pPr>
        <w:spacing w:after="0"/>
        <w:ind w:left="0"/>
        <w:jc w:val="both"/>
      </w:pPr>
      <w:r>
        <w:rPr>
          <w:rFonts w:ascii="Times New Roman"/>
          <w:b w:val="false"/>
          <w:i w:val="false"/>
          <w:color w:val="000000"/>
          <w:sz w:val="28"/>
        </w:rPr>
        <w:t>
      4) развитие инфраструктуры противодействия паводкам, селям, оползням, лавинам, землетрясениям, а также противопожарной защиты агломераций.</w:t>
      </w:r>
    </w:p>
    <w:p>
      <w:pPr>
        <w:spacing w:after="0"/>
        <w:ind w:left="0"/>
        <w:jc w:val="both"/>
      </w:pPr>
      <w:r>
        <w:rPr>
          <w:rFonts w:ascii="Times New Roman"/>
          <w:b w:val="false"/>
          <w:i w:val="false"/>
          <w:color w:val="000000"/>
          <w:sz w:val="28"/>
        </w:rPr>
        <w:t>
      3. Эффективное градостроительное планирование территории городов "второго уровня" (областных центров, городов Семей и Туркестан).</w:t>
      </w:r>
    </w:p>
    <w:p>
      <w:pPr>
        <w:spacing w:after="0"/>
        <w:ind w:left="0"/>
        <w:jc w:val="both"/>
      </w:pPr>
      <w:r>
        <w:rPr>
          <w:rFonts w:ascii="Times New Roman"/>
          <w:b w:val="false"/>
          <w:i w:val="false"/>
          <w:color w:val="000000"/>
          <w:sz w:val="28"/>
        </w:rPr>
        <w:t>
      Социально-экономическое развитие городов "второго уровня" будет скоординировано с развитием прилегающих к ним населенных пунктов.</w:t>
      </w:r>
    </w:p>
    <w:p>
      <w:pPr>
        <w:spacing w:after="0"/>
        <w:ind w:left="0"/>
        <w:jc w:val="both"/>
      </w:pPr>
      <w:r>
        <w:rPr>
          <w:rFonts w:ascii="Times New Roman"/>
          <w:b w:val="false"/>
          <w:i w:val="false"/>
          <w:color w:val="000000"/>
          <w:sz w:val="28"/>
        </w:rPr>
        <w:t>
      Для развития городов "второго уровня" предусматриваются:</w:t>
      </w:r>
    </w:p>
    <w:p>
      <w:pPr>
        <w:spacing w:after="0"/>
        <w:ind w:left="0"/>
        <w:jc w:val="both"/>
      </w:pPr>
      <w:r>
        <w:rPr>
          <w:rFonts w:ascii="Times New Roman"/>
          <w:b w:val="false"/>
          <w:i w:val="false"/>
          <w:color w:val="000000"/>
          <w:sz w:val="28"/>
        </w:rPr>
        <w:t>
      1) разработка комплексных схем градостроительного планирования территорий областей;</w:t>
      </w:r>
    </w:p>
    <w:p>
      <w:pPr>
        <w:spacing w:after="0"/>
        <w:ind w:left="0"/>
        <w:jc w:val="both"/>
      </w:pPr>
      <w:r>
        <w:rPr>
          <w:rFonts w:ascii="Times New Roman"/>
          <w:b w:val="false"/>
          <w:i w:val="false"/>
          <w:color w:val="000000"/>
          <w:sz w:val="28"/>
        </w:rPr>
        <w:t>
      2) разработка областного и базового уровней единой системы государственного градостроительного кадастра Республики Казахстан;</w:t>
      </w:r>
    </w:p>
    <w:p>
      <w:pPr>
        <w:spacing w:after="0"/>
        <w:ind w:left="0"/>
        <w:jc w:val="both"/>
      </w:pPr>
      <w:r>
        <w:rPr>
          <w:rFonts w:ascii="Times New Roman"/>
          <w:b w:val="false"/>
          <w:i w:val="false"/>
          <w:color w:val="000000"/>
          <w:sz w:val="28"/>
        </w:rPr>
        <w:t>
      3) включение программных мер по развитию городов Семей и Туркестан в программы развития соответствующих областей на пятилетний период.</w:t>
      </w:r>
    </w:p>
    <w:p>
      <w:pPr>
        <w:spacing w:after="0"/>
        <w:ind w:left="0"/>
        <w:jc w:val="both"/>
      </w:pPr>
      <w:r>
        <w:rPr>
          <w:rFonts w:ascii="Times New Roman"/>
          <w:b w:val="false"/>
          <w:i w:val="false"/>
          <w:color w:val="000000"/>
          <w:sz w:val="28"/>
        </w:rPr>
        <w:t>
      3. Развитие городов "третьего уровня" (малых и моногородов)</w:t>
      </w:r>
    </w:p>
    <w:p>
      <w:pPr>
        <w:spacing w:after="0"/>
        <w:ind w:left="0"/>
        <w:jc w:val="both"/>
      </w:pPr>
      <w:r>
        <w:rPr>
          <w:rFonts w:ascii="Times New Roman"/>
          <w:b w:val="false"/>
          <w:i w:val="false"/>
          <w:color w:val="000000"/>
          <w:sz w:val="28"/>
        </w:rPr>
        <w:t>
      Решение задачи по развитию малых и моногородов в рамках реализации Программы будет осуществляться по трем направлениям:</w:t>
      </w:r>
    </w:p>
    <w:p>
      <w:pPr>
        <w:spacing w:after="0"/>
        <w:ind w:left="0"/>
        <w:jc w:val="both"/>
      </w:pPr>
      <w:r>
        <w:rPr>
          <w:rFonts w:ascii="Times New Roman"/>
          <w:b w:val="false"/>
          <w:i w:val="false"/>
          <w:color w:val="000000"/>
          <w:sz w:val="28"/>
        </w:rPr>
        <w:t>
      1) брендинг малых и моногородов, разработка их комплексных планов развития;</w:t>
      </w:r>
    </w:p>
    <w:p>
      <w:pPr>
        <w:spacing w:after="0"/>
        <w:ind w:left="0"/>
        <w:jc w:val="both"/>
      </w:pPr>
      <w:r>
        <w:rPr>
          <w:rFonts w:ascii="Times New Roman"/>
          <w:b w:val="false"/>
          <w:i w:val="false"/>
          <w:color w:val="000000"/>
          <w:sz w:val="28"/>
        </w:rPr>
        <w:t>
      2) диверсификация экономики и развитие малого и среднего бизнеса в малых и моногородах в рамках программ развития предпринимательства;</w:t>
      </w:r>
    </w:p>
    <w:p>
      <w:pPr>
        <w:spacing w:after="0"/>
        <w:ind w:left="0"/>
        <w:jc w:val="both"/>
      </w:pPr>
      <w:r>
        <w:rPr>
          <w:rFonts w:ascii="Times New Roman"/>
          <w:b w:val="false"/>
          <w:i w:val="false"/>
          <w:color w:val="000000"/>
          <w:sz w:val="28"/>
        </w:rPr>
        <w:t>
      3) развитие инфраструктуры малых и моногородов.</w:t>
      </w:r>
    </w:p>
    <w:p>
      <w:pPr>
        <w:spacing w:after="0"/>
        <w:ind w:left="0"/>
        <w:jc w:val="both"/>
      </w:pPr>
      <w:r>
        <w:rPr>
          <w:rFonts w:ascii="Times New Roman"/>
          <w:b w:val="false"/>
          <w:i w:val="false"/>
          <w:color w:val="000000"/>
          <w:sz w:val="28"/>
        </w:rPr>
        <w:t>
      Для реализации данных направлений уполномоченным органом будут приняты меры по совершенствованию нормативной правовой базы, координации поддержки развития малых и моногородов со стороны центральных государственных органов и других организаций.</w:t>
      </w:r>
    </w:p>
    <w:p>
      <w:pPr>
        <w:spacing w:after="0"/>
        <w:ind w:left="0"/>
        <w:jc w:val="both"/>
      </w:pPr>
      <w:r>
        <w:rPr>
          <w:rFonts w:ascii="Times New Roman"/>
          <w:b w:val="false"/>
          <w:i w:val="false"/>
          <w:color w:val="000000"/>
          <w:sz w:val="28"/>
        </w:rPr>
        <w:t>
      Между уполномоченным органом и акимами областей будут заключаться соглашения о совместных мерах по развитию малых и моногородов, определенных Программой.</w:t>
      </w:r>
    </w:p>
    <w:p>
      <w:pPr>
        <w:spacing w:after="0"/>
        <w:ind w:left="0"/>
        <w:jc w:val="both"/>
      </w:pPr>
      <w:r>
        <w:rPr>
          <w:rFonts w:ascii="Times New Roman"/>
          <w:b w:val="false"/>
          <w:i w:val="false"/>
          <w:color w:val="000000"/>
          <w:sz w:val="28"/>
        </w:rPr>
        <w:t>
      В рамках реализации Программы местными исполнительными органами в соответствии с рекомендациями уполномоченного органа будет проведена группировка малых и моногородов на города с высоким, средним и низким экономическим потенциалом (приложение 1 "Перечень малых и моногородов Республики Казахстан").</w:t>
      </w:r>
    </w:p>
    <w:p>
      <w:pPr>
        <w:spacing w:after="0"/>
        <w:ind w:left="0"/>
        <w:jc w:val="both"/>
      </w:pPr>
      <w:r>
        <w:rPr>
          <w:rFonts w:ascii="Times New Roman"/>
          <w:b w:val="false"/>
          <w:i w:val="false"/>
          <w:color w:val="000000"/>
          <w:sz w:val="28"/>
        </w:rPr>
        <w:t xml:space="preserve">
      При этом механизмы государственной политики поддержки будут дифференцированы в зависимости от потенциала малого и моногорода. </w:t>
      </w:r>
    </w:p>
    <w:p>
      <w:pPr>
        <w:spacing w:after="0"/>
        <w:ind w:left="0"/>
        <w:jc w:val="both"/>
      </w:pPr>
      <w:r>
        <w:rPr>
          <w:rFonts w:ascii="Times New Roman"/>
          <w:b w:val="false"/>
          <w:i w:val="false"/>
          <w:color w:val="000000"/>
          <w:sz w:val="28"/>
        </w:rPr>
        <w:t xml:space="preserve">
      Малым и моногородам с низким экономическим потенциалом будет оказана поддержка в рамках текущего бюджета Программы для поддержания инфраструктуры на минимально необходимом уровне стандарта качества жизни. </w:t>
      </w:r>
    </w:p>
    <w:p>
      <w:pPr>
        <w:spacing w:after="0"/>
        <w:ind w:left="0"/>
        <w:jc w:val="both"/>
      </w:pPr>
      <w:r>
        <w:rPr>
          <w:rFonts w:ascii="Times New Roman"/>
          <w:b w:val="false"/>
          <w:i w:val="false"/>
          <w:color w:val="000000"/>
          <w:sz w:val="28"/>
        </w:rPr>
        <w:t>
      Малым и моногородам со средним и высоким потенциалом будет оказана целевая поддержка в рамках бюджета развития Программы с целью повышению их потенциала.</w:t>
      </w:r>
    </w:p>
    <w:p>
      <w:pPr>
        <w:spacing w:after="0"/>
        <w:ind w:left="0"/>
        <w:jc w:val="both"/>
      </w:pPr>
      <w:r>
        <w:rPr>
          <w:rFonts w:ascii="Times New Roman"/>
          <w:b w:val="false"/>
          <w:i w:val="false"/>
          <w:color w:val="000000"/>
          <w:sz w:val="28"/>
        </w:rPr>
        <w:t>
      Кроме этого, будет оказана особая поддержка малым и моногородам, входящим в зону влияния агломераций, а также расположенным на приграничной территории, по развитию социально-экономического потенциала.</w:t>
      </w:r>
    </w:p>
    <w:p>
      <w:pPr>
        <w:spacing w:after="0"/>
        <w:ind w:left="0"/>
        <w:jc w:val="both"/>
      </w:pPr>
      <w:r>
        <w:rPr>
          <w:rFonts w:ascii="Times New Roman"/>
          <w:b w:val="false"/>
          <w:i w:val="false"/>
          <w:color w:val="000000"/>
          <w:sz w:val="28"/>
        </w:rPr>
        <w:t xml:space="preserve">
      1. Брендинг малых и моногородов, разработка их комплексных планов развития (далее – КПР). </w:t>
      </w:r>
    </w:p>
    <w:p>
      <w:pPr>
        <w:spacing w:after="0"/>
        <w:ind w:left="0"/>
        <w:jc w:val="both"/>
      </w:pPr>
      <w:r>
        <w:rPr>
          <w:rFonts w:ascii="Times New Roman"/>
          <w:b w:val="false"/>
          <w:i w:val="false"/>
          <w:color w:val="000000"/>
          <w:sz w:val="28"/>
        </w:rPr>
        <w:t xml:space="preserve">
      В настоящей Программе под "брендингом малого и моногорода" понимается инструментарий для выявления успешных и эффективных видов деятельности, потенциально возможных для формирования на территории малого и моногорода. </w:t>
      </w:r>
    </w:p>
    <w:p>
      <w:pPr>
        <w:spacing w:after="0"/>
        <w:ind w:left="0"/>
        <w:jc w:val="both"/>
      </w:pPr>
      <w:r>
        <w:rPr>
          <w:rFonts w:ascii="Times New Roman"/>
          <w:b w:val="false"/>
          <w:i w:val="false"/>
          <w:color w:val="000000"/>
          <w:sz w:val="28"/>
        </w:rPr>
        <w:t>
      В рамках данного направления местные исполнительные органы с привлечением университетов либо иных научно-исследовательских институтов и центров проведут системную диагностику и маркетинговые исследования по перспективам развития каждого малого и моногорода, в рамках которых будут выявлены перспективные новые специализации экономики, определены меры по улучшению имиджа, консолидации сил частного и общественного секторов в решении экономических проблем, оценены наиболее значимые внешние рынки и целевые группы потребителей бренда города и другие.</w:t>
      </w:r>
    </w:p>
    <w:p>
      <w:pPr>
        <w:spacing w:after="0"/>
        <w:ind w:left="0"/>
        <w:jc w:val="both"/>
      </w:pPr>
      <w:r>
        <w:rPr>
          <w:rFonts w:ascii="Times New Roman"/>
          <w:b w:val="false"/>
          <w:i w:val="false"/>
          <w:color w:val="000000"/>
          <w:sz w:val="28"/>
        </w:rPr>
        <w:t xml:space="preserve">
      На основе проведенных маркетинговых исследований и системной диагностики городов местными исполнительными органами будут разработаны КПР малых и моногородов. </w:t>
      </w:r>
    </w:p>
    <w:p>
      <w:pPr>
        <w:spacing w:after="0"/>
        <w:ind w:left="0"/>
        <w:jc w:val="both"/>
      </w:pPr>
      <w:r>
        <w:rPr>
          <w:rFonts w:ascii="Times New Roman"/>
          <w:b w:val="false"/>
          <w:i w:val="false"/>
          <w:color w:val="000000"/>
          <w:sz w:val="28"/>
        </w:rPr>
        <w:t>
      КПР разрабатываются на долгосрочный период с определением перспектив развития, прогнозируемой численности населения и новых специализаций (брендов) городов.</w:t>
      </w:r>
    </w:p>
    <w:p>
      <w:pPr>
        <w:spacing w:after="0"/>
        <w:ind w:left="0"/>
        <w:jc w:val="both"/>
      </w:pPr>
      <w:r>
        <w:rPr>
          <w:rFonts w:ascii="Times New Roman"/>
          <w:b w:val="false"/>
          <w:i w:val="false"/>
          <w:color w:val="000000"/>
          <w:sz w:val="28"/>
        </w:rPr>
        <w:t xml:space="preserve">
      КПР будут являться основанием для определения объема финансирования каждого малого и моногорода из республиканского и местных бюджетов на планируемый период. </w:t>
      </w:r>
    </w:p>
    <w:p>
      <w:pPr>
        <w:spacing w:after="0"/>
        <w:ind w:left="0"/>
        <w:jc w:val="both"/>
      </w:pPr>
      <w:r>
        <w:rPr>
          <w:rFonts w:ascii="Times New Roman"/>
          <w:b w:val="false"/>
          <w:i w:val="false"/>
          <w:color w:val="000000"/>
          <w:sz w:val="28"/>
        </w:rPr>
        <w:t>
      Мероприятия КПР по развитию социальной, жилищной и инженерной инфраструктуры малых и моногородов должны разрабатываться исходя из перспективной численности населения и в зависимости от производственной емкости стабильно работающих предприятий.</w:t>
      </w:r>
    </w:p>
    <w:p>
      <w:pPr>
        <w:spacing w:after="0"/>
        <w:ind w:left="0"/>
        <w:jc w:val="both"/>
      </w:pPr>
      <w:r>
        <w:rPr>
          <w:rFonts w:ascii="Times New Roman"/>
          <w:b w:val="false"/>
          <w:i w:val="false"/>
          <w:color w:val="000000"/>
          <w:sz w:val="28"/>
        </w:rPr>
        <w:t>
      Разработка КПР города проводится по следующему алгоритму:</w:t>
      </w:r>
    </w:p>
    <w:p>
      <w:pPr>
        <w:spacing w:after="0"/>
        <w:ind w:left="0"/>
        <w:jc w:val="both"/>
      </w:pPr>
      <w:r>
        <w:rPr>
          <w:rFonts w:ascii="Times New Roman"/>
          <w:b w:val="false"/>
          <w:i w:val="false"/>
          <w:color w:val="000000"/>
          <w:sz w:val="28"/>
        </w:rPr>
        <w:t>
      1) акиматы областей с привлечением университетов либо иных научно-исследовательских институтов и центров проводят за счет средств местных бюджетов системную диагностику и маркетинговые исследования по перспективам брендинга каждого города (с проведением социологического опроса), в рамках которых будут выявлены экономический потенциал, факторы, оказывающие позитивное и негативное влияние на его развитие, а также перспективные новые специализации;</w:t>
      </w:r>
    </w:p>
    <w:p>
      <w:pPr>
        <w:spacing w:after="0"/>
        <w:ind w:left="0"/>
        <w:jc w:val="both"/>
      </w:pPr>
      <w:r>
        <w:rPr>
          <w:rFonts w:ascii="Times New Roman"/>
          <w:b w:val="false"/>
          <w:i w:val="false"/>
          <w:color w:val="000000"/>
          <w:sz w:val="28"/>
        </w:rPr>
        <w:t>
      2) акиматы областей на основании рекомендаций уполномоченного органа, проведенной системной диагностики и маркетинговых исследований по перспективам брендинга разрабатывают КПР каждого города на долгосрочный период.</w:t>
      </w:r>
    </w:p>
    <w:p>
      <w:pPr>
        <w:spacing w:after="0"/>
        <w:ind w:left="0"/>
        <w:jc w:val="both"/>
      </w:pPr>
      <w:r>
        <w:rPr>
          <w:rFonts w:ascii="Times New Roman"/>
          <w:b w:val="false"/>
          <w:i w:val="false"/>
          <w:color w:val="000000"/>
          <w:sz w:val="28"/>
        </w:rPr>
        <w:t>
      Срок разработки КПР малых и моногородов – до 1 июля года, предшествующего планируемому периоду реализации КПР;</w:t>
      </w:r>
    </w:p>
    <w:p>
      <w:pPr>
        <w:spacing w:after="0"/>
        <w:ind w:left="0"/>
        <w:jc w:val="both"/>
      </w:pPr>
      <w:r>
        <w:rPr>
          <w:rFonts w:ascii="Times New Roman"/>
          <w:b w:val="false"/>
          <w:i w:val="false"/>
          <w:color w:val="000000"/>
          <w:sz w:val="28"/>
        </w:rPr>
        <w:t xml:space="preserve">
      3) КПР рассматриваются рабочей группой, созданной при уполномоченном органе. </w:t>
      </w:r>
    </w:p>
    <w:p>
      <w:pPr>
        <w:spacing w:after="0"/>
        <w:ind w:left="0"/>
        <w:jc w:val="both"/>
      </w:pPr>
      <w:r>
        <w:rPr>
          <w:rFonts w:ascii="Times New Roman"/>
          <w:b w:val="false"/>
          <w:i w:val="false"/>
          <w:color w:val="000000"/>
          <w:sz w:val="28"/>
        </w:rPr>
        <w:t>
      Рабочая группа детально изучает каждый КПР, дает рекомендации по доработке и отбирает инвестиционные проекты для оказания мер государственной поддержки и последующего внесения на рассмотрение МВК;</w:t>
      </w:r>
    </w:p>
    <w:p>
      <w:pPr>
        <w:spacing w:after="0"/>
        <w:ind w:left="0"/>
        <w:jc w:val="both"/>
      </w:pPr>
      <w:r>
        <w:rPr>
          <w:rFonts w:ascii="Times New Roman"/>
          <w:b w:val="false"/>
          <w:i w:val="false"/>
          <w:color w:val="000000"/>
          <w:sz w:val="28"/>
        </w:rPr>
        <w:t>
      4) МВК с учетом предложений рабочей группы одобряет КПР, а также инвестиционные проекты для реализации за счет республиканского бюджета, институтов развития и национальных компаний;</w:t>
      </w:r>
    </w:p>
    <w:p>
      <w:pPr>
        <w:spacing w:after="0"/>
        <w:ind w:left="0"/>
        <w:jc w:val="both"/>
      </w:pPr>
      <w:r>
        <w:rPr>
          <w:rFonts w:ascii="Times New Roman"/>
          <w:b w:val="false"/>
          <w:i w:val="false"/>
          <w:color w:val="000000"/>
          <w:sz w:val="28"/>
        </w:rPr>
        <w:t>
      5) КПР, одобренные МВК, утверждаются решениями областных маслихатов.</w:t>
      </w:r>
    </w:p>
    <w:p>
      <w:pPr>
        <w:spacing w:after="0"/>
        <w:ind w:left="0"/>
        <w:jc w:val="both"/>
      </w:pPr>
      <w:r>
        <w:rPr>
          <w:rFonts w:ascii="Times New Roman"/>
          <w:b w:val="false"/>
          <w:i w:val="false"/>
          <w:color w:val="000000"/>
          <w:sz w:val="28"/>
        </w:rPr>
        <w:t>
      2. Диверсификация экономики и развитие малого и среднего бизнеса в малых и моногородах в рамках программ развития предпринимательства.</w:t>
      </w:r>
    </w:p>
    <w:p>
      <w:pPr>
        <w:spacing w:after="0"/>
        <w:ind w:left="0"/>
        <w:jc w:val="both"/>
      </w:pPr>
      <w:r>
        <w:rPr>
          <w:rFonts w:ascii="Times New Roman"/>
          <w:b w:val="false"/>
          <w:i w:val="false"/>
          <w:color w:val="000000"/>
          <w:sz w:val="28"/>
        </w:rPr>
        <w:t>
      В рамках данного направления будет осуществляться реализация "якорных" инвестиционных проектов (включая инструменты программ индустриализации) для долгосрочной диверсификации экономики малых и моногородов.</w:t>
      </w:r>
    </w:p>
    <w:p>
      <w:pPr>
        <w:spacing w:after="0"/>
        <w:ind w:left="0"/>
        <w:jc w:val="both"/>
      </w:pPr>
      <w:r>
        <w:rPr>
          <w:rFonts w:ascii="Times New Roman"/>
          <w:b w:val="false"/>
          <w:i w:val="false"/>
          <w:color w:val="000000"/>
          <w:sz w:val="28"/>
        </w:rPr>
        <w:t>
      Местными исполнительными органами совместно с уполномоченным органом в области государственной поддержки индустриально-инновационной деятельности будут отобраны 1–3 "якорных" инвестиционных проектов для реализации в каждом малом и моногороде.</w:t>
      </w:r>
    </w:p>
    <w:p>
      <w:pPr>
        <w:spacing w:after="0"/>
        <w:ind w:left="0"/>
        <w:jc w:val="both"/>
      </w:pPr>
      <w:r>
        <w:rPr>
          <w:rFonts w:ascii="Times New Roman"/>
          <w:b w:val="false"/>
          <w:i w:val="false"/>
          <w:color w:val="000000"/>
          <w:sz w:val="28"/>
        </w:rPr>
        <w:t>
      Развитие экономического потенциала малых и моногородов будет осуществляться по следующим направлениям:</w:t>
      </w:r>
    </w:p>
    <w:p>
      <w:pPr>
        <w:spacing w:after="0"/>
        <w:ind w:left="0"/>
        <w:jc w:val="both"/>
      </w:pPr>
      <w:r>
        <w:rPr>
          <w:rFonts w:ascii="Times New Roman"/>
          <w:b w:val="false"/>
          <w:i w:val="false"/>
          <w:color w:val="000000"/>
          <w:sz w:val="28"/>
        </w:rPr>
        <w:t>
      1) размещение национальными холдингами вспомогательных и обслуживающих производств, заказов в малых и моногородах с учетом их специфики.</w:t>
      </w:r>
    </w:p>
    <w:p>
      <w:pPr>
        <w:spacing w:after="0"/>
        <w:ind w:left="0"/>
        <w:jc w:val="both"/>
      </w:pPr>
      <w:r>
        <w:rPr>
          <w:rFonts w:ascii="Times New Roman"/>
          <w:b w:val="false"/>
          <w:i w:val="false"/>
          <w:color w:val="000000"/>
          <w:sz w:val="28"/>
        </w:rPr>
        <w:t>
      АО "ФНБ "Самрук-Казына", АО "НУХ "КазАгро" будут приняты меры по возможной реализации инвестиционных проектов в малых и моногородах, исходя из специфики компании, финансово-экономической и производственной целесообразности проекта;</w:t>
      </w:r>
    </w:p>
    <w:p>
      <w:pPr>
        <w:spacing w:after="0"/>
        <w:ind w:left="0"/>
        <w:jc w:val="both"/>
      </w:pPr>
      <w:r>
        <w:rPr>
          <w:rFonts w:ascii="Times New Roman"/>
          <w:b w:val="false"/>
          <w:i w:val="false"/>
          <w:color w:val="000000"/>
          <w:sz w:val="28"/>
        </w:rPr>
        <w:t>
      2) размещение градообразующими предприятиями вспомогательных и обслуживающих производств, заказов в малых и моногородах с учетом их специфики.</w:t>
      </w:r>
    </w:p>
    <w:p>
      <w:pPr>
        <w:spacing w:after="0"/>
        <w:ind w:left="0"/>
        <w:jc w:val="both"/>
      </w:pPr>
      <w:r>
        <w:rPr>
          <w:rFonts w:ascii="Times New Roman"/>
          <w:b w:val="false"/>
          <w:i w:val="false"/>
          <w:color w:val="000000"/>
          <w:sz w:val="28"/>
        </w:rPr>
        <w:t>
      Местными исполнительными органами совместно с градообразующими предприятиями будут приняты меры по реализации не менее одного инвестиционного проекта в каждом малом и моногороде в соответствии с его специализацией;</w:t>
      </w:r>
    </w:p>
    <w:p>
      <w:pPr>
        <w:spacing w:after="0"/>
        <w:ind w:left="0"/>
        <w:jc w:val="both"/>
      </w:pPr>
      <w:r>
        <w:rPr>
          <w:rFonts w:ascii="Times New Roman"/>
          <w:b w:val="false"/>
          <w:i w:val="false"/>
          <w:color w:val="000000"/>
          <w:sz w:val="28"/>
        </w:rPr>
        <w:t>
      3) восстановление прежней специализации в малых и моногородах путем:</w:t>
      </w:r>
    </w:p>
    <w:p>
      <w:pPr>
        <w:spacing w:after="0"/>
        <w:ind w:left="0"/>
        <w:jc w:val="both"/>
      </w:pPr>
      <w:r>
        <w:rPr>
          <w:rFonts w:ascii="Times New Roman"/>
          <w:b w:val="false"/>
          <w:i w:val="false"/>
          <w:color w:val="000000"/>
          <w:sz w:val="28"/>
        </w:rPr>
        <w:t>
      привлечения стратегического инвестора для модернизации действующей либо создания новой специализации.</w:t>
      </w:r>
    </w:p>
    <w:p>
      <w:pPr>
        <w:spacing w:after="0"/>
        <w:ind w:left="0"/>
        <w:jc w:val="both"/>
      </w:pPr>
      <w:r>
        <w:rPr>
          <w:rFonts w:ascii="Times New Roman"/>
          <w:b w:val="false"/>
          <w:i w:val="false"/>
          <w:color w:val="000000"/>
          <w:sz w:val="28"/>
        </w:rPr>
        <w:t>
      Для привлечения стратегического инвестора в рамках Программы уполномоченным органом в области государственной поддержки индустриально-инновационной деятельности будут приняты меры по оказанию государственной поддержки в рамках Национального плана по привлечению инвестиций.</w:t>
      </w:r>
    </w:p>
    <w:p>
      <w:pPr>
        <w:spacing w:after="0"/>
        <w:ind w:left="0"/>
        <w:jc w:val="both"/>
      </w:pPr>
      <w:r>
        <w:rPr>
          <w:rFonts w:ascii="Times New Roman"/>
          <w:b w:val="false"/>
          <w:i w:val="false"/>
          <w:color w:val="000000"/>
          <w:sz w:val="28"/>
        </w:rPr>
        <w:t>
      Кроме того, юридическим лицам, реализующим инвестиционные стратегические проекты в малых и моногородах с низким и средним потенциалом, будут предоставляться промышленные льготы путем возмещения или оплаты части их затрат на газ, электроэнергию, приобретение земельного участка и приобретение (строительство) зданий, сооружений.</w:t>
      </w:r>
    </w:p>
    <w:p>
      <w:pPr>
        <w:spacing w:after="0"/>
        <w:ind w:left="0"/>
        <w:jc w:val="both"/>
      </w:pPr>
      <w:r>
        <w:rPr>
          <w:rFonts w:ascii="Times New Roman"/>
          <w:b w:val="false"/>
          <w:i w:val="false"/>
          <w:color w:val="000000"/>
          <w:sz w:val="28"/>
        </w:rPr>
        <w:t>
      Также будут рассмотрены возможности предоставления права недропользования на основе прямых переговоров с уполномоченным органом в сфере недропользования для предприятий с ограниченным сроком эксплуатации отрабатываемого месторождения полезных ископаемых:</w:t>
      </w:r>
    </w:p>
    <w:p>
      <w:pPr>
        <w:spacing w:after="0"/>
        <w:ind w:left="0"/>
        <w:jc w:val="both"/>
      </w:pPr>
      <w:r>
        <w:rPr>
          <w:rFonts w:ascii="Times New Roman"/>
          <w:b w:val="false"/>
          <w:i w:val="false"/>
          <w:color w:val="000000"/>
          <w:sz w:val="28"/>
        </w:rPr>
        <w:t>
      1) выявление перспективных месторождений полезных ископаемых, находящихся вблизи малых и моногородов, с определением мер по их доразведке с участием АО "НК "Казгеология" или частных инвесторов, заинтересованных в расширении сырьевой базы предприятий;</w:t>
      </w:r>
    </w:p>
    <w:p>
      <w:pPr>
        <w:spacing w:after="0"/>
        <w:ind w:left="0"/>
        <w:jc w:val="both"/>
      </w:pPr>
      <w:r>
        <w:rPr>
          <w:rFonts w:ascii="Times New Roman"/>
          <w:b w:val="false"/>
          <w:i w:val="false"/>
          <w:color w:val="000000"/>
          <w:sz w:val="28"/>
        </w:rPr>
        <w:t>
      2) решение проблем "тупиковости" и развитие транзитного потенциала малых и моногородов.</w:t>
      </w:r>
    </w:p>
    <w:p>
      <w:pPr>
        <w:spacing w:after="0"/>
        <w:ind w:left="0"/>
        <w:jc w:val="both"/>
      </w:pPr>
      <w:r>
        <w:rPr>
          <w:rFonts w:ascii="Times New Roman"/>
          <w:b w:val="false"/>
          <w:i w:val="false"/>
          <w:color w:val="000000"/>
          <w:sz w:val="28"/>
        </w:rPr>
        <w:t>
      Местными исполнительными органами, уполномоченным органом в сфере транспорта совместно с АО "ФНБ "Самрук-Казына" для решения проблем тупиковости будут приняты меры по развитию транспортной инфраструктуры.</w:t>
      </w:r>
    </w:p>
    <w:p>
      <w:pPr>
        <w:spacing w:after="0"/>
        <w:ind w:left="0"/>
        <w:jc w:val="both"/>
      </w:pPr>
      <w:r>
        <w:rPr>
          <w:rFonts w:ascii="Times New Roman"/>
          <w:b w:val="false"/>
          <w:i w:val="false"/>
          <w:color w:val="000000"/>
          <w:sz w:val="28"/>
        </w:rPr>
        <w:t>
      3. Развитие инфраструктуры малых и моногородов</w:t>
      </w:r>
    </w:p>
    <w:p>
      <w:pPr>
        <w:spacing w:after="0"/>
        <w:ind w:left="0"/>
        <w:jc w:val="both"/>
      </w:pPr>
      <w:r>
        <w:rPr>
          <w:rFonts w:ascii="Times New Roman"/>
          <w:b w:val="false"/>
          <w:i w:val="false"/>
          <w:color w:val="000000"/>
          <w:sz w:val="28"/>
        </w:rPr>
        <w:t>
      В целях повышения эффективности бюджетных расходов развитие инфраструктуры малых и моногородов будет осуществляться с учетом долгосрочных перспектив их развития в зависимости от степени потенциала развития городов.</w:t>
      </w:r>
    </w:p>
    <w:p>
      <w:pPr>
        <w:spacing w:after="0"/>
        <w:ind w:left="0"/>
        <w:jc w:val="both"/>
      </w:pPr>
      <w:r>
        <w:rPr>
          <w:rFonts w:ascii="Times New Roman"/>
          <w:b w:val="false"/>
          <w:i w:val="false"/>
          <w:color w:val="000000"/>
          <w:sz w:val="28"/>
        </w:rPr>
        <w:t>
      В рамках данного направления будет осуществляться преимущественное финансирование строительства и (или) реконструкции инфраструктуры жизнеобеспечения на оптимальную численность населения малых и моногородов с высоким и средним потенциалом, находящихся в зоне влияния агломераций, а также являющихся центрами обрабатывающей промышленности, транспортно-промышленными центрами (узлами) или обладающих туристско-рекреационных потенциалом.</w:t>
      </w:r>
    </w:p>
    <w:p>
      <w:pPr>
        <w:spacing w:after="0"/>
        <w:ind w:left="0"/>
        <w:jc w:val="both"/>
      </w:pPr>
      <w:r>
        <w:rPr>
          <w:rFonts w:ascii="Times New Roman"/>
          <w:b w:val="false"/>
          <w:i w:val="false"/>
          <w:color w:val="000000"/>
          <w:sz w:val="28"/>
        </w:rPr>
        <w:t>
      По малым и моногородам с высоким и средним потенциалом, по которым МВК принято решение по дальнейшему развитию, инвестиционные проекты финансируются в порядке, утвержденном бюджетным законодательством.</w:t>
      </w:r>
    </w:p>
    <w:p>
      <w:pPr>
        <w:spacing w:after="0"/>
        <w:ind w:left="0"/>
        <w:jc w:val="both"/>
      </w:pPr>
      <w:r>
        <w:rPr>
          <w:rFonts w:ascii="Times New Roman"/>
          <w:b w:val="false"/>
          <w:i w:val="false"/>
          <w:color w:val="000000"/>
          <w:sz w:val="28"/>
        </w:rPr>
        <w:t>
      При этом в первоочередном порядке решаются наиболее острые вопросы жизнеобеспечения города (тепло-, водо -, электро-, газоснабжение, дороги, снос аварийного и ветхого жилья, благоустройство и экология).</w:t>
      </w:r>
    </w:p>
    <w:p>
      <w:pPr>
        <w:spacing w:after="0"/>
        <w:ind w:left="0"/>
        <w:jc w:val="both"/>
      </w:pPr>
      <w:r>
        <w:rPr>
          <w:rFonts w:ascii="Times New Roman"/>
          <w:b w:val="false"/>
          <w:i w:val="false"/>
          <w:color w:val="000000"/>
          <w:sz w:val="28"/>
        </w:rPr>
        <w:t>
      В случаях принудительного отчуждения земельных участков и иного недвижимого имущества в связи с изъятием земельных участков для государственных нужд в моногородах по решению МВК по вопросам региональной политики предусматривается строительство жилья для граждан, подлежащих переселению.</w:t>
      </w:r>
    </w:p>
    <w:p>
      <w:pPr>
        <w:spacing w:after="0"/>
        <w:ind w:left="0"/>
        <w:jc w:val="both"/>
      </w:pPr>
      <w:r>
        <w:rPr>
          <w:rFonts w:ascii="Times New Roman"/>
          <w:b w:val="false"/>
          <w:i w:val="false"/>
          <w:color w:val="000000"/>
          <w:sz w:val="28"/>
        </w:rPr>
        <w:t>
      Кроме того, в рамках данного направления за счет текущих целевых трансфертов из республиканского бюджета будут профинансированы следующие мероприятия:</w:t>
      </w:r>
    </w:p>
    <w:p>
      <w:pPr>
        <w:spacing w:after="0"/>
        <w:ind w:left="0"/>
        <w:jc w:val="both"/>
      </w:pPr>
      <w:r>
        <w:rPr>
          <w:rFonts w:ascii="Times New Roman"/>
          <w:b w:val="false"/>
          <w:i w:val="false"/>
          <w:color w:val="000000"/>
          <w:sz w:val="28"/>
        </w:rPr>
        <w:t xml:space="preserve">
      1) ремонт транспортной инфраструктуры (внутригородские дороги, плотины, дамбы и мосты); </w:t>
      </w:r>
    </w:p>
    <w:p>
      <w:pPr>
        <w:spacing w:after="0"/>
        <w:ind w:left="0"/>
        <w:jc w:val="both"/>
      </w:pPr>
      <w:r>
        <w:rPr>
          <w:rFonts w:ascii="Times New Roman"/>
          <w:b w:val="false"/>
          <w:i w:val="false"/>
          <w:color w:val="000000"/>
          <w:sz w:val="28"/>
        </w:rPr>
        <w:t>
      2) коммунальное хозяйство: сохранение фонда жилых домов и вывоз мусора, ликвидация несанкционированных свалок, снос бесхозных объектов, обустройство имеющихся полигонов твердых бытовых отходов и скотомогильников, ремонт отопительной системы, установка дворовых детских игровых площадок;</w:t>
      </w:r>
    </w:p>
    <w:p>
      <w:pPr>
        <w:spacing w:after="0"/>
        <w:ind w:left="0"/>
        <w:jc w:val="both"/>
      </w:pPr>
      <w:r>
        <w:rPr>
          <w:rFonts w:ascii="Times New Roman"/>
          <w:b w:val="false"/>
          <w:i w:val="false"/>
          <w:color w:val="000000"/>
          <w:sz w:val="28"/>
        </w:rPr>
        <w:t>
      3) мероприятия по благоустройству населенных пунктов.</w:t>
      </w:r>
    </w:p>
    <w:p>
      <w:pPr>
        <w:spacing w:after="0"/>
        <w:ind w:left="0"/>
        <w:jc w:val="both"/>
      </w:pPr>
      <w:r>
        <w:rPr>
          <w:rFonts w:ascii="Times New Roman"/>
          <w:b w:val="false"/>
          <w:i w:val="false"/>
          <w:color w:val="000000"/>
          <w:sz w:val="28"/>
        </w:rPr>
        <w:t>
      4. Развитие сельских территорий, включая опорные</w:t>
      </w:r>
    </w:p>
    <w:p>
      <w:pPr>
        <w:spacing w:after="0"/>
        <w:ind w:left="0"/>
        <w:jc w:val="both"/>
      </w:pPr>
      <w:r>
        <w:rPr>
          <w:rFonts w:ascii="Times New Roman"/>
          <w:b w:val="false"/>
          <w:i w:val="false"/>
          <w:color w:val="000000"/>
          <w:sz w:val="28"/>
        </w:rPr>
        <w:t>
      сельские населенные пункты</w:t>
      </w:r>
    </w:p>
    <w:p>
      <w:pPr>
        <w:spacing w:after="0"/>
        <w:ind w:left="0"/>
        <w:jc w:val="both"/>
      </w:pPr>
      <w:r>
        <w:rPr>
          <w:rFonts w:ascii="Times New Roman"/>
          <w:b w:val="false"/>
          <w:i w:val="false"/>
          <w:color w:val="000000"/>
          <w:sz w:val="28"/>
        </w:rPr>
        <w:t>
      Достижение поставленной задачи по развитию сельских территорий будет осуществляться по следующим направлениям:</w:t>
      </w:r>
    </w:p>
    <w:p>
      <w:pPr>
        <w:spacing w:after="0"/>
        <w:ind w:left="0"/>
        <w:jc w:val="both"/>
      </w:pPr>
      <w:r>
        <w:rPr>
          <w:rFonts w:ascii="Times New Roman"/>
          <w:b w:val="false"/>
          <w:i w:val="false"/>
          <w:color w:val="000000"/>
          <w:sz w:val="28"/>
        </w:rPr>
        <w:t xml:space="preserve">
      1) развитие районных центров и опорных СНП; </w:t>
      </w:r>
    </w:p>
    <w:p>
      <w:pPr>
        <w:spacing w:after="0"/>
        <w:ind w:left="0"/>
        <w:jc w:val="both"/>
      </w:pPr>
      <w:r>
        <w:rPr>
          <w:rFonts w:ascii="Times New Roman"/>
          <w:b w:val="false"/>
          <w:i w:val="false"/>
          <w:color w:val="000000"/>
          <w:sz w:val="28"/>
        </w:rPr>
        <w:t xml:space="preserve">
      2) развитие центров сельских округов, сел и поселков; </w:t>
      </w:r>
    </w:p>
    <w:p>
      <w:pPr>
        <w:spacing w:after="0"/>
        <w:ind w:left="0"/>
        <w:jc w:val="both"/>
      </w:pPr>
      <w:r>
        <w:rPr>
          <w:rFonts w:ascii="Times New Roman"/>
          <w:b w:val="false"/>
          <w:i w:val="false"/>
          <w:color w:val="000000"/>
          <w:sz w:val="28"/>
        </w:rPr>
        <w:t xml:space="preserve">
      3) развитие других СНП с высоким и средним потенциалом развития; </w:t>
      </w:r>
    </w:p>
    <w:p>
      <w:pPr>
        <w:spacing w:after="0"/>
        <w:ind w:left="0"/>
        <w:jc w:val="both"/>
      </w:pPr>
      <w:r>
        <w:rPr>
          <w:rFonts w:ascii="Times New Roman"/>
          <w:b w:val="false"/>
          <w:i w:val="false"/>
          <w:color w:val="000000"/>
          <w:sz w:val="28"/>
        </w:rPr>
        <w:t xml:space="preserve">
      4) повышение кадрового потенциала сельской местности; </w:t>
      </w:r>
    </w:p>
    <w:p>
      <w:pPr>
        <w:spacing w:after="0"/>
        <w:ind w:left="0"/>
        <w:jc w:val="both"/>
      </w:pPr>
      <w:r>
        <w:rPr>
          <w:rFonts w:ascii="Times New Roman"/>
          <w:b w:val="false"/>
          <w:i w:val="false"/>
          <w:color w:val="000000"/>
          <w:sz w:val="28"/>
        </w:rPr>
        <w:t xml:space="preserve">
      5) финансовая поддержка местного самоуправления. </w:t>
      </w:r>
    </w:p>
    <w:p>
      <w:pPr>
        <w:spacing w:after="0"/>
        <w:ind w:left="0"/>
        <w:jc w:val="both"/>
      </w:pPr>
      <w:r>
        <w:rPr>
          <w:rFonts w:ascii="Times New Roman"/>
          <w:b w:val="false"/>
          <w:i w:val="false"/>
          <w:color w:val="000000"/>
          <w:sz w:val="28"/>
        </w:rPr>
        <w:t xml:space="preserve">
      Для оценки текущего состояния сельских территорий местными исполнительными органами будет осуществлен мониторинг производственной, социальной и инженерной инфраструктур СНП и на его основе будет определен потенциал их развития в соответствии с критериями для определения населенных пунктов с низким, средним и высоким потенциалами социально-экономического развития, разработанных и утвержденных уполномоченным органом в области регионального развития. </w:t>
      </w:r>
    </w:p>
    <w:p>
      <w:pPr>
        <w:spacing w:after="0"/>
        <w:ind w:left="0"/>
        <w:jc w:val="both"/>
      </w:pPr>
      <w:r>
        <w:rPr>
          <w:rFonts w:ascii="Times New Roman"/>
          <w:b w:val="false"/>
          <w:i w:val="false"/>
          <w:color w:val="000000"/>
          <w:sz w:val="28"/>
        </w:rPr>
        <w:t>
      Перечень опорных СНП определяется местными исполнительными органами в соответствии с методикой определения опорных сельских населенных пунктов, утвержденной центральным уполномоченным органом по вопросам регионального развития.</w:t>
      </w:r>
    </w:p>
    <w:p>
      <w:pPr>
        <w:spacing w:after="0"/>
        <w:ind w:left="0"/>
        <w:jc w:val="both"/>
      </w:pPr>
      <w:r>
        <w:rPr>
          <w:rFonts w:ascii="Times New Roman"/>
          <w:b w:val="false"/>
          <w:i w:val="false"/>
          <w:color w:val="000000"/>
          <w:sz w:val="28"/>
        </w:rPr>
        <w:t xml:space="preserve">
      1. Развитие опорных СНП и районных центров будет осуществляться на основании индивидуальных планов комплексного развития, в которых будут учтены следующие компоненты: </w:t>
      </w:r>
    </w:p>
    <w:p>
      <w:pPr>
        <w:spacing w:after="0"/>
        <w:ind w:left="0"/>
        <w:jc w:val="both"/>
      </w:pPr>
      <w:r>
        <w:rPr>
          <w:rFonts w:ascii="Times New Roman"/>
          <w:b w:val="false"/>
          <w:i w:val="false"/>
          <w:color w:val="000000"/>
          <w:sz w:val="28"/>
        </w:rPr>
        <w:t>
      1) развитие экономической деятельности в опорных СНП.</w:t>
      </w:r>
    </w:p>
    <w:p>
      <w:pPr>
        <w:spacing w:after="0"/>
        <w:ind w:left="0"/>
        <w:jc w:val="both"/>
      </w:pPr>
      <w:r>
        <w:rPr>
          <w:rFonts w:ascii="Times New Roman"/>
          <w:b w:val="false"/>
          <w:i w:val="false"/>
          <w:color w:val="000000"/>
          <w:sz w:val="28"/>
        </w:rPr>
        <w:t xml:space="preserve">
      Данный компонент нацелен на развитие производственной сферы в опорных СНП, обеспечение условий для устойчивого ведения сельскохозяйственного и промышленного производства, повышение доходов сельского населения. </w:t>
      </w:r>
    </w:p>
    <w:p>
      <w:pPr>
        <w:spacing w:after="0"/>
        <w:ind w:left="0"/>
        <w:jc w:val="both"/>
      </w:pPr>
      <w:r>
        <w:rPr>
          <w:rFonts w:ascii="Times New Roman"/>
          <w:b w:val="false"/>
          <w:i w:val="false"/>
          <w:color w:val="000000"/>
          <w:sz w:val="28"/>
        </w:rPr>
        <w:t>
      Решение задач в рамках первого компонента осуществляется за счет реализации инвестиционных проектов для формирования градообразующих предприятий, расширения и модернизации действующего производства, развития малого и среднего бизнеса.</w:t>
      </w:r>
    </w:p>
    <w:p>
      <w:pPr>
        <w:spacing w:after="0"/>
        <w:ind w:left="0"/>
        <w:jc w:val="both"/>
      </w:pPr>
      <w:r>
        <w:rPr>
          <w:rFonts w:ascii="Times New Roman"/>
          <w:b w:val="false"/>
          <w:i w:val="false"/>
          <w:color w:val="000000"/>
          <w:sz w:val="28"/>
        </w:rPr>
        <w:t>
      Внедрение инвестиционных проектов позволит создать базовое градообразующее производство, которое будет являться основным инструментом развития производственного потенциала опорных СНП, способствовать поднятию экономики, повышению экспортного потенциала, созданию дополнительных рабочих мест.</w:t>
      </w:r>
    </w:p>
    <w:p>
      <w:pPr>
        <w:spacing w:after="0"/>
        <w:ind w:left="0"/>
        <w:jc w:val="both"/>
      </w:pPr>
      <w:r>
        <w:rPr>
          <w:rFonts w:ascii="Times New Roman"/>
          <w:b w:val="false"/>
          <w:i w:val="false"/>
          <w:color w:val="000000"/>
          <w:sz w:val="28"/>
        </w:rPr>
        <w:t>
      Для развития малого и среднего бизнеса в опорных СНП будут открываться центры поддержки предпринимательства для оказания юридических, финансовых и других услуг начинающим предпринимателям;</w:t>
      </w:r>
    </w:p>
    <w:p>
      <w:pPr>
        <w:spacing w:after="0"/>
        <w:ind w:left="0"/>
        <w:jc w:val="both"/>
      </w:pPr>
      <w:r>
        <w:rPr>
          <w:rFonts w:ascii="Times New Roman"/>
          <w:b w:val="false"/>
          <w:i w:val="false"/>
          <w:color w:val="000000"/>
          <w:sz w:val="28"/>
        </w:rPr>
        <w:t>
      2) развитие социальной и инженерной инфраструктуры в опорных СНП.</w:t>
      </w:r>
    </w:p>
    <w:p>
      <w:pPr>
        <w:spacing w:after="0"/>
        <w:ind w:left="0"/>
        <w:jc w:val="both"/>
      </w:pPr>
      <w:r>
        <w:rPr>
          <w:rFonts w:ascii="Times New Roman"/>
          <w:b w:val="false"/>
          <w:i w:val="false"/>
          <w:color w:val="000000"/>
          <w:sz w:val="28"/>
        </w:rPr>
        <w:t xml:space="preserve">
      Данный компонент в целом ориентирован на улучшение качества жизни населения, проживающего в сельской местности путем реализации инфраструктурных проектов в опорных СНП. </w:t>
      </w:r>
    </w:p>
    <w:p>
      <w:pPr>
        <w:spacing w:after="0"/>
        <w:ind w:left="0"/>
        <w:jc w:val="both"/>
      </w:pPr>
      <w:r>
        <w:rPr>
          <w:rFonts w:ascii="Times New Roman"/>
          <w:b w:val="false"/>
          <w:i w:val="false"/>
          <w:color w:val="000000"/>
          <w:sz w:val="28"/>
        </w:rPr>
        <w:t>
      Инфраструктурные проекты включают:</w:t>
      </w:r>
    </w:p>
    <w:p>
      <w:pPr>
        <w:spacing w:after="0"/>
        <w:ind w:left="0"/>
        <w:jc w:val="both"/>
      </w:pPr>
      <w:r>
        <w:rPr>
          <w:rFonts w:ascii="Times New Roman"/>
          <w:b w:val="false"/>
          <w:i w:val="false"/>
          <w:color w:val="000000"/>
          <w:sz w:val="28"/>
        </w:rPr>
        <w:t xml:space="preserve">
      строительство, капитальный, средний и текущий ремонт объектов жилищно-коммунального хозяйства (объекты водоснабжения, канализации, системы газо-, тепло-, электроснабжения); </w:t>
      </w:r>
    </w:p>
    <w:p>
      <w:pPr>
        <w:spacing w:after="0"/>
        <w:ind w:left="0"/>
        <w:jc w:val="both"/>
      </w:pPr>
      <w:r>
        <w:rPr>
          <w:rFonts w:ascii="Times New Roman"/>
          <w:b w:val="false"/>
          <w:i w:val="false"/>
          <w:color w:val="000000"/>
          <w:sz w:val="28"/>
        </w:rPr>
        <w:t xml:space="preserve">
      строительство, капитальный, средний и текущий ремонт инженерно-транспортной инфраструктуры (внутрипоселковые и внутрисельские дороги, подъездные дороги, плотины, дамбы и мосты); </w:t>
      </w:r>
    </w:p>
    <w:p>
      <w:pPr>
        <w:spacing w:after="0"/>
        <w:ind w:left="0"/>
        <w:jc w:val="both"/>
      </w:pPr>
      <w:r>
        <w:rPr>
          <w:rFonts w:ascii="Times New Roman"/>
          <w:b w:val="false"/>
          <w:i w:val="false"/>
          <w:color w:val="000000"/>
          <w:sz w:val="28"/>
        </w:rPr>
        <w:t>
      строительство и капитальный ремонт жилья, снос аварийного жилья;</w:t>
      </w:r>
    </w:p>
    <w:p>
      <w:pPr>
        <w:spacing w:after="0"/>
        <w:ind w:left="0"/>
        <w:jc w:val="both"/>
      </w:pPr>
      <w:r>
        <w:rPr>
          <w:rFonts w:ascii="Times New Roman"/>
          <w:b w:val="false"/>
          <w:i w:val="false"/>
          <w:color w:val="000000"/>
          <w:sz w:val="28"/>
        </w:rPr>
        <w:t>
      благоустройство населенных пунктов (освещение и озеленение улиц, парков, скверов, снос бесхозных объектов, обустройство полигонов твердых бытовых отходов, малых архитектурных форм, ограждений, детских игровых и спортивных площадок);</w:t>
      </w:r>
    </w:p>
    <w:p>
      <w:pPr>
        <w:spacing w:after="0"/>
        <w:ind w:left="0"/>
        <w:jc w:val="both"/>
      </w:pPr>
      <w:r>
        <w:rPr>
          <w:rFonts w:ascii="Times New Roman"/>
          <w:b w:val="false"/>
          <w:i w:val="false"/>
          <w:color w:val="000000"/>
          <w:sz w:val="28"/>
        </w:rPr>
        <w:t>
      3) Развитие транспортной доступности в опорных СНП.</w:t>
      </w:r>
    </w:p>
    <w:p>
      <w:pPr>
        <w:spacing w:after="0"/>
        <w:ind w:left="0"/>
        <w:jc w:val="both"/>
      </w:pPr>
      <w:r>
        <w:rPr>
          <w:rFonts w:ascii="Times New Roman"/>
          <w:b w:val="false"/>
          <w:i w:val="false"/>
          <w:color w:val="000000"/>
          <w:sz w:val="28"/>
        </w:rPr>
        <w:t xml:space="preserve">
      Третий компонент нацелен на развитие дорог областного и районного значения, обеспечивающих транспортную доступность до рынков сбыта и снабжения, между опорными селами и другими населенными пунктами, входящих в зону притяжения опорных СНП. </w:t>
      </w:r>
    </w:p>
    <w:p>
      <w:pPr>
        <w:spacing w:after="0"/>
        <w:ind w:left="0"/>
        <w:jc w:val="both"/>
      </w:pPr>
      <w:r>
        <w:rPr>
          <w:rFonts w:ascii="Times New Roman"/>
          <w:b w:val="false"/>
          <w:i w:val="false"/>
          <w:color w:val="000000"/>
          <w:sz w:val="28"/>
        </w:rPr>
        <w:t>
      Развитие сети автомобильных дорог местного значения обеспечивает мобильность населения и доступ к материальным ресурсам, позволяет расширить производственные возможности экономики села за счет снижения транспортных издержек и затрат времени на перевозки.</w:t>
      </w:r>
    </w:p>
    <w:p>
      <w:pPr>
        <w:spacing w:after="0"/>
        <w:ind w:left="0"/>
        <w:jc w:val="both"/>
      </w:pPr>
      <w:r>
        <w:rPr>
          <w:rFonts w:ascii="Times New Roman"/>
          <w:b w:val="false"/>
          <w:i w:val="false"/>
          <w:color w:val="000000"/>
          <w:sz w:val="28"/>
        </w:rPr>
        <w:t xml:space="preserve">
      В целях развития и доведения технического состояния автомобильных дорог областного и районного значения до уровня, соответствующего нормативным требованиям, будут реализоваться следующие виды работ: </w:t>
      </w:r>
    </w:p>
    <w:p>
      <w:pPr>
        <w:spacing w:after="0"/>
        <w:ind w:left="0"/>
        <w:jc w:val="both"/>
      </w:pPr>
      <w:r>
        <w:rPr>
          <w:rFonts w:ascii="Times New Roman"/>
          <w:b w:val="false"/>
          <w:i w:val="false"/>
          <w:color w:val="000000"/>
          <w:sz w:val="28"/>
        </w:rPr>
        <w:t>
      строительство и реконструкция;</w:t>
      </w:r>
    </w:p>
    <w:p>
      <w:pPr>
        <w:spacing w:after="0"/>
        <w:ind w:left="0"/>
        <w:jc w:val="both"/>
      </w:pPr>
      <w:r>
        <w:rPr>
          <w:rFonts w:ascii="Times New Roman"/>
          <w:b w:val="false"/>
          <w:i w:val="false"/>
          <w:color w:val="000000"/>
          <w:sz w:val="28"/>
        </w:rPr>
        <w:t>
      капитальный, средний и текущий ремонт.</w:t>
      </w:r>
    </w:p>
    <w:p>
      <w:pPr>
        <w:spacing w:after="0"/>
        <w:ind w:left="0"/>
        <w:jc w:val="both"/>
      </w:pPr>
      <w:r>
        <w:rPr>
          <w:rFonts w:ascii="Times New Roman"/>
          <w:b w:val="false"/>
          <w:i w:val="false"/>
          <w:color w:val="000000"/>
          <w:sz w:val="28"/>
        </w:rPr>
        <w:t>
      При реализации данного компонента осуществление инфраструктурных проектов будет ориентировано исключительно на улучшение транспортной доступности населенных пунктов, входящих в зону оптимального радиуса обслуживания опорных СНП;</w:t>
      </w:r>
    </w:p>
    <w:p>
      <w:pPr>
        <w:spacing w:after="0"/>
        <w:ind w:left="0"/>
        <w:jc w:val="both"/>
      </w:pPr>
      <w:r>
        <w:rPr>
          <w:rFonts w:ascii="Times New Roman"/>
          <w:b w:val="false"/>
          <w:i w:val="false"/>
          <w:color w:val="000000"/>
          <w:sz w:val="28"/>
        </w:rPr>
        <w:t>
      4) Развитие и создание центров оказания государственных и коммерческих услуг.</w:t>
      </w:r>
    </w:p>
    <w:p>
      <w:pPr>
        <w:spacing w:after="0"/>
        <w:ind w:left="0"/>
        <w:jc w:val="both"/>
      </w:pPr>
      <w:r>
        <w:rPr>
          <w:rFonts w:ascii="Times New Roman"/>
          <w:b w:val="false"/>
          <w:i w:val="false"/>
          <w:color w:val="000000"/>
          <w:sz w:val="28"/>
        </w:rPr>
        <w:t xml:space="preserve">
      На сегодня центры оказания государственных и коммерческих услуг в основном расположены в районных центрах и городах, что затрудняет доступ сельского населения к получению необходимых услуг, особенно в отдаленных территориях. </w:t>
      </w:r>
    </w:p>
    <w:p>
      <w:pPr>
        <w:spacing w:after="0"/>
        <w:ind w:left="0"/>
        <w:jc w:val="both"/>
      </w:pPr>
      <w:r>
        <w:rPr>
          <w:rFonts w:ascii="Times New Roman"/>
          <w:b w:val="false"/>
          <w:i w:val="false"/>
          <w:color w:val="000000"/>
          <w:sz w:val="28"/>
        </w:rPr>
        <w:t>
      Реализация данного компонента позволит решить проблемы доступности к гарантированным государственным, социальным и коммерческим услугам в опорных СНП, которые в свою очередь будут оказывать услуги определенной группе сельских населенных пунктов, в пределах средств, предусмотренных в республиканском и местном бюджетах, а также за счет других источников.</w:t>
      </w:r>
    </w:p>
    <w:p>
      <w:pPr>
        <w:spacing w:after="0"/>
        <w:ind w:left="0"/>
        <w:jc w:val="both"/>
      </w:pPr>
      <w:r>
        <w:rPr>
          <w:rFonts w:ascii="Times New Roman"/>
          <w:b w:val="false"/>
          <w:i w:val="false"/>
          <w:color w:val="000000"/>
          <w:sz w:val="28"/>
        </w:rPr>
        <w:t>
      Реализация данного компонента будет осуществляться путем:</w:t>
      </w:r>
    </w:p>
    <w:p>
      <w:pPr>
        <w:spacing w:after="0"/>
        <w:ind w:left="0"/>
        <w:jc w:val="both"/>
      </w:pPr>
      <w:r>
        <w:rPr>
          <w:rFonts w:ascii="Times New Roman"/>
          <w:b w:val="false"/>
          <w:i w:val="false"/>
          <w:color w:val="000000"/>
          <w:sz w:val="28"/>
        </w:rPr>
        <w:t xml:space="preserve">
      1) развития и создания центров оказания государственных услуг за счет открытия отделов центров обслуживания населения, опорных пунктов полиции, регистрации актов гражданского состояния и других; </w:t>
      </w:r>
    </w:p>
    <w:p>
      <w:pPr>
        <w:spacing w:after="0"/>
        <w:ind w:left="0"/>
        <w:jc w:val="both"/>
      </w:pPr>
      <w:r>
        <w:rPr>
          <w:rFonts w:ascii="Times New Roman"/>
          <w:b w:val="false"/>
          <w:i w:val="false"/>
          <w:color w:val="000000"/>
          <w:sz w:val="28"/>
        </w:rPr>
        <w:t>
      2) развития и создания центров оказания коммерческих услуг за счет открытия отделений банков второго уровня, микрокредитных организаций, сельских кредитных товариществ, страховых компаний, нотариусов, сервисно-заготовительных центров, станций технического обслуживания и других, финансирование которых будет осуществляться за счет частных инвесторов и других источников.</w:t>
      </w:r>
    </w:p>
    <w:p>
      <w:pPr>
        <w:spacing w:after="0"/>
        <w:ind w:left="0"/>
        <w:jc w:val="both"/>
      </w:pPr>
      <w:r>
        <w:rPr>
          <w:rFonts w:ascii="Times New Roman"/>
          <w:b w:val="false"/>
          <w:i w:val="false"/>
          <w:color w:val="000000"/>
          <w:sz w:val="28"/>
        </w:rPr>
        <w:t xml:space="preserve">
      2. Развитие центров сельских округов, сел и поселков. </w:t>
      </w:r>
    </w:p>
    <w:p>
      <w:pPr>
        <w:spacing w:after="0"/>
        <w:ind w:left="0"/>
        <w:jc w:val="both"/>
      </w:pPr>
      <w:r>
        <w:rPr>
          <w:rFonts w:ascii="Times New Roman"/>
          <w:b w:val="false"/>
          <w:i w:val="false"/>
          <w:color w:val="000000"/>
          <w:sz w:val="28"/>
        </w:rPr>
        <w:t xml:space="preserve">
      Для реализации данного направления будут разработаны областные планы мероприятий, в которых будут предусмотрены меры по поддержке и расширению действующих предприятий, образованию средних и крупных сельхозпредприятий, развитию малого и среднего бизнеса, развитию сельской инфраструктуры, строительству жилья. </w:t>
      </w:r>
    </w:p>
    <w:p>
      <w:pPr>
        <w:spacing w:after="0"/>
        <w:ind w:left="0"/>
        <w:jc w:val="both"/>
      </w:pPr>
      <w:r>
        <w:rPr>
          <w:rFonts w:ascii="Times New Roman"/>
          <w:b w:val="false"/>
          <w:i w:val="false"/>
          <w:color w:val="000000"/>
          <w:sz w:val="28"/>
        </w:rPr>
        <w:t xml:space="preserve">
      При разработке областных планов мероприятий по развитию центров сельских округов, сел и поселков будут учтены природно-климатические условия, экономическая направленность СНП, специализация сельскохозяйственного производства, развитость сельской инфраструктуры и другие. </w:t>
      </w:r>
    </w:p>
    <w:p>
      <w:pPr>
        <w:spacing w:after="0"/>
        <w:ind w:left="0"/>
        <w:jc w:val="both"/>
      </w:pPr>
      <w:r>
        <w:rPr>
          <w:rFonts w:ascii="Times New Roman"/>
          <w:b w:val="false"/>
          <w:i w:val="false"/>
          <w:color w:val="000000"/>
          <w:sz w:val="28"/>
        </w:rPr>
        <w:t>
      Кроме этого, необходимо разработать или откорректировать генеральные планы за счет средств местных бюджетов, стратегия которых будет направлена на развитие и модернизацию социальной, жилищной и инженерной инфраструктур с учетом прогнозируемой в средне- и долгосрочной перспективе численности населения.</w:t>
      </w:r>
    </w:p>
    <w:p>
      <w:pPr>
        <w:spacing w:after="0"/>
        <w:ind w:left="0"/>
        <w:jc w:val="both"/>
      </w:pPr>
      <w:r>
        <w:rPr>
          <w:rFonts w:ascii="Times New Roman"/>
          <w:b w:val="false"/>
          <w:i w:val="false"/>
          <w:color w:val="000000"/>
          <w:sz w:val="28"/>
        </w:rPr>
        <w:t>
      Реализация задачи разработки или корректировки генеральных планов и схем застроек СНП, входящих в зону агломерации, будет осуществляться параллельно с разработкой межрегиональных схем территориального развития Республики Казахстан в соответствии с его стратегией.</w:t>
      </w:r>
    </w:p>
    <w:p>
      <w:pPr>
        <w:spacing w:after="0"/>
        <w:ind w:left="0"/>
        <w:jc w:val="both"/>
      </w:pPr>
      <w:r>
        <w:rPr>
          <w:rFonts w:ascii="Times New Roman"/>
          <w:b w:val="false"/>
          <w:i w:val="false"/>
          <w:color w:val="000000"/>
          <w:sz w:val="28"/>
        </w:rPr>
        <w:t xml:space="preserve">
      3. Для развития других СНП с высоким и средним потенциалом развития будут разработаны районные планы мероприятий, в которых будут предусмотрены меры по поддержке и развитию действующих предприятий, объединению мелкотоварных производств в средние и крупные сельхозпредприятия, развитию малого и среднего бизнеса, доведению до нормативной обеспеченности объектами социальной инфраструктуры, поддержке в нормальном состоянии сельской инфраструктуры. </w:t>
      </w:r>
    </w:p>
    <w:p>
      <w:pPr>
        <w:spacing w:after="0"/>
        <w:ind w:left="0"/>
        <w:jc w:val="both"/>
      </w:pPr>
      <w:r>
        <w:rPr>
          <w:rFonts w:ascii="Times New Roman"/>
          <w:b w:val="false"/>
          <w:i w:val="false"/>
          <w:color w:val="000000"/>
          <w:sz w:val="28"/>
        </w:rPr>
        <w:t>
      Планы комплексного развития опорных СНП и районных центров после согласования с уполномоченным органом в области регионального развития и другими заинтересованными центральными государственными органами будут утверждаться областными маслихатами.</w:t>
      </w:r>
    </w:p>
    <w:p>
      <w:pPr>
        <w:spacing w:after="0"/>
        <w:ind w:left="0"/>
        <w:jc w:val="both"/>
      </w:pPr>
      <w:r>
        <w:rPr>
          <w:rFonts w:ascii="Times New Roman"/>
          <w:b w:val="false"/>
          <w:i w:val="false"/>
          <w:color w:val="000000"/>
          <w:sz w:val="28"/>
        </w:rPr>
        <w:t>
      Областные планы мероприятий по развитию центров сельских округов, сел и поселков утверждаются областными маслихатами, а районные планы мероприятий по развитию других СНП с высоким и средним потенциалом развития будут утверждаться районными (городскими) маслихатами путем внесения изменений в программы развития территорий областей и районов.</w:t>
      </w:r>
    </w:p>
    <w:p>
      <w:pPr>
        <w:spacing w:after="0"/>
        <w:ind w:left="0"/>
        <w:jc w:val="both"/>
      </w:pPr>
      <w:r>
        <w:rPr>
          <w:rFonts w:ascii="Times New Roman"/>
          <w:b w:val="false"/>
          <w:i w:val="false"/>
          <w:color w:val="000000"/>
          <w:sz w:val="28"/>
        </w:rPr>
        <w:t xml:space="preserve">
      4. Повышение кадрового потенциала в сельской местности предусматривает государственную поддержку специалистов социальной сферы и агропромышленного комплекса, прибывших для работы и проживания в сельской местности, в виде выплаты подъемного пособия и обеспечения жильем. </w:t>
      </w:r>
    </w:p>
    <w:p>
      <w:pPr>
        <w:spacing w:after="0"/>
        <w:ind w:left="0"/>
        <w:jc w:val="both"/>
      </w:pPr>
      <w:r>
        <w:rPr>
          <w:rFonts w:ascii="Times New Roman"/>
          <w:b w:val="false"/>
          <w:i w:val="false"/>
          <w:color w:val="000000"/>
          <w:sz w:val="28"/>
        </w:rPr>
        <w:t>
      Государственная поддержка данного направления будет осуществляться в рамках проекта "С дипломом в село" и программ развития территорий областей.</w:t>
      </w:r>
    </w:p>
    <w:p>
      <w:pPr>
        <w:spacing w:after="0"/>
        <w:ind w:left="0"/>
        <w:jc w:val="both"/>
      </w:pPr>
      <w:r>
        <w:rPr>
          <w:rFonts w:ascii="Times New Roman"/>
          <w:b w:val="false"/>
          <w:i w:val="false"/>
          <w:color w:val="000000"/>
          <w:sz w:val="28"/>
        </w:rPr>
        <w:t>
      5. Финансовая поддержка местного самоуправления направлена на привлечение населения к выработке предложений по определению мероприятий по развитию СНП и улучшению жизнеобеспечения сельского населения.</w:t>
      </w:r>
    </w:p>
    <w:p>
      <w:pPr>
        <w:spacing w:after="0"/>
        <w:ind w:left="0"/>
        <w:jc w:val="both"/>
      </w:pPr>
      <w:r>
        <w:rPr>
          <w:rFonts w:ascii="Times New Roman"/>
          <w:b w:val="false"/>
          <w:i w:val="false"/>
          <w:color w:val="000000"/>
          <w:sz w:val="28"/>
        </w:rPr>
        <w:t>
      Реализация мероприятий будет осуществляться только в СНП с высоким и средним экономическим потенциалом социально-экономического развития в рамках финансовой поддержки местного самоуправления.</w:t>
      </w:r>
    </w:p>
    <w:p>
      <w:pPr>
        <w:spacing w:after="0"/>
        <w:ind w:left="0"/>
        <w:jc w:val="both"/>
      </w:pPr>
      <w:r>
        <w:rPr>
          <w:rFonts w:ascii="Times New Roman"/>
          <w:b w:val="false"/>
          <w:i w:val="false"/>
          <w:color w:val="000000"/>
          <w:sz w:val="28"/>
        </w:rPr>
        <w:t>
      Акимы села, поселка, сельского округа обеспечивают организацию собраний местного сообщества, на которых будут обсуждаться предложения и приниматься решения по отбору мероприятий, исходя из первоочередности и актуальности (принцип отбора мероприятий "снизу вверх").</w:t>
      </w:r>
    </w:p>
    <w:p>
      <w:pPr>
        <w:spacing w:after="0"/>
        <w:ind w:left="0"/>
        <w:jc w:val="both"/>
      </w:pPr>
      <w:r>
        <w:rPr>
          <w:rFonts w:ascii="Times New Roman"/>
          <w:b w:val="false"/>
          <w:i w:val="false"/>
          <w:color w:val="000000"/>
          <w:sz w:val="28"/>
        </w:rPr>
        <w:t>
      Финансовая поддержка местного самоуправления будет осуществляться по следующим направлениям:</w:t>
      </w:r>
    </w:p>
    <w:p>
      <w:pPr>
        <w:spacing w:after="0"/>
        <w:ind w:left="0"/>
        <w:jc w:val="both"/>
      </w:pPr>
      <w:r>
        <w:rPr>
          <w:rFonts w:ascii="Times New Roman"/>
          <w:b w:val="false"/>
          <w:i w:val="false"/>
          <w:color w:val="000000"/>
          <w:sz w:val="28"/>
        </w:rPr>
        <w:t>
      1) капитальный и текущий ремонт: объектов образования, здравоохранения, культуры, спорта, водоснабжения, газоснабжения;</w:t>
      </w:r>
    </w:p>
    <w:p>
      <w:pPr>
        <w:spacing w:after="0"/>
        <w:ind w:left="0"/>
        <w:jc w:val="both"/>
      </w:pPr>
      <w:r>
        <w:rPr>
          <w:rFonts w:ascii="Times New Roman"/>
          <w:b w:val="false"/>
          <w:i w:val="false"/>
          <w:color w:val="000000"/>
          <w:sz w:val="28"/>
        </w:rPr>
        <w:t>
      2) коммунальное хозяйство: освещение и озеленение улиц, снос бесхозных объектов, обустройство имеющихся полигонов твердых бытовых отходов и скотомогильников, ремонт отопительной системы, установка дворовых детских игровых площадок;</w:t>
      </w:r>
    </w:p>
    <w:p>
      <w:pPr>
        <w:spacing w:after="0"/>
        <w:ind w:left="0"/>
        <w:jc w:val="both"/>
      </w:pPr>
      <w:r>
        <w:rPr>
          <w:rFonts w:ascii="Times New Roman"/>
          <w:b w:val="false"/>
          <w:i w:val="false"/>
          <w:color w:val="000000"/>
          <w:sz w:val="28"/>
        </w:rPr>
        <w:t>
      3) транспортные коммуникации: капитальный, средний и текущий ремонт внутрипоселковых дорог и мостов, установка светофоров;</w:t>
      </w:r>
    </w:p>
    <w:p>
      <w:pPr>
        <w:spacing w:after="0"/>
        <w:ind w:left="0"/>
        <w:jc w:val="both"/>
      </w:pPr>
      <w:r>
        <w:rPr>
          <w:rFonts w:ascii="Times New Roman"/>
          <w:b w:val="false"/>
          <w:i w:val="false"/>
          <w:color w:val="000000"/>
          <w:sz w:val="28"/>
        </w:rPr>
        <w:t>
      4) сельское хозяйство: очистка водоемов, восстановление бесхозных гидротехнических сооружений;</w:t>
      </w:r>
    </w:p>
    <w:p>
      <w:pPr>
        <w:spacing w:after="0"/>
        <w:ind w:left="0"/>
        <w:jc w:val="both"/>
      </w:pPr>
      <w:r>
        <w:rPr>
          <w:rFonts w:ascii="Times New Roman"/>
          <w:b w:val="false"/>
          <w:i w:val="false"/>
          <w:color w:val="000000"/>
          <w:sz w:val="28"/>
        </w:rPr>
        <w:t>
      5) мероприятия по благоустройству населенных пунктов.</w:t>
      </w:r>
    </w:p>
    <w:p>
      <w:pPr>
        <w:spacing w:after="0"/>
        <w:ind w:left="0"/>
        <w:jc w:val="both"/>
      </w:pPr>
      <w:r>
        <w:rPr>
          <w:rFonts w:ascii="Times New Roman"/>
          <w:b w:val="false"/>
          <w:i w:val="false"/>
          <w:color w:val="000000"/>
          <w:sz w:val="28"/>
        </w:rPr>
        <w:t>
      При финансировании мероприятий по развитию сельских территорий будут использованы механизмы финансирования действующих государственных и отраслевых программ, программ развития территорий областей и районов. При этом все бюджетные инвестиционные проекты (далее – БИП) по развитию сельских территорий должны быть согласованы с центральным уполномоченным органом в области регионального развития и другими заинтересованными центральными государственными органами на соответствие планам комплексного развития и планам мероприятий.</w:t>
      </w:r>
    </w:p>
    <w:p>
      <w:pPr>
        <w:spacing w:after="0"/>
        <w:ind w:left="0"/>
        <w:jc w:val="both"/>
      </w:pPr>
      <w:r>
        <w:rPr>
          <w:rFonts w:ascii="Times New Roman"/>
          <w:b w:val="false"/>
          <w:i w:val="false"/>
          <w:color w:val="000000"/>
          <w:sz w:val="28"/>
        </w:rPr>
        <w:t xml:space="preserve">
      5. Развитие приграничных территорий </w:t>
      </w:r>
    </w:p>
    <w:p>
      <w:pPr>
        <w:spacing w:after="0"/>
        <w:ind w:left="0"/>
        <w:jc w:val="both"/>
      </w:pPr>
      <w:r>
        <w:rPr>
          <w:rFonts w:ascii="Times New Roman"/>
          <w:b w:val="false"/>
          <w:i w:val="false"/>
          <w:color w:val="000000"/>
          <w:sz w:val="28"/>
        </w:rPr>
        <w:t>
      Достижение поставленной задачи будет осуществляться по следующим направлениям:</w:t>
      </w:r>
    </w:p>
    <w:p>
      <w:pPr>
        <w:spacing w:after="0"/>
        <w:ind w:left="0"/>
        <w:jc w:val="both"/>
      </w:pPr>
      <w:r>
        <w:rPr>
          <w:rFonts w:ascii="Times New Roman"/>
          <w:b w:val="false"/>
          <w:i w:val="false"/>
          <w:color w:val="000000"/>
          <w:sz w:val="28"/>
        </w:rPr>
        <w:t>
      1) повышение административной значимости крупных поселений приграничных районов;</w:t>
      </w:r>
    </w:p>
    <w:p>
      <w:pPr>
        <w:spacing w:after="0"/>
        <w:ind w:left="0"/>
        <w:jc w:val="both"/>
      </w:pPr>
      <w:r>
        <w:rPr>
          <w:rFonts w:ascii="Times New Roman"/>
          <w:b w:val="false"/>
          <w:i w:val="false"/>
          <w:color w:val="000000"/>
          <w:sz w:val="28"/>
        </w:rPr>
        <w:t>
      2) определение перспективных населенных пунктов – узловых точек приграничного сотрудничества и мер по их развитию;</w:t>
      </w:r>
    </w:p>
    <w:p>
      <w:pPr>
        <w:spacing w:after="0"/>
        <w:ind w:left="0"/>
        <w:jc w:val="both"/>
      </w:pPr>
      <w:r>
        <w:rPr>
          <w:rFonts w:ascii="Times New Roman"/>
          <w:b w:val="false"/>
          <w:i w:val="false"/>
          <w:color w:val="000000"/>
          <w:sz w:val="28"/>
        </w:rPr>
        <w:t>
      3) развитие и обустройство инфраструктуры пунктов приграничного сотрудничества;</w:t>
      </w:r>
    </w:p>
    <w:p>
      <w:pPr>
        <w:spacing w:after="0"/>
        <w:ind w:left="0"/>
        <w:jc w:val="both"/>
      </w:pPr>
      <w:r>
        <w:rPr>
          <w:rFonts w:ascii="Times New Roman"/>
          <w:b w:val="false"/>
          <w:i w:val="false"/>
          <w:color w:val="000000"/>
          <w:sz w:val="28"/>
        </w:rPr>
        <w:t>
      4) диверсификация экономики приграничных территорий и развитие малого и среднего бизнеса.</w:t>
      </w:r>
    </w:p>
    <w:p>
      <w:pPr>
        <w:spacing w:after="0"/>
        <w:ind w:left="0"/>
        <w:jc w:val="both"/>
      </w:pPr>
      <w:r>
        <w:rPr>
          <w:rFonts w:ascii="Times New Roman"/>
          <w:b w:val="false"/>
          <w:i w:val="false"/>
          <w:color w:val="000000"/>
          <w:sz w:val="28"/>
        </w:rPr>
        <w:t>
      Реализация указанных направлений будет осуществляться в соответствии с утвержденными государственными и отраслевыми программами, программами развития территорий областей путем развития инфраструктуры приграничного сотрудничества, осуществления диверсификации производства, стимулирования становления малого бизнеса, улучшения местного инвестиционного климата и развития социальной и инженерной инфраструктуры за счет средств республиканского и местного бюджетов.</w:t>
      </w:r>
    </w:p>
    <w:p>
      <w:pPr>
        <w:spacing w:after="0"/>
        <w:ind w:left="0"/>
        <w:jc w:val="both"/>
      </w:pPr>
      <w:r>
        <w:rPr>
          <w:rFonts w:ascii="Times New Roman"/>
          <w:b w:val="false"/>
          <w:i w:val="false"/>
          <w:color w:val="000000"/>
          <w:sz w:val="28"/>
        </w:rPr>
        <w:t>
      1. Повышение административной значимости крупных поселений приграничных районов.</w:t>
      </w:r>
    </w:p>
    <w:p>
      <w:pPr>
        <w:spacing w:after="0"/>
        <w:ind w:left="0"/>
        <w:jc w:val="both"/>
      </w:pPr>
      <w:r>
        <w:rPr>
          <w:rFonts w:ascii="Times New Roman"/>
          <w:b w:val="false"/>
          <w:i w:val="false"/>
          <w:color w:val="000000"/>
          <w:sz w:val="28"/>
        </w:rPr>
        <w:t>
      В целях повышения административной значимости крупных поселений приграничных территорий будут приняты меры по:</w:t>
      </w:r>
    </w:p>
    <w:p>
      <w:pPr>
        <w:spacing w:after="0"/>
        <w:ind w:left="0"/>
        <w:jc w:val="both"/>
      </w:pPr>
      <w:r>
        <w:rPr>
          <w:rFonts w:ascii="Times New Roman"/>
          <w:b w:val="false"/>
          <w:i w:val="false"/>
          <w:color w:val="000000"/>
          <w:sz w:val="28"/>
        </w:rPr>
        <w:t>
      1) развитию транспортно-логистической инфраструктуры, увеличению грузопотоков через имеющиеся транспортные и транзитные коридоры;</w:t>
      </w:r>
    </w:p>
    <w:p>
      <w:pPr>
        <w:spacing w:after="0"/>
        <w:ind w:left="0"/>
        <w:jc w:val="both"/>
      </w:pPr>
      <w:r>
        <w:rPr>
          <w:rFonts w:ascii="Times New Roman"/>
          <w:b w:val="false"/>
          <w:i w:val="false"/>
          <w:color w:val="000000"/>
          <w:sz w:val="28"/>
        </w:rPr>
        <w:t>
      2) созданию совместных предприятий по строительству (реконструкции) и эксплуатации туристско-рекреационных объектов, туристской инфраструктуры, развитию и взаимодействию региональных и приграничных информационных систем в сфере туризма;</w:t>
      </w:r>
    </w:p>
    <w:p>
      <w:pPr>
        <w:spacing w:after="0"/>
        <w:ind w:left="0"/>
        <w:jc w:val="both"/>
      </w:pPr>
      <w:r>
        <w:rPr>
          <w:rFonts w:ascii="Times New Roman"/>
          <w:b w:val="false"/>
          <w:i w:val="false"/>
          <w:color w:val="000000"/>
          <w:sz w:val="28"/>
        </w:rPr>
        <w:t>
      3) развитию промышленности, экспортоориентированных и импортозамещающих производств, основанных на новых технологиях, расширению объемов торговли и экспорта, внедрению передового управленческого опыта.</w:t>
      </w:r>
    </w:p>
    <w:p>
      <w:pPr>
        <w:spacing w:after="0"/>
        <w:ind w:left="0"/>
        <w:jc w:val="both"/>
      </w:pPr>
      <w:r>
        <w:rPr>
          <w:rFonts w:ascii="Times New Roman"/>
          <w:b w:val="false"/>
          <w:i w:val="false"/>
          <w:color w:val="000000"/>
          <w:sz w:val="28"/>
        </w:rPr>
        <w:t>
      2. Определение перспективных населенных пунктов – узловых точек приграничного сотрудничества и мер по их развитию.</w:t>
      </w:r>
    </w:p>
    <w:p>
      <w:pPr>
        <w:spacing w:after="0"/>
        <w:ind w:left="0"/>
        <w:jc w:val="both"/>
      </w:pPr>
      <w:r>
        <w:rPr>
          <w:rFonts w:ascii="Times New Roman"/>
          <w:b w:val="false"/>
          <w:i w:val="false"/>
          <w:color w:val="000000"/>
          <w:sz w:val="28"/>
        </w:rPr>
        <w:t>
      В данных населенных пунктах будут созданы условия для создания новых производств, соответствующей транспортной инфраструктуры, развитию социальной и инженерной инфраструктуры.</w:t>
      </w:r>
    </w:p>
    <w:p>
      <w:pPr>
        <w:spacing w:after="0"/>
        <w:ind w:left="0"/>
        <w:jc w:val="both"/>
      </w:pPr>
      <w:r>
        <w:rPr>
          <w:rFonts w:ascii="Times New Roman"/>
          <w:b w:val="false"/>
          <w:i w:val="false"/>
          <w:color w:val="000000"/>
          <w:sz w:val="28"/>
        </w:rPr>
        <w:t>
      Перечень перспективных населенных пунктов – узловых точек приграничного сотрудничества будет определен акиматами областей и после согласования с уполномоченным органом в области регионального развития утверждается местным исполнительным органом.</w:t>
      </w:r>
    </w:p>
    <w:p>
      <w:pPr>
        <w:spacing w:after="0"/>
        <w:ind w:left="0"/>
        <w:jc w:val="both"/>
      </w:pPr>
      <w:r>
        <w:rPr>
          <w:rFonts w:ascii="Times New Roman"/>
          <w:b w:val="false"/>
          <w:i w:val="false"/>
          <w:color w:val="000000"/>
          <w:sz w:val="28"/>
        </w:rPr>
        <w:t>
      Меры по развитию перспективных населенных пунктов будут осуществляться через различные механизмы стимулирования роста экономической активности и инвестиционной привлекательности, в том числе за счет государственных инвестиций на развитие обеспечивающей инфраструктуры.</w:t>
      </w:r>
    </w:p>
    <w:p>
      <w:pPr>
        <w:spacing w:after="0"/>
        <w:ind w:left="0"/>
        <w:jc w:val="both"/>
      </w:pPr>
      <w:r>
        <w:rPr>
          <w:rFonts w:ascii="Times New Roman"/>
          <w:b w:val="false"/>
          <w:i w:val="false"/>
          <w:color w:val="000000"/>
          <w:sz w:val="28"/>
        </w:rPr>
        <w:t>
      В целях развития перспективных населенных пунктов – узловых точек приграничного сотрудничества будут приняты меры по:</w:t>
      </w:r>
    </w:p>
    <w:p>
      <w:pPr>
        <w:spacing w:after="0"/>
        <w:ind w:left="0"/>
        <w:jc w:val="both"/>
      </w:pPr>
      <w:r>
        <w:rPr>
          <w:rFonts w:ascii="Times New Roman"/>
          <w:b w:val="false"/>
          <w:i w:val="false"/>
          <w:color w:val="000000"/>
          <w:sz w:val="28"/>
        </w:rPr>
        <w:t>
      1) созданию сети приграничных дорог, способствующих свободному и скоростному передвижению к пунктам пропуска через Государственную границу и другим населенным пунктам;</w:t>
      </w:r>
    </w:p>
    <w:p>
      <w:pPr>
        <w:spacing w:after="0"/>
        <w:ind w:left="0"/>
        <w:jc w:val="both"/>
      </w:pPr>
      <w:r>
        <w:rPr>
          <w:rFonts w:ascii="Times New Roman"/>
          <w:b w:val="false"/>
          <w:i w:val="false"/>
          <w:color w:val="000000"/>
          <w:sz w:val="28"/>
        </w:rPr>
        <w:t>
      2) совместному использованию трансграничных месторождений полезных ископаемых, повышению загрузки имеющихся производственных мощностей действующих предприятий для обеспечения занятости населения;</w:t>
      </w:r>
    </w:p>
    <w:p>
      <w:pPr>
        <w:spacing w:after="0"/>
        <w:ind w:left="0"/>
        <w:jc w:val="both"/>
      </w:pPr>
      <w:r>
        <w:rPr>
          <w:rFonts w:ascii="Times New Roman"/>
          <w:b w:val="false"/>
          <w:i w:val="false"/>
          <w:color w:val="000000"/>
          <w:sz w:val="28"/>
        </w:rPr>
        <w:t>
      3) развитию социальной и инженерной инфраструктуры перспективных населенных пунктов – узловых точек приграничного сотрудничества с целью повышения потенциальной емкости данных населенных пунктов.</w:t>
      </w:r>
    </w:p>
    <w:p>
      <w:pPr>
        <w:spacing w:after="0"/>
        <w:ind w:left="0"/>
        <w:jc w:val="both"/>
      </w:pPr>
      <w:r>
        <w:rPr>
          <w:rFonts w:ascii="Times New Roman"/>
          <w:b w:val="false"/>
          <w:i w:val="false"/>
          <w:color w:val="000000"/>
          <w:sz w:val="28"/>
        </w:rPr>
        <w:t>
      3. Развитие и обустройство инфраструктуры пунктов приграничного сотрудничества.</w:t>
      </w:r>
    </w:p>
    <w:p>
      <w:pPr>
        <w:spacing w:after="0"/>
        <w:ind w:left="0"/>
        <w:jc w:val="both"/>
      </w:pPr>
      <w:r>
        <w:rPr>
          <w:rFonts w:ascii="Times New Roman"/>
          <w:b w:val="false"/>
          <w:i w:val="false"/>
          <w:color w:val="000000"/>
          <w:sz w:val="28"/>
        </w:rPr>
        <w:t>
      В рамках данного направления будут приняты меры по развитию инфраструктуры приграничного сотрудничества (пограничные переходы, контрольно-пропускные и таможенные посты и другие), включая меры по их совместному с соседними государствами строительству и использованию.</w:t>
      </w:r>
    </w:p>
    <w:p>
      <w:pPr>
        <w:spacing w:after="0"/>
        <w:ind w:left="0"/>
        <w:jc w:val="both"/>
      </w:pPr>
      <w:r>
        <w:rPr>
          <w:rFonts w:ascii="Times New Roman"/>
          <w:b w:val="false"/>
          <w:i w:val="false"/>
          <w:color w:val="000000"/>
          <w:sz w:val="28"/>
        </w:rPr>
        <w:t>
      В целях развития и обустройства инфраструктуры пунктов приграничного сотрудничества будут приняты меры по:</w:t>
      </w:r>
    </w:p>
    <w:p>
      <w:pPr>
        <w:spacing w:after="0"/>
        <w:ind w:left="0"/>
        <w:jc w:val="both"/>
      </w:pPr>
      <w:r>
        <w:rPr>
          <w:rFonts w:ascii="Times New Roman"/>
          <w:b w:val="false"/>
          <w:i w:val="false"/>
          <w:color w:val="000000"/>
          <w:sz w:val="28"/>
        </w:rPr>
        <w:t>
      1) развитию таможенной и пограничной инфраструктуры, повышению уровня материально-технической оснащенности пограничных переходов, контрольно-пропускных и таможенных постов, санитарно-карантинного, ветеринарного, фитосанитарного и других органов контроля;</w:t>
      </w:r>
    </w:p>
    <w:p>
      <w:pPr>
        <w:spacing w:after="0"/>
        <w:ind w:left="0"/>
        <w:jc w:val="both"/>
      </w:pPr>
      <w:r>
        <w:rPr>
          <w:rFonts w:ascii="Times New Roman"/>
          <w:b w:val="false"/>
          <w:i w:val="false"/>
          <w:color w:val="000000"/>
          <w:sz w:val="28"/>
        </w:rPr>
        <w:t>
      2) совершенствованию процедур пограничного, таможенного, иммиграционного, экологического, фитосанитарного и иных видов контроля;</w:t>
      </w:r>
    </w:p>
    <w:p>
      <w:pPr>
        <w:spacing w:after="0"/>
        <w:ind w:left="0"/>
        <w:jc w:val="both"/>
      </w:pPr>
      <w:r>
        <w:rPr>
          <w:rFonts w:ascii="Times New Roman"/>
          <w:b w:val="false"/>
          <w:i w:val="false"/>
          <w:color w:val="000000"/>
          <w:sz w:val="28"/>
        </w:rPr>
        <w:t>
      3) совершенствованию технологической схемы организации пропуска через Государственную границу, с целью увеличения их пропускной способности;</w:t>
      </w:r>
    </w:p>
    <w:p>
      <w:pPr>
        <w:spacing w:after="0"/>
        <w:ind w:left="0"/>
        <w:jc w:val="both"/>
      </w:pPr>
      <w:r>
        <w:rPr>
          <w:rFonts w:ascii="Times New Roman"/>
          <w:b w:val="false"/>
          <w:i w:val="false"/>
          <w:color w:val="000000"/>
          <w:sz w:val="28"/>
        </w:rPr>
        <w:t>
      4) созданию условий, способствующих сокращению сроков оформления экспортных и импортных операций, обустройству пунктов пропуска через государственную границу системой электронного документооборота и автоматической идентификации, модернизации таможенных складов и терминалов.</w:t>
      </w:r>
    </w:p>
    <w:p>
      <w:pPr>
        <w:spacing w:after="0"/>
        <w:ind w:left="0"/>
        <w:jc w:val="both"/>
      </w:pPr>
      <w:r>
        <w:rPr>
          <w:rFonts w:ascii="Times New Roman"/>
          <w:b w:val="false"/>
          <w:i w:val="false"/>
          <w:color w:val="000000"/>
          <w:sz w:val="28"/>
        </w:rPr>
        <w:t>
      4. Диверсификация экономики приграничных территорий и развитие малого и среднего бизнеса.</w:t>
      </w:r>
    </w:p>
    <w:p>
      <w:pPr>
        <w:spacing w:after="0"/>
        <w:ind w:left="0"/>
        <w:jc w:val="both"/>
      </w:pPr>
      <w:r>
        <w:rPr>
          <w:rFonts w:ascii="Times New Roman"/>
          <w:b w:val="false"/>
          <w:i w:val="false"/>
          <w:color w:val="000000"/>
          <w:sz w:val="28"/>
        </w:rPr>
        <w:t>
      В целях диверсификации экономики приграничных территорий будут приняты меры по:</w:t>
      </w:r>
    </w:p>
    <w:p>
      <w:pPr>
        <w:spacing w:after="0"/>
        <w:ind w:left="0"/>
        <w:jc w:val="both"/>
      </w:pPr>
      <w:r>
        <w:rPr>
          <w:rFonts w:ascii="Times New Roman"/>
          <w:b w:val="false"/>
          <w:i w:val="false"/>
          <w:color w:val="000000"/>
          <w:sz w:val="28"/>
        </w:rPr>
        <w:t>
      1) вовлечению в экономический оборот имеющихся в приграничных территориях резервов и неиспользуемых хозяйственных активов (простаивающих производств, выведенных из оборота и другие), полезных ископаемых и эффективного использования имеющейся инженерной и транспортной инфраструктуры;</w:t>
      </w:r>
    </w:p>
    <w:p>
      <w:pPr>
        <w:spacing w:after="0"/>
        <w:ind w:left="0"/>
        <w:jc w:val="both"/>
      </w:pPr>
      <w:r>
        <w:rPr>
          <w:rFonts w:ascii="Times New Roman"/>
          <w:b w:val="false"/>
          <w:i w:val="false"/>
          <w:color w:val="000000"/>
          <w:sz w:val="28"/>
        </w:rPr>
        <w:t>
      2) вовлечению в экономический оборот имеющихся в регионах неиспользуемых земель сельскохозяйственного назначения (пашни, в том числе поливные, пастбища, сенокосы, многолетние насаждения, залежи);</w:t>
      </w:r>
    </w:p>
    <w:p>
      <w:pPr>
        <w:spacing w:after="0"/>
        <w:ind w:left="0"/>
        <w:jc w:val="both"/>
      </w:pPr>
      <w:r>
        <w:rPr>
          <w:rFonts w:ascii="Times New Roman"/>
          <w:b w:val="false"/>
          <w:i w:val="false"/>
          <w:color w:val="000000"/>
          <w:sz w:val="28"/>
        </w:rPr>
        <w:t>
      3) реализации конкретных проектов в сфере животноводства и растениеводства, направленных на рост производства сельскохозяйственной продукции, организацию ее заготовки и хранения;</w:t>
      </w:r>
    </w:p>
    <w:p>
      <w:pPr>
        <w:spacing w:after="0"/>
        <w:ind w:left="0"/>
        <w:jc w:val="both"/>
      </w:pPr>
      <w:r>
        <w:rPr>
          <w:rFonts w:ascii="Times New Roman"/>
          <w:b w:val="false"/>
          <w:i w:val="false"/>
          <w:color w:val="000000"/>
          <w:sz w:val="28"/>
        </w:rPr>
        <w:t>
      4) повышению загрузки имеющихся производственных мощностей действующих предприятий для обеспечения занятости населения;</w:t>
      </w:r>
    </w:p>
    <w:p>
      <w:pPr>
        <w:spacing w:after="0"/>
        <w:ind w:left="0"/>
        <w:jc w:val="both"/>
      </w:pPr>
      <w:r>
        <w:rPr>
          <w:rFonts w:ascii="Times New Roman"/>
          <w:b w:val="false"/>
          <w:i w:val="false"/>
          <w:color w:val="000000"/>
          <w:sz w:val="28"/>
        </w:rPr>
        <w:t>
      5) установлению межрегиональных взаимовыгодных связей между хозяйствующими субъектами приграничных территорий, заключению договоров в целях привлечения инвестиций в сферу промышленной и сельскохозяйственной кооперации, строительства, финансов, обмена технологиями и другие сферы, не противоречащие законодательству и режимам приграничных территорий сопредельных государств;</w:t>
      </w:r>
    </w:p>
    <w:p>
      <w:pPr>
        <w:spacing w:after="0"/>
        <w:ind w:left="0"/>
        <w:jc w:val="both"/>
      </w:pPr>
      <w:r>
        <w:rPr>
          <w:rFonts w:ascii="Times New Roman"/>
          <w:b w:val="false"/>
          <w:i w:val="false"/>
          <w:color w:val="000000"/>
          <w:sz w:val="28"/>
        </w:rPr>
        <w:t>
      6) развитию приграничной торговли, малого и среднего бизнеса путем использования передовых технологий, современных машин и оборудования сопредельных стран.</w:t>
      </w:r>
    </w:p>
    <w:p>
      <w:pPr>
        <w:spacing w:after="0"/>
        <w:ind w:left="0"/>
        <w:jc w:val="both"/>
      </w:pPr>
      <w:r>
        <w:rPr>
          <w:rFonts w:ascii="Times New Roman"/>
          <w:b w:val="false"/>
          <w:i w:val="false"/>
          <w:color w:val="000000"/>
          <w:sz w:val="28"/>
        </w:rPr>
        <w:t xml:space="preserve">
      Финансирование мероприятий будет осуществляться за счет средств республиканского и местного бюджетов в рамках предусмотренных программных документов, а также за счет привлечения частных инвестиций. </w:t>
      </w:r>
    </w:p>
    <w:p>
      <w:pPr>
        <w:spacing w:after="0"/>
        <w:ind w:left="0"/>
        <w:jc w:val="both"/>
      </w:pPr>
      <w:r>
        <w:rPr>
          <w:rFonts w:ascii="Times New Roman"/>
          <w:b w:val="false"/>
          <w:i w:val="false"/>
          <w:color w:val="000000"/>
          <w:sz w:val="28"/>
        </w:rPr>
        <w:t>
      Государственная поддержка развития приграничных территорий по указанным направлениям будут осуществляться в рамках государственных и отраслевых программ, а также программ развития территорий областей.</w:t>
      </w:r>
    </w:p>
    <w:p>
      <w:pPr>
        <w:spacing w:after="0"/>
        <w:ind w:left="0"/>
        <w:jc w:val="both"/>
      </w:pPr>
      <w:r>
        <w:rPr>
          <w:rFonts w:ascii="Times New Roman"/>
          <w:b w:val="false"/>
          <w:i w:val="false"/>
          <w:color w:val="000000"/>
          <w:sz w:val="28"/>
        </w:rPr>
        <w:t>
      Приоритеты государственной поддержки мероприятий по развитию центров экономического роста</w:t>
      </w:r>
    </w:p>
    <w:p>
      <w:pPr>
        <w:spacing w:after="0"/>
        <w:ind w:left="0"/>
        <w:jc w:val="both"/>
      </w:pPr>
      <w:r>
        <w:rPr>
          <w:rFonts w:ascii="Times New Roman"/>
          <w:b w:val="false"/>
          <w:i w:val="false"/>
          <w:color w:val="000000"/>
          <w:sz w:val="28"/>
        </w:rPr>
        <w:t>
      Приоритет 1. Развитие инженерно-коммуникационной инфраструктуры (электро-, тепло-, газо-, водоснабжения и водоотведения)</w:t>
      </w:r>
    </w:p>
    <w:p>
      <w:pPr>
        <w:spacing w:after="0"/>
        <w:ind w:left="0"/>
        <w:jc w:val="both"/>
      </w:pPr>
      <w:r>
        <w:rPr>
          <w:rFonts w:ascii="Times New Roman"/>
          <w:b w:val="false"/>
          <w:i w:val="false"/>
          <w:color w:val="000000"/>
          <w:sz w:val="28"/>
        </w:rPr>
        <w:t>
      Финансированию в рамках Программы подлежат БИП по строительству и реконструкции объектов инженерной инфраструктуры, прошедших отбор на приоритетность финансирования в уполномоченном органе.</w:t>
      </w:r>
    </w:p>
    <w:p>
      <w:pPr>
        <w:spacing w:after="0"/>
        <w:ind w:left="0"/>
        <w:jc w:val="both"/>
      </w:pPr>
      <w:r>
        <w:rPr>
          <w:rFonts w:ascii="Times New Roman"/>
          <w:b w:val="false"/>
          <w:i w:val="false"/>
          <w:color w:val="000000"/>
          <w:sz w:val="28"/>
        </w:rPr>
        <w:t xml:space="preserve">
      Механизмы развития сетей электро-, тепло-, газо-, водоснабженияи водоотведения по данному приоритету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Приоритет 2. Строительство доступного жилья</w:t>
      </w:r>
    </w:p>
    <w:p>
      <w:pPr>
        <w:spacing w:after="0"/>
        <w:ind w:left="0"/>
        <w:jc w:val="both"/>
      </w:pPr>
      <w:r>
        <w:rPr>
          <w:rFonts w:ascii="Times New Roman"/>
          <w:b w:val="false"/>
          <w:i w:val="false"/>
          <w:color w:val="000000"/>
          <w:sz w:val="28"/>
        </w:rPr>
        <w:t>
      В рамках Программы предусматриваются следующие основные направления:</w:t>
      </w:r>
    </w:p>
    <w:p>
      <w:pPr>
        <w:spacing w:after="0"/>
        <w:ind w:left="0"/>
        <w:jc w:val="both"/>
      </w:pPr>
      <w:r>
        <w:rPr>
          <w:rFonts w:ascii="Times New Roman"/>
          <w:b w:val="false"/>
          <w:i w:val="false"/>
          <w:color w:val="000000"/>
          <w:sz w:val="28"/>
        </w:rPr>
        <w:t>
      1) Жилье для очередников местных исполнительных органов.</w:t>
      </w:r>
    </w:p>
    <w:p>
      <w:pPr>
        <w:spacing w:after="0"/>
        <w:ind w:left="0"/>
        <w:jc w:val="both"/>
      </w:pPr>
      <w:r>
        <w:rPr>
          <w:rFonts w:ascii="Times New Roman"/>
          <w:b w:val="false"/>
          <w:i w:val="false"/>
          <w:color w:val="000000"/>
          <w:sz w:val="28"/>
        </w:rPr>
        <w:t>
      2) Жилье по линии ЖССБК:</w:t>
      </w:r>
    </w:p>
    <w:p>
      <w:pPr>
        <w:spacing w:after="0"/>
        <w:ind w:left="0"/>
        <w:jc w:val="both"/>
      </w:pPr>
      <w:r>
        <w:rPr>
          <w:rFonts w:ascii="Times New Roman"/>
          <w:b w:val="false"/>
          <w:i w:val="false"/>
          <w:color w:val="000000"/>
          <w:sz w:val="28"/>
        </w:rPr>
        <w:t>
      для всех категорий населения;</w:t>
      </w:r>
    </w:p>
    <w:p>
      <w:pPr>
        <w:spacing w:after="0"/>
        <w:ind w:left="0"/>
        <w:jc w:val="both"/>
      </w:pPr>
      <w:r>
        <w:rPr>
          <w:rFonts w:ascii="Times New Roman"/>
          <w:b w:val="false"/>
          <w:i w:val="false"/>
          <w:color w:val="000000"/>
          <w:sz w:val="28"/>
        </w:rPr>
        <w:t>
      для молодых семей.</w:t>
      </w:r>
    </w:p>
    <w:p>
      <w:pPr>
        <w:spacing w:after="0"/>
        <w:ind w:left="0"/>
        <w:jc w:val="both"/>
      </w:pPr>
      <w:r>
        <w:rPr>
          <w:rFonts w:ascii="Times New Roman"/>
          <w:b w:val="false"/>
          <w:i w:val="false"/>
          <w:color w:val="000000"/>
          <w:sz w:val="28"/>
        </w:rPr>
        <w:t>
      3) Жилье АО "ИО "КИК".</w:t>
      </w:r>
    </w:p>
    <w:p>
      <w:pPr>
        <w:spacing w:after="0"/>
        <w:ind w:left="0"/>
        <w:jc w:val="both"/>
      </w:pPr>
      <w:r>
        <w:rPr>
          <w:rFonts w:ascii="Times New Roman"/>
          <w:b w:val="false"/>
          <w:i w:val="false"/>
          <w:color w:val="000000"/>
          <w:sz w:val="28"/>
        </w:rPr>
        <w:t>
      4) Жилье АО "Фонд недвижимости "Самрук-Казына".</w:t>
      </w:r>
    </w:p>
    <w:p>
      <w:pPr>
        <w:spacing w:after="0"/>
        <w:ind w:left="0"/>
        <w:jc w:val="both"/>
      </w:pPr>
      <w:r>
        <w:rPr>
          <w:rFonts w:ascii="Times New Roman"/>
          <w:b w:val="false"/>
          <w:i w:val="false"/>
          <w:color w:val="000000"/>
          <w:sz w:val="28"/>
        </w:rPr>
        <w:t>
      5) Жилье в рамках пилотных проектов по сносу аварийного жилья.</w:t>
      </w:r>
    </w:p>
    <w:p>
      <w:pPr>
        <w:spacing w:after="0"/>
        <w:ind w:left="0"/>
        <w:jc w:val="both"/>
      </w:pPr>
      <w:r>
        <w:rPr>
          <w:rFonts w:ascii="Times New Roman"/>
          <w:b w:val="false"/>
          <w:i w:val="false"/>
          <w:color w:val="000000"/>
          <w:sz w:val="28"/>
        </w:rPr>
        <w:t>
      6) Строительство инженерно-коммуникационной инфраструктуры.</w:t>
      </w:r>
    </w:p>
    <w:p>
      <w:pPr>
        <w:spacing w:after="0"/>
        <w:ind w:left="0"/>
        <w:jc w:val="both"/>
      </w:pPr>
      <w:r>
        <w:rPr>
          <w:rFonts w:ascii="Times New Roman"/>
          <w:b w:val="false"/>
          <w:i w:val="false"/>
          <w:color w:val="000000"/>
          <w:sz w:val="28"/>
        </w:rPr>
        <w:t xml:space="preserve">
      Механизмы осуществления жилищного строительства данного приоритета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Приоритет 3. Модернизация жилищного фонда (термомодернизация)</w:t>
      </w:r>
    </w:p>
    <w:p>
      <w:pPr>
        <w:spacing w:after="0"/>
        <w:ind w:left="0"/>
        <w:jc w:val="both"/>
      </w:pPr>
      <w:r>
        <w:rPr>
          <w:rFonts w:ascii="Times New Roman"/>
          <w:b w:val="false"/>
          <w:i w:val="false"/>
          <w:color w:val="000000"/>
          <w:sz w:val="28"/>
        </w:rPr>
        <w:t xml:space="preserve">
      Механизм модернизации жилищного фонда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Приоритет 4. Развитие инфраструктуры для крупных региональных проектов индустриализации, агропромышленного комплекса, в сфере туризма и альтернативных источников энергии</w:t>
      </w:r>
    </w:p>
    <w:p>
      <w:pPr>
        <w:spacing w:after="0"/>
        <w:ind w:left="0"/>
        <w:jc w:val="both"/>
      </w:pPr>
      <w:r>
        <w:rPr>
          <w:rFonts w:ascii="Times New Roman"/>
          <w:b w:val="false"/>
          <w:i w:val="false"/>
          <w:color w:val="000000"/>
          <w:sz w:val="28"/>
        </w:rPr>
        <w:t>
      В рамках данного приоритета предпочтение в оказании финансовой поддержки за счет средств Программы будет отдаваться БИП, которые позволят добиться максимального мультипликативного эффекта для республики и регионов.</w:t>
      </w:r>
    </w:p>
    <w:p>
      <w:pPr>
        <w:spacing w:after="0"/>
        <w:ind w:left="0"/>
        <w:jc w:val="both"/>
      </w:pPr>
      <w:r>
        <w:rPr>
          <w:rFonts w:ascii="Times New Roman"/>
          <w:b w:val="false"/>
          <w:i w:val="false"/>
          <w:color w:val="000000"/>
          <w:sz w:val="28"/>
        </w:rPr>
        <w:t>
      Финансированию подлежат БИП по строительству и подведению инженерно-транспортной инфраструктуры (строительство и реконструкция инфраструктуры: дорог, канализации, газификации, теплоснабжения, водопроводов, железнодорожных тупиков, электрических подстанций, линий электропередач и ирригационных систем) для реализации крупных бизнес-проектов.</w:t>
      </w:r>
    </w:p>
    <w:p>
      <w:pPr>
        <w:spacing w:after="0"/>
        <w:ind w:left="0"/>
        <w:jc w:val="both"/>
      </w:pPr>
      <w:r>
        <w:rPr>
          <w:rFonts w:ascii="Times New Roman"/>
          <w:b w:val="false"/>
          <w:i w:val="false"/>
          <w:color w:val="000000"/>
          <w:sz w:val="28"/>
        </w:rPr>
        <w:t>
      Строительство и подведение инфраструктуры могут быть направлены на обеспечение нескольких бизнес-проектов.</w:t>
      </w:r>
    </w:p>
    <w:p>
      <w:pPr>
        <w:spacing w:after="0"/>
        <w:ind w:left="0"/>
        <w:jc w:val="both"/>
      </w:pPr>
      <w:r>
        <w:rPr>
          <w:rFonts w:ascii="Times New Roman"/>
          <w:b w:val="false"/>
          <w:i w:val="false"/>
          <w:color w:val="000000"/>
          <w:sz w:val="28"/>
        </w:rPr>
        <w:t>
      Выделение средств по проектам развития инфраструктуры альтернативных источников энергии в рамках Программы будет направлено на приобретение и монтаж установок для производства электрической и/или тепловой энергии из возобновляемых источников энергии (энергия водного потока, ветра, солнца и другие), включая гибридные установки, для:</w:t>
      </w:r>
    </w:p>
    <w:p>
      <w:pPr>
        <w:spacing w:after="0"/>
        <w:ind w:left="0"/>
        <w:jc w:val="both"/>
      </w:pPr>
      <w:r>
        <w:rPr>
          <w:rFonts w:ascii="Times New Roman"/>
          <w:b w:val="false"/>
          <w:i w:val="false"/>
          <w:color w:val="000000"/>
          <w:sz w:val="28"/>
        </w:rPr>
        <w:t>
      1) фермерских хозяйств в целях обеспечения электрической и тепловой энергией для коммунальных и производственных целей;</w:t>
      </w:r>
    </w:p>
    <w:p>
      <w:pPr>
        <w:spacing w:after="0"/>
        <w:ind w:left="0"/>
        <w:jc w:val="both"/>
      </w:pPr>
      <w:r>
        <w:rPr>
          <w:rFonts w:ascii="Times New Roman"/>
          <w:b w:val="false"/>
          <w:i w:val="false"/>
          <w:color w:val="000000"/>
          <w:sz w:val="28"/>
        </w:rPr>
        <w:t>
      2) СНП в зоне влияния агломерации – в качестве основного и/или резервного источника энергоснабжения;</w:t>
      </w:r>
    </w:p>
    <w:p>
      <w:pPr>
        <w:spacing w:after="0"/>
        <w:ind w:left="0"/>
        <w:jc w:val="both"/>
      </w:pPr>
      <w:r>
        <w:rPr>
          <w:rFonts w:ascii="Times New Roman"/>
          <w:b w:val="false"/>
          <w:i w:val="false"/>
          <w:color w:val="000000"/>
          <w:sz w:val="28"/>
        </w:rPr>
        <w:t>
      3) вахтовых (временных) поселков;</w:t>
      </w:r>
    </w:p>
    <w:p>
      <w:pPr>
        <w:spacing w:after="0"/>
        <w:ind w:left="0"/>
        <w:jc w:val="both"/>
      </w:pPr>
      <w:r>
        <w:rPr>
          <w:rFonts w:ascii="Times New Roman"/>
          <w:b w:val="false"/>
          <w:i w:val="false"/>
          <w:color w:val="000000"/>
          <w:sz w:val="28"/>
        </w:rPr>
        <w:t>
      4) мест, имеющих туристско-рекреационный потенциал.</w:t>
      </w:r>
    </w:p>
    <w:p>
      <w:pPr>
        <w:spacing w:after="0"/>
        <w:ind w:left="0"/>
        <w:jc w:val="both"/>
      </w:pPr>
      <w:r>
        <w:rPr>
          <w:rFonts w:ascii="Times New Roman"/>
          <w:b w:val="false"/>
          <w:i w:val="false"/>
          <w:color w:val="000000"/>
          <w:sz w:val="28"/>
        </w:rPr>
        <w:t>
      Приоритет 5. Улучшение состояния окружающей среды</w:t>
      </w:r>
    </w:p>
    <w:p>
      <w:pPr>
        <w:spacing w:after="0"/>
        <w:ind w:left="0"/>
        <w:jc w:val="both"/>
      </w:pPr>
      <w:r>
        <w:rPr>
          <w:rFonts w:ascii="Times New Roman"/>
          <w:b w:val="false"/>
          <w:i w:val="false"/>
          <w:color w:val="000000"/>
          <w:sz w:val="28"/>
        </w:rPr>
        <w:t>
      Выделение средств по данному приоритету будет направлено на БИП по улучшению состояния окружающей среды и повышению энергоэффективности, в том числе по:</w:t>
      </w:r>
    </w:p>
    <w:p>
      <w:pPr>
        <w:spacing w:after="0"/>
        <w:ind w:left="0"/>
        <w:jc w:val="both"/>
      </w:pPr>
      <w:r>
        <w:rPr>
          <w:rFonts w:ascii="Times New Roman"/>
          <w:b w:val="false"/>
          <w:i w:val="false"/>
          <w:color w:val="000000"/>
          <w:sz w:val="28"/>
        </w:rPr>
        <w:t>
      1) эффективной утилизации отходов;</w:t>
      </w:r>
    </w:p>
    <w:p>
      <w:pPr>
        <w:spacing w:after="0"/>
        <w:ind w:left="0"/>
        <w:jc w:val="both"/>
      </w:pPr>
      <w:r>
        <w:rPr>
          <w:rFonts w:ascii="Times New Roman"/>
          <w:b w:val="false"/>
          <w:i w:val="false"/>
          <w:color w:val="000000"/>
          <w:sz w:val="28"/>
        </w:rPr>
        <w:t>
      2) улучшению состояния атмосферного воздуха;</w:t>
      </w:r>
    </w:p>
    <w:p>
      <w:pPr>
        <w:spacing w:after="0"/>
        <w:ind w:left="0"/>
        <w:jc w:val="both"/>
      </w:pPr>
      <w:r>
        <w:rPr>
          <w:rFonts w:ascii="Times New Roman"/>
          <w:b w:val="false"/>
          <w:i w:val="false"/>
          <w:color w:val="000000"/>
          <w:sz w:val="28"/>
        </w:rPr>
        <w:t>
      3) внедрению в строящемся и существующем коммунальном жилом фонде комплексных энергосберегающих и экологичных ("зеленых") технологий.</w:t>
      </w:r>
    </w:p>
    <w:p>
      <w:pPr>
        <w:spacing w:after="0"/>
        <w:ind w:left="0"/>
        <w:jc w:val="both"/>
      </w:pPr>
      <w:r>
        <w:rPr>
          <w:rFonts w:ascii="Times New Roman"/>
          <w:b w:val="false"/>
          <w:i w:val="false"/>
          <w:color w:val="000000"/>
          <w:sz w:val="28"/>
        </w:rPr>
        <w:t>
      При этом отбор БИП будет осуществляться в соответствии с положениями настоящей Программы, а также других действующих программ по форсированному индустриально-инновационному развитию, развитию водных ресуров, Карты индустриализации, генеральных планов городов и населенных пунктов, Концепции "зеленой экономики".</w:t>
      </w:r>
    </w:p>
    <w:p>
      <w:pPr>
        <w:spacing w:after="0"/>
        <w:ind w:left="0"/>
        <w:jc w:val="both"/>
      </w:pPr>
      <w:r>
        <w:rPr>
          <w:rFonts w:ascii="Times New Roman"/>
          <w:b w:val="false"/>
          <w:i w:val="false"/>
          <w:color w:val="000000"/>
          <w:sz w:val="28"/>
        </w:rPr>
        <w:t>
      Приоритет 6. Повышение транспортной доступности и создание условий для обеспечению эффективной занятости в агломерациях</w:t>
      </w:r>
    </w:p>
    <w:p>
      <w:pPr>
        <w:spacing w:after="0"/>
        <w:ind w:left="0"/>
        <w:jc w:val="both"/>
      </w:pPr>
      <w:r>
        <w:rPr>
          <w:rFonts w:ascii="Times New Roman"/>
          <w:b w:val="false"/>
          <w:i w:val="false"/>
          <w:color w:val="000000"/>
          <w:sz w:val="28"/>
        </w:rPr>
        <w:t>
      Финансированию подлежат БИП, реализуемые в агломерациях по:</w:t>
      </w:r>
    </w:p>
    <w:p>
      <w:pPr>
        <w:spacing w:after="0"/>
        <w:ind w:left="0"/>
        <w:jc w:val="both"/>
      </w:pPr>
      <w:r>
        <w:rPr>
          <w:rFonts w:ascii="Times New Roman"/>
          <w:b w:val="false"/>
          <w:i w:val="false"/>
          <w:color w:val="000000"/>
          <w:sz w:val="28"/>
        </w:rPr>
        <w:t>
      1) развитию дорожной сети внутри агломерационных образований;</w:t>
      </w:r>
    </w:p>
    <w:p>
      <w:pPr>
        <w:spacing w:after="0"/>
        <w:ind w:left="0"/>
        <w:jc w:val="both"/>
      </w:pPr>
      <w:r>
        <w:rPr>
          <w:rFonts w:ascii="Times New Roman"/>
          <w:b w:val="false"/>
          <w:i w:val="false"/>
          <w:color w:val="000000"/>
          <w:sz w:val="28"/>
        </w:rPr>
        <w:t>
      2) строительству и модернизации внутриобластных транспортных коммуникаций.</w:t>
      </w:r>
    </w:p>
    <w:p>
      <w:pPr>
        <w:spacing w:after="0"/>
        <w:ind w:left="0"/>
        <w:jc w:val="both"/>
      </w:pPr>
      <w:r>
        <w:rPr>
          <w:rFonts w:ascii="Times New Roman"/>
          <w:b w:val="false"/>
          <w:i w:val="false"/>
          <w:color w:val="000000"/>
          <w:sz w:val="28"/>
        </w:rPr>
        <w:t>
      При этом отбор БИП будет осуществляться в соответствии с положениями настоящей Программы, а также других действующих программ по форсированному индустриально-инновационному развитию, развитию транспортной инфраструктуры, Карты индустриализации, генеральных планов городов и населенных пунктов.</w:t>
      </w:r>
    </w:p>
    <w:p>
      <w:pPr>
        <w:spacing w:after="0"/>
        <w:ind w:left="0"/>
        <w:jc w:val="both"/>
      </w:pPr>
      <w:r>
        <w:rPr>
          <w:rFonts w:ascii="Times New Roman"/>
          <w:b w:val="false"/>
          <w:i w:val="false"/>
          <w:color w:val="000000"/>
          <w:sz w:val="28"/>
        </w:rPr>
        <w:t>
      Приоритет 7. Развитие кадрового потенциала сельской местности</w:t>
      </w:r>
    </w:p>
    <w:p>
      <w:pPr>
        <w:spacing w:after="0"/>
        <w:ind w:left="0"/>
        <w:jc w:val="both"/>
      </w:pPr>
      <w:r>
        <w:rPr>
          <w:rFonts w:ascii="Times New Roman"/>
          <w:b w:val="false"/>
          <w:i w:val="false"/>
          <w:color w:val="000000"/>
          <w:sz w:val="28"/>
        </w:rPr>
        <w:t>
      Финансирование мероприятий по развитию кадрового потенциала сельской местности будет осуществлятся в соответствии с Правилами предоставления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both"/>
      </w:pPr>
      <w:r>
        <w:rPr>
          <w:rFonts w:ascii="Times New Roman"/>
          <w:b w:val="false"/>
          <w:i w:val="false"/>
          <w:color w:val="000000"/>
          <w:sz w:val="28"/>
        </w:rPr>
        <w:t>
      Приоритет 8. Финансовая поддержка местного самоуправления</w:t>
      </w:r>
    </w:p>
    <w:p>
      <w:pPr>
        <w:spacing w:after="0"/>
        <w:ind w:left="0"/>
        <w:jc w:val="both"/>
      </w:pPr>
      <w:r>
        <w:rPr>
          <w:rFonts w:ascii="Times New Roman"/>
          <w:b w:val="false"/>
          <w:i w:val="false"/>
          <w:color w:val="000000"/>
          <w:sz w:val="28"/>
        </w:rPr>
        <w:t>
      Финансирование мероприятий по развитию местного самоуправления будет осуществляться в рамках трансфертов общего характера, включенных в базу расходов местного бюджета на основе бюджетного законодательства Республики Казахстан.</w:t>
      </w:r>
    </w:p>
    <w:p>
      <w:pPr>
        <w:spacing w:after="0"/>
        <w:ind w:left="0"/>
        <w:jc w:val="both"/>
      </w:pPr>
      <w:r>
        <w:rPr>
          <w:rFonts w:ascii="Times New Roman"/>
          <w:b w:val="false"/>
          <w:i w:val="false"/>
          <w:color w:val="000000"/>
          <w:sz w:val="28"/>
        </w:rPr>
        <w:t xml:space="preserve">
      Механизм финансирования и взаимодействие участников при реализации Программы по данному приоритету указан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При рассмотрении рабочим органом представленных местными исполнительными органами БИП по реализации мероприятий в рамках вышеуказанных приоритетов предпочтение будет отдаваться проекту, исходя из критериев:</w:t>
      </w:r>
    </w:p>
    <w:p>
      <w:pPr>
        <w:spacing w:after="0"/>
        <w:ind w:left="0"/>
        <w:jc w:val="both"/>
      </w:pP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p>
    <w:p>
      <w:pPr>
        <w:spacing w:after="0"/>
        <w:ind w:left="0"/>
        <w:jc w:val="both"/>
      </w:pPr>
      <w:r>
        <w:rPr>
          <w:rFonts w:ascii="Times New Roman"/>
          <w:b w:val="false"/>
          <w:i w:val="false"/>
          <w:color w:val="000000"/>
          <w:sz w:val="28"/>
        </w:rPr>
        <w:t>
      количестве созданных временных/постоянных рабочих мест в регионе;</w:t>
      </w:r>
    </w:p>
    <w:p>
      <w:pPr>
        <w:spacing w:after="0"/>
        <w:ind w:left="0"/>
        <w:jc w:val="both"/>
      </w:pPr>
      <w:r>
        <w:rPr>
          <w:rFonts w:ascii="Times New Roman"/>
          <w:b w:val="false"/>
          <w:i w:val="false"/>
          <w:color w:val="000000"/>
          <w:sz w:val="28"/>
        </w:rPr>
        <w:t xml:space="preserve">
      росте объемов производства (промышленность, сельское хозяйство, услуги); </w:t>
      </w:r>
    </w:p>
    <w:p>
      <w:pPr>
        <w:spacing w:after="0"/>
        <w:ind w:left="0"/>
        <w:jc w:val="both"/>
      </w:pPr>
      <w:r>
        <w:rPr>
          <w:rFonts w:ascii="Times New Roman"/>
          <w:b w:val="false"/>
          <w:i w:val="false"/>
          <w:color w:val="000000"/>
          <w:sz w:val="28"/>
        </w:rPr>
        <w:t>
      увеличении налоговых поступлений в бюджет региона;</w:t>
      </w:r>
    </w:p>
    <w:p>
      <w:pPr>
        <w:spacing w:after="0"/>
        <w:ind w:left="0"/>
        <w:jc w:val="both"/>
      </w:pPr>
      <w:r>
        <w:rPr>
          <w:rFonts w:ascii="Times New Roman"/>
          <w:b w:val="false"/>
          <w:i w:val="false"/>
          <w:color w:val="000000"/>
          <w:sz w:val="28"/>
        </w:rPr>
        <w:t xml:space="preserve">
      количестве выгодополучателей от реализации БИП; </w:t>
      </w:r>
    </w:p>
    <w:p>
      <w:pPr>
        <w:spacing w:after="0"/>
        <w:ind w:left="0"/>
        <w:jc w:val="both"/>
      </w:pPr>
      <w:r>
        <w:rPr>
          <w:rFonts w:ascii="Times New Roman"/>
          <w:b w:val="false"/>
          <w:i w:val="false"/>
          <w:color w:val="000000"/>
          <w:sz w:val="28"/>
        </w:rPr>
        <w:t>
      повышении уровня обеспеченности объектами коммунальной, инженерной и рекреационной инфраструктуры;</w:t>
      </w:r>
    </w:p>
    <w:p>
      <w:pPr>
        <w:spacing w:after="0"/>
        <w:ind w:left="0"/>
        <w:jc w:val="both"/>
      </w:pPr>
      <w:r>
        <w:rPr>
          <w:rFonts w:ascii="Times New Roman"/>
          <w:b w:val="false"/>
          <w:i w:val="false"/>
          <w:color w:val="000000"/>
          <w:sz w:val="28"/>
        </w:rPr>
        <w:t>
      увеличении скорости движения и сокращении времени проезда;</w:t>
      </w:r>
    </w:p>
    <w:p>
      <w:pPr>
        <w:spacing w:after="0"/>
        <w:ind w:left="0"/>
        <w:jc w:val="both"/>
      </w:pPr>
      <w:r>
        <w:rPr>
          <w:rFonts w:ascii="Times New Roman"/>
          <w:b w:val="false"/>
          <w:i w:val="false"/>
          <w:color w:val="000000"/>
          <w:sz w:val="28"/>
        </w:rPr>
        <w:t>
      2) размера совокупного экологического эффекта от реализации проекта, выраженного в:</w:t>
      </w:r>
    </w:p>
    <w:p>
      <w:pPr>
        <w:spacing w:after="0"/>
        <w:ind w:left="0"/>
        <w:jc w:val="both"/>
      </w:pPr>
      <w:r>
        <w:rPr>
          <w:rFonts w:ascii="Times New Roman"/>
          <w:b w:val="false"/>
          <w:i w:val="false"/>
          <w:color w:val="000000"/>
          <w:sz w:val="28"/>
        </w:rPr>
        <w:t>
      снижении выбросов в атмосферу вредных веществ;</w:t>
      </w:r>
    </w:p>
    <w:p>
      <w:pPr>
        <w:spacing w:after="0"/>
        <w:ind w:left="0"/>
        <w:jc w:val="both"/>
      </w:pPr>
      <w:r>
        <w:rPr>
          <w:rFonts w:ascii="Times New Roman"/>
          <w:b w:val="false"/>
          <w:i w:val="false"/>
          <w:color w:val="000000"/>
          <w:sz w:val="28"/>
        </w:rPr>
        <w:t>
      снижении уровня сбросов загрязняющих веществ;</w:t>
      </w:r>
    </w:p>
    <w:p>
      <w:pPr>
        <w:spacing w:after="0"/>
        <w:ind w:left="0"/>
        <w:jc w:val="both"/>
      </w:pPr>
      <w:r>
        <w:rPr>
          <w:rFonts w:ascii="Times New Roman"/>
          <w:b w:val="false"/>
          <w:i w:val="false"/>
          <w:color w:val="000000"/>
          <w:sz w:val="28"/>
        </w:rPr>
        <w:t>
      увеличении доли переработки отходов;</w:t>
      </w:r>
    </w:p>
    <w:p>
      <w:pPr>
        <w:spacing w:after="0"/>
        <w:ind w:left="0"/>
        <w:jc w:val="both"/>
      </w:pPr>
      <w:r>
        <w:rPr>
          <w:rFonts w:ascii="Times New Roman"/>
          <w:b w:val="false"/>
          <w:i w:val="false"/>
          <w:color w:val="000000"/>
          <w:sz w:val="28"/>
        </w:rPr>
        <w:t>
      внедрении энергосберегающих технологий;</w:t>
      </w:r>
    </w:p>
    <w:p>
      <w:pPr>
        <w:spacing w:after="0"/>
        <w:ind w:left="0"/>
        <w:jc w:val="both"/>
      </w:pPr>
      <w:r>
        <w:rPr>
          <w:rFonts w:ascii="Times New Roman"/>
          <w:b w:val="false"/>
          <w:i w:val="false"/>
          <w:color w:val="000000"/>
          <w:sz w:val="28"/>
        </w:rPr>
        <w:t xml:space="preserve">
      3) соотношения объема выделяемых бюджетных средств, направленных на реализацию БИП, к объему частных инвестиций, направленных на реализацию коммерческого проекта; </w:t>
      </w:r>
    </w:p>
    <w:p>
      <w:pPr>
        <w:spacing w:after="0"/>
        <w:ind w:left="0"/>
        <w:jc w:val="both"/>
      </w:pPr>
      <w:r>
        <w:rPr>
          <w:rFonts w:ascii="Times New Roman"/>
          <w:b w:val="false"/>
          <w:i w:val="false"/>
          <w:color w:val="000000"/>
          <w:sz w:val="28"/>
        </w:rPr>
        <w:t>
      4) доли софинансирования из местного бюджета.</w:t>
      </w:r>
    </w:p>
    <w:p>
      <w:pPr>
        <w:spacing w:after="0"/>
        <w:ind w:left="0"/>
        <w:jc w:val="left"/>
      </w:pPr>
      <w:r>
        <w:rPr>
          <w:rFonts w:ascii="Times New Roman"/>
          <w:b/>
          <w:i w:val="false"/>
          <w:color w:val="000000"/>
        </w:rPr>
        <w:t xml:space="preserve"> 6. Необходимые ресурсы и источники их финансирования</w:t>
      </w:r>
    </w:p>
    <w:p>
      <w:pPr>
        <w:spacing w:after="0"/>
        <w:ind w:left="0"/>
        <w:jc w:val="both"/>
      </w:pPr>
      <w:r>
        <w:rPr>
          <w:rFonts w:ascii="Times New Roman"/>
          <w:b w:val="false"/>
          <w:i w:val="false"/>
          <w:color w:val="000000"/>
          <w:sz w:val="28"/>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367 234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345 469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489 014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201 839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59 599</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564 860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*Объемы средств будут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 </w:t>
      </w:r>
    </w:p>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Программы развития регионов до 2020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62"/>
        <w:gridCol w:w="592"/>
        <w:gridCol w:w="427"/>
        <w:gridCol w:w="427"/>
        <w:gridCol w:w="592"/>
        <w:gridCol w:w="1739"/>
        <w:gridCol w:w="1739"/>
        <w:gridCol w:w="1740"/>
        <w:gridCol w:w="1740"/>
        <w:gridCol w:w="1740"/>
        <w:gridCol w:w="263"/>
        <w:gridCol w:w="428"/>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261"/>
        <w:gridCol w:w="426"/>
        <w:gridCol w:w="1309"/>
        <w:gridCol w:w="375"/>
        <w:gridCol w:w="1630"/>
        <w:gridCol w:w="842"/>
        <w:gridCol w:w="854"/>
        <w:gridCol w:w="854"/>
        <w:gridCol w:w="854"/>
        <w:gridCol w:w="855"/>
        <w:gridCol w:w="855"/>
        <w:gridCol w:w="72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r>
              <w:rPr>
                <w:rFonts w:ascii="Times New Roman"/>
                <w:b w:val="false"/>
                <w:i w:val="false"/>
                <w:color w:val="000000"/>
                <w:sz w:val="20"/>
              </w:rPr>
              <w:t>: 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w:t>
            </w:r>
            <w:r>
              <w:rPr>
                <w:rFonts w:ascii="Times New Roman"/>
                <w:b w:val="false"/>
                <w:i w:val="false"/>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агломераций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Шымкентской, Актюбинской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на душу населения (в рамках Программы)</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включая опорные СНП и приграничные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модернизированных сетей, в том числе тепло-, электро- и газоснабжения</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централизованному водоснабжению и водоотведению</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Совершенствование территориального развития страны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p>
            <w:pPr>
              <w:spacing w:after="20"/>
              <w:ind w:left="20"/>
              <w:jc w:val="both"/>
            </w:pPr>
            <w:r>
              <w:rPr>
                <w:rFonts w:ascii="Times New Roman"/>
                <w:b w:val="false"/>
                <w:i w:val="false"/>
                <w:color w:val="000000"/>
                <w:sz w:val="20"/>
              </w:rPr>
              <w:t>
Рациональное обустройство и развитие территорий, в том числе:</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крупных инфраструктурных проектов</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строительству инженерно-коммуникационной инфраструктуры городов-спутников города Алматы (G4 City, "Алтын Сай")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Алматинской области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благоустройству городов и населенных пунктов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инженерной инфраструктуры моногородов в расчете на оптимальную численность населения</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обустройству моногородов</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инженерной инфраструктуры малых городов с высоким и средним потенциалом в расчете на оптимальную численность населения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обустройству малых городов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 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(с учетом согласования на МВК) комплексных планов развития малых городов с высоким и средним потенциалом на долгосрочный период согласно структуре, разработанной уполномоченным органом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2015 года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областных маслихатов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планы мероприятий по развитию Шымкентской и Актюбинской агломераций, предусмотрев расширение горизонтов планов до 2030 года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2015 года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областных маслихатов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Южно-Казахстанской, Актюбинской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ежегодного представления информации по целевым индикаторам развития агломераций с центрами в городах Шымкенте, Актобе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ежегодно</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Актюбинской, Южно-Казахстанской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 реализация проектов по производству и переработке сельскохозяйственной продукции в Шымкентской и Актюбинской агломерациях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2016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Южно-Казахстанской, Актюбинской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проектной документации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предприятий и организаций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дальнейшему развитию индустриальных зон, технологических парков путем привлечения инвесторов и реализации перспективных инвестиционных проектов в Шымкентской и Актюбинской агломерациях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Актюбинской, Южно-Казахстанской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градообразующими предприятиями вспомогательных и обслуживающих производств, заказов в малых и моногородах с учетом их специфики (не менее 1 проекта)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"якорных" инвестиционных проектов (в несырьевых секторах) для долгосрочной диверсификации экономики малых и моногородов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производств в малых и моногородах, предусматривающих закупки товаров, работ и услуг для национальных холдингов и компаний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АО "ФНБ "Самрук-Казына" (по согласованию), АО "НУХ "КазАгро"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перспективных месторождений полезных ископаемых, находящихся вблизи малых и моногородов, с определением мер по их доразведке с участием АО "НК "Казгеология" или частных инвесторов, заинтересованных в расширении сырьевой базы предприятий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2016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"Казгеология" (по согласованию), АО "ФНБ "Самрук-Казына"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результатов** </w:t>
            </w:r>
          </w:p>
          <w:p>
            <w:pPr>
              <w:spacing w:after="20"/>
              <w:ind w:left="20"/>
              <w:jc w:val="both"/>
            </w:pPr>
            <w:r>
              <w:rPr>
                <w:rFonts w:ascii="Times New Roman"/>
                <w:b w:val="false"/>
                <w:i w:val="false"/>
                <w:color w:val="000000"/>
                <w:sz w:val="20"/>
              </w:rPr>
              <w:t>
Совершенствование градостроительной документации, нормативно-технических документов, сметно-нормативной базы, технологических карт на новые технологии и типовых проектов для строительства объектов различных сфер экономики, в том числе: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межрегиональные схемы территориального развития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межрегиональные схемы территориального развития агломерации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генеральные планы городов-центров агломерации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генеральные планы малых городов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генеральные планы и схемы застройки СНП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разработка сметно-нормативных документов в сфере архитектуры, градостроительства и строительства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разработка технологических карт по новым технологиям строительного производства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разработка типовых проектов</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разработка и переработка нормативно-технических документов</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комплексные схемы градостроительного планирования территорий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генеральные планы городов второго уровня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малые города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моногорода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Астанинской, Алматинской агломераций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городов и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Шымкентской и Актюбинской агломераций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2015–2017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маслихатов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городов и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градостроительной документации городов Жем, Темир, Шалкар, Талгар, Зайсан, Булаево, Мамлютка, Сергеевка, Тайынша с учетом их перспектив развития на долгосрочный период (25-30 лет)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маслихатов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комплексных схем градостроительного планирования территорий областей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–2017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областных маслихатов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межрегиональных схем территориального развития регионов (Центрального, Южного, Западного)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городов и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Генеральной схемы организации территории Республики Казахстан с учетом Стратегии "Казахстан – 2050"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города Астаны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формирование единой системы государственного градостроительного кадастра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технологических карт по новым технологиям строительного производства и материала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КДСЖКХиУЗР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КДСЖКХиУЗР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Сметно-нормативная база Республики Казахстан, экономические нормативы и методология в области строительства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КДСЖКХиУЗР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переработка нормативно-технических документов в области архитектуры, градостроительства и строительства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КДСЖКХиУЗР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результатов </w:t>
            </w:r>
          </w:p>
          <w:p>
            <w:pPr>
              <w:spacing w:after="20"/>
              <w:ind w:left="20"/>
              <w:jc w:val="both"/>
            </w:pPr>
            <w:r>
              <w:rPr>
                <w:rFonts w:ascii="Times New Roman"/>
                <w:b w:val="false"/>
                <w:i w:val="false"/>
                <w:color w:val="000000"/>
                <w:sz w:val="20"/>
              </w:rPr>
              <w:t>
Рост численности населения в сельских и приграничных террирориях, в том числе: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опорных СНП</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приграничных территориях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строительство и приобретение жилья специалистам социальной сферы и ветеринарии, прибывающим в сельскую местность в рамках проекта "С дипломом в село"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54 113,0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(мероприятий) в рамках финансовой поддержки местного самоуправления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 июль</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социально-экономического развития СНП</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потенциала социально-экономического развития СНП</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 квартал</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комплексных планов районных центров и опорных СНП, планов мероприятий по развитию центров сельских округов, сел и поселков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планов мероприятий по развитию приграничных районов областей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открытию новых и обустройству действующих пунктов пропуска, совершенствованию пограничного контроля при переезде границы железнодорожным транспортом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10 января</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КГД МФ, КНБ (по согласованию), МИО приграничных областей3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концентрации населения в опорных СНП, расположенных на приграничных территориях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вовлечению в экономический оборот земельных участков, расположенных на приграничных территориях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 июль</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Обеспечение комфортных условий проживания населения, включая улучшение состояния окружающей среды, жилищного фонда, коммунальной и транспортной инфраструктуры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результатов** </w:t>
            </w:r>
          </w:p>
          <w:p>
            <w:pPr>
              <w:spacing w:after="20"/>
              <w:ind w:left="20"/>
              <w:jc w:val="both"/>
            </w:pPr>
            <w:r>
              <w:rPr>
                <w:rFonts w:ascii="Times New Roman"/>
                <w:b w:val="false"/>
                <w:i w:val="false"/>
                <w:color w:val="000000"/>
                <w:sz w:val="20"/>
              </w:rPr>
              <w:t>
Протяженность модернизированных сетей, в том числе: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электроснабжение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газоснабжение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водоснабжение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водоотведение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электроснабжение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модернизации и реконструкции систем теплоснабжения, газоснабжения, электроснабжения</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управляющей компании по котельным до 100 Гкал/час</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акиматов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и водоотведения</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2015 – 2019</w:t>
            </w:r>
          </w:p>
          <w:p>
            <w:pPr>
              <w:spacing w:after="20"/>
              <w:ind w:left="20"/>
              <w:jc w:val="both"/>
            </w:pPr>
            <w:r>
              <w:rPr>
                <w:rFonts w:ascii="Times New Roman"/>
                <w:b w:val="false"/>
                <w:i w:val="false"/>
                <w:color w:val="000000"/>
                <w:sz w:val="20"/>
              </w:rPr>
              <w:t>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тепло-, водоснабжения и водоотведения через механизм бюджетного кредитования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"КазЦентрЖКХ"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p>
            <w:pPr>
              <w:spacing w:after="20"/>
              <w:ind w:left="20"/>
              <w:jc w:val="both"/>
            </w:pPr>
            <w:r>
              <w:rPr>
                <w:rFonts w:ascii="Times New Roman"/>
                <w:b w:val="false"/>
                <w:i w:val="false"/>
                <w:color w:val="000000"/>
                <w:sz w:val="20"/>
              </w:rPr>
              <w:t>
Снижение доли объектов кондоминиума, требующих капитального ремонта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ремонта общего имущества объектов кондоминиума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регулирование сферы жилищно-коммунального хозяйства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нормативно-технической базы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политики энергосбережения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информационно-разъяснительная работа среди населения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"КазЦентрЖКХ"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энергетического аудита жилых домов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сферы жилищного хозяйства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кадрового потенциала специалистов сферы жилищного хозяйства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Эффективное и рациональное обеспечение населения питьевой водой и услугами водоотведения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результатов** </w:t>
            </w:r>
          </w:p>
          <w:p>
            <w:pPr>
              <w:spacing w:after="20"/>
              <w:ind w:left="20"/>
              <w:jc w:val="both"/>
            </w:pPr>
            <w:r>
              <w:rPr>
                <w:rFonts w:ascii="Times New Roman"/>
                <w:b w:val="false"/>
                <w:i w:val="false"/>
                <w:color w:val="000000"/>
                <w:sz w:val="20"/>
              </w:rPr>
              <w:t xml:space="preserve">
Снижение аварийности на городских сетях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 том числе:</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аварий на 1 километр сетей</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МИР,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результатов** </w:t>
            </w:r>
          </w:p>
          <w:p>
            <w:pPr>
              <w:spacing w:after="20"/>
              <w:ind w:left="20"/>
              <w:jc w:val="both"/>
            </w:pPr>
            <w:r>
              <w:rPr>
                <w:rFonts w:ascii="Times New Roman"/>
                <w:b w:val="false"/>
                <w:i w:val="false"/>
                <w:color w:val="000000"/>
                <w:sz w:val="20"/>
              </w:rPr>
              <w:t>
Доля нормативно очищенных сточных вод в городах при сбросах в водоемы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МИР,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состояния инженерных сетей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состоянии инженерных сетей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АО "КазЦентрЖКХ"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проектов по строительству и реконструкции локальных систем водоснабжения и водоотведения, заявляемых МИО, на предмет приоритетности и целесообразности финансирования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ежегодно</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систем водоснабжения и водоотведения городов Республики Казахстан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экспертизы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"Казахский водоканалпроект"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единого перечня проектов водоснабжения и водоотведения в городской/сельской местности (после завершения работ по обоснованию инвестиций)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15 марта года, предшествующего планируемому финансовому году</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проектов</w:t>
            </w:r>
          </w:p>
          <w:p>
            <w:pPr>
              <w:spacing w:after="20"/>
              <w:ind w:left="20"/>
              <w:jc w:val="both"/>
            </w:pPr>
            <w:r>
              <w:rPr>
                <w:rFonts w:ascii="Times New Roman"/>
                <w:b w:val="false"/>
                <w:i w:val="false"/>
                <w:color w:val="000000"/>
                <w:sz w:val="20"/>
              </w:rPr>
              <w:t>
для МВК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МИО областей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МВК проектов строительства и реконструкции групповых водоводов, систем водоснабжения и водоотведения в городской/сельской местности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15 мая года, предшествующего планируемому финансовому году</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протоколМВК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региональных планов мероприятий развития сектора водоснабжении и водоотведения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марта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согласованные и утвержденные региональные планы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МНЭ,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групповых водоводов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53 158,0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поисково-разведочных работ для обеспечения запасами подземных вод 2603 СНП, в том числе: </w:t>
            </w:r>
          </w:p>
          <w:p>
            <w:pPr>
              <w:spacing w:after="20"/>
              <w:ind w:left="20"/>
              <w:jc w:val="both"/>
            </w:pPr>
            <w:r>
              <w:rPr>
                <w:rFonts w:ascii="Times New Roman"/>
                <w:b w:val="false"/>
                <w:i w:val="false"/>
                <w:color w:val="000000"/>
                <w:sz w:val="20"/>
              </w:rPr>
              <w:t>
в 2015 году – 744;</w:t>
            </w:r>
          </w:p>
          <w:p>
            <w:pPr>
              <w:spacing w:after="20"/>
              <w:ind w:left="20"/>
              <w:jc w:val="both"/>
            </w:pPr>
            <w:r>
              <w:rPr>
                <w:rFonts w:ascii="Times New Roman"/>
                <w:b w:val="false"/>
                <w:i w:val="false"/>
                <w:color w:val="000000"/>
                <w:sz w:val="20"/>
              </w:rPr>
              <w:t>
в 2016 году – 480;</w:t>
            </w:r>
          </w:p>
          <w:p>
            <w:pPr>
              <w:spacing w:after="20"/>
              <w:ind w:left="20"/>
              <w:jc w:val="both"/>
            </w:pPr>
            <w:r>
              <w:rPr>
                <w:rFonts w:ascii="Times New Roman"/>
                <w:b w:val="false"/>
                <w:i w:val="false"/>
                <w:color w:val="000000"/>
                <w:sz w:val="20"/>
              </w:rPr>
              <w:t>
в 2017 году – 480;</w:t>
            </w:r>
          </w:p>
          <w:p>
            <w:pPr>
              <w:spacing w:after="20"/>
              <w:ind w:left="20"/>
              <w:jc w:val="both"/>
            </w:pPr>
            <w:r>
              <w:rPr>
                <w:rFonts w:ascii="Times New Roman"/>
                <w:b w:val="false"/>
                <w:i w:val="false"/>
                <w:color w:val="000000"/>
                <w:sz w:val="20"/>
              </w:rPr>
              <w:t>
в 2018 году – 480;</w:t>
            </w:r>
          </w:p>
          <w:p>
            <w:pPr>
              <w:spacing w:after="20"/>
              <w:ind w:left="20"/>
              <w:jc w:val="both"/>
            </w:pPr>
            <w:r>
              <w:rPr>
                <w:rFonts w:ascii="Times New Roman"/>
                <w:b w:val="false"/>
                <w:i w:val="false"/>
                <w:color w:val="000000"/>
                <w:sz w:val="20"/>
              </w:rPr>
              <w:t>
в 2019 году – 419;</w:t>
            </w:r>
          </w:p>
          <w:p>
            <w:pPr>
              <w:spacing w:after="20"/>
              <w:ind w:left="20"/>
              <w:jc w:val="both"/>
            </w:pPr>
            <w:r>
              <w:rPr>
                <w:rFonts w:ascii="Times New Roman"/>
                <w:b w:val="false"/>
                <w:i w:val="false"/>
                <w:color w:val="000000"/>
                <w:sz w:val="20"/>
              </w:rPr>
              <w:t xml:space="preserve">
доразведки 115 месторождений подземных вод с целью переоценки запасов для городов и крупных населенных пунктов, в том числе: </w:t>
            </w:r>
          </w:p>
          <w:p>
            <w:pPr>
              <w:spacing w:after="20"/>
              <w:ind w:left="20"/>
              <w:jc w:val="both"/>
            </w:pPr>
            <w:r>
              <w:rPr>
                <w:rFonts w:ascii="Times New Roman"/>
                <w:b w:val="false"/>
                <w:i w:val="false"/>
                <w:color w:val="000000"/>
                <w:sz w:val="20"/>
              </w:rPr>
              <w:t xml:space="preserve">
в 2015 году – 40; </w:t>
            </w:r>
          </w:p>
          <w:p>
            <w:pPr>
              <w:spacing w:after="20"/>
              <w:ind w:left="20"/>
              <w:jc w:val="both"/>
            </w:pPr>
            <w:r>
              <w:rPr>
                <w:rFonts w:ascii="Times New Roman"/>
                <w:b w:val="false"/>
                <w:i w:val="false"/>
                <w:color w:val="000000"/>
                <w:sz w:val="20"/>
              </w:rPr>
              <w:t xml:space="preserve">
в 2016 году – 35; </w:t>
            </w:r>
          </w:p>
          <w:p>
            <w:pPr>
              <w:spacing w:after="20"/>
              <w:ind w:left="20"/>
              <w:jc w:val="both"/>
            </w:pPr>
            <w:r>
              <w:rPr>
                <w:rFonts w:ascii="Times New Roman"/>
                <w:b w:val="false"/>
                <w:i w:val="false"/>
                <w:color w:val="000000"/>
                <w:sz w:val="20"/>
              </w:rPr>
              <w:t xml:space="preserve">
в 2017 году – 35; </w:t>
            </w:r>
          </w:p>
          <w:p>
            <w:pPr>
              <w:spacing w:after="20"/>
              <w:ind w:left="20"/>
              <w:jc w:val="both"/>
            </w:pPr>
            <w:r>
              <w:rPr>
                <w:rFonts w:ascii="Times New Roman"/>
                <w:b w:val="false"/>
                <w:i w:val="false"/>
                <w:color w:val="000000"/>
                <w:sz w:val="20"/>
              </w:rPr>
              <w:t>
в 2018 году –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переработка нормативно-технической документации в области водоснабжения и водоотведения, предусматривающих применение энерго- и водосберегающих технологий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нормативы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пилотных проектов ГЧП на предприятиях водоснабжения и водоотведения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опыта пилотных проектов ГЧП в сфере водоснабжения и водоотведения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2015 года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повышению квалификации и переподготовке кадров для специалистов сектора водоснабжения и водоотведения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МОН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w:t>
            </w:r>
          </w:p>
          <w:p>
            <w:pPr>
              <w:spacing w:after="20"/>
              <w:ind w:left="20"/>
              <w:jc w:val="both"/>
            </w:pPr>
            <w:r>
              <w:rPr>
                <w:rFonts w:ascii="Times New Roman"/>
                <w:b w:val="false"/>
                <w:i w:val="false"/>
                <w:color w:val="000000"/>
                <w:sz w:val="20"/>
              </w:rPr>
              <w:t>
Комплексное решение проблем развития жилищного строительства, обеспечивающее дальнейшее повышение доступности жилья для населения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результатов** </w:t>
            </w:r>
          </w:p>
          <w:p>
            <w:pPr>
              <w:spacing w:after="20"/>
              <w:ind w:left="20"/>
              <w:jc w:val="both"/>
            </w:pPr>
            <w:r>
              <w:rPr>
                <w:rFonts w:ascii="Times New Roman"/>
                <w:b w:val="false"/>
                <w:i w:val="false"/>
                <w:color w:val="000000"/>
                <w:sz w:val="20"/>
              </w:rPr>
              <w:t>
Ввод жилья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"первого уровня" (агломерации)</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 метров</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МИО областей, городов Астаны и Алматы, АО "НУХ "Байтерек", Фонд недвижимости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"второго уровня" (областные центры, города Семей и Туркестан)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"третьего уровня" (малые и моногорода)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территории, в том числе приграничные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приобретение жилья для всех категорий граждан по линии ЖССБК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приобретение жилья для граждан,</w:t>
            </w:r>
          </w:p>
          <w:p>
            <w:pPr>
              <w:spacing w:after="20"/>
              <w:ind w:left="20"/>
              <w:jc w:val="both"/>
            </w:pPr>
            <w:r>
              <w:rPr>
                <w:rFonts w:ascii="Times New Roman"/>
                <w:b w:val="false"/>
                <w:i w:val="false"/>
                <w:color w:val="000000"/>
                <w:sz w:val="20"/>
              </w:rPr>
              <w:t xml:space="preserve">
состоящих в очередях МИО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приобретение жилья для молодых семей по линии ЖССБК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проекта сноса аварийного жилья в городе Астане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города Астаны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приобретение жилья АО "ИО "КИК"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 АО "ИО "КИК"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НФ и заемные средства АО "ИО "КИК"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АО "Фонд недвижимости "Самрук-Казына"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недвижимости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136 729,0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"ФНБ "Самрук-Қазына" и средства НФ</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обустройство инженерно-коммуникационной инфраструктуры, в том числе городов - спутников Астаны и Алматы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инженерных сетей в районах застройки (приобретения) жилья АО "ИО "КИК"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 выполнение показателей определяется от объемов финансирования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показатели по разработанной документации едины для городов "второго уровня", "третьего уровня", сельских и приграничных территорий;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МИО областей – акиматы Акмолинской, Актюбинской, Алматинской, Восточно-Казахстанской, Жамбылской, Карагандинской, Кызылординской, Мангистауской, Северо-Казахстанской, Южно-Казахстанской областей;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МИО приграничных областей – акиматы Актюбинской, Алматинской, Атырауской, Восточно-Казахстанской, Жамбылской, Западно-Казахстанской, Костанайской, Кызылординской, Мангистауской, Павлодарской, Северо-Казахстанской, Южно-Казахстанской областей.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tbl>
      <w:tblPr>
        <w:tblW w:w="0" w:type="auto"/>
        <w:tblCellSpacing w:w="0" w:type="auto"/>
        <w:tblBorders>
          <w:top w:val="none"/>
          <w:left w:val="none"/>
          <w:bottom w:val="none"/>
          <w:right w:val="none"/>
          <w:insideH w:val="none"/>
          <w:insideV w:val="none"/>
        </w:tblBorders>
      </w:tblPr>
      <w:tblGrid>
        <w:gridCol w:w="4112"/>
        <w:gridCol w:w="1456"/>
        <w:gridCol w:w="6732"/>
      </w:tblGrid>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КДСЖКХиУЗР </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жилищно-коммунального хозяйства и управления земельными ресурсами Министерства национальной экономики</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"ИО "КИК"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"Самрук-Қазына"</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"КазАгро"</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"КазАгро"</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недвижимости "Самрук-Қазына"</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"КазЦентрЖКХ"</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модернизации и развития жилищно-коммунального хозяйства"</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"КазВодоканалпроект"</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"Казахский Водоканалпроект"</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ЖССБК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социально–предпринимательские корпорации</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p>
      <w:pPr>
        <w:spacing w:after="0"/>
        <w:ind w:left="0"/>
        <w:jc w:val="left"/>
      </w:pPr>
      <w:r>
        <w:rPr>
          <w:rFonts w:ascii="Times New Roman"/>
          <w:b/>
          <w:i w:val="false"/>
          <w:color w:val="000000"/>
        </w:rPr>
        <w:t xml:space="preserve"> Перечень малых и моногородов</w:t>
      </w:r>
      <w:r>
        <w:br/>
      </w:r>
      <w:r>
        <w:rPr>
          <w:rFonts w:ascii="Times New Roman"/>
          <w:b/>
          <w:i w:val="false"/>
          <w:color w:val="000000"/>
        </w:rPr>
        <w:t>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499"/>
        <w:gridCol w:w="499"/>
        <w:gridCol w:w="7371"/>
        <w:gridCol w:w="1643"/>
        <w:gridCol w:w="1126"/>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на 1 янв. 2014 года, тыс. чел.</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(расположение)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экономического развития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656"/>
        <w:gridCol w:w="1210"/>
        <w:gridCol w:w="5"/>
        <w:gridCol w:w="5"/>
        <w:gridCol w:w="3560"/>
        <w:gridCol w:w="2776"/>
        <w:gridCol w:w="1211"/>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Акколь</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Атбасар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Державинск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Есил</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Ерейментау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Макинск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Степняк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Щучинск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Степногорск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Алга</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Кандыагаш</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Шалкар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Эмба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Хромтау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Есик</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Жаркент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Каскелен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Капшагай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w:t>
            </w:r>
          </w:p>
          <w:p>
            <w:pPr>
              <w:spacing w:after="20"/>
              <w:ind w:left="20"/>
              <w:jc w:val="both"/>
            </w:pPr>
            <w:r>
              <w:rPr>
                <w:rFonts w:ascii="Times New Roman"/>
                <w:b w:val="false"/>
                <w:i w:val="false"/>
                <w:color w:val="000000"/>
                <w:sz w:val="20"/>
              </w:rPr>
              <w:t>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Сарканд</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Талгар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Ушарал</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Уштобе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Кульсары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Аягоз</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Зайсан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Шемонаиха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Зыряновск</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Курчатов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Риддер</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Серебрянск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Жанатас</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Каратау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Каркаралинск</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Приозерск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Каражал</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Сатпаев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Аркалык</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Житикара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Рудный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Аральск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Казалинск</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Форт-Шевченко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Булаево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Мамлютка</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Тайынша</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Жетысай</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Ленгер</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(зона агломерации)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Шардара</w:t>
            </w:r>
          </w:p>
        </w:tc>
        <w:tc>
          <w:tcPr>
            <w:tcW w:w="0" w:type="auto"/>
            <w:gridSpan w:val="3"/>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(приграничье)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Критерии для определения малых и моногородов с высоким,</w:t>
      </w:r>
      <w:r>
        <w:br/>
      </w:r>
      <w:r>
        <w:rPr>
          <w:rFonts w:ascii="Times New Roman"/>
          <w:b/>
          <w:i w:val="false"/>
          <w:color w:val="000000"/>
        </w:rPr>
        <w:t>средним и низким потенциалом социально-экономического развития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180"/>
        <w:gridCol w:w="5404"/>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перспективности малого и моногорода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неперспективности малого и моногорода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крупного либо основного (градообразующего) предприятия с положительным показателем финансово-хозяйственной деятельности, стабильным природно-сырьевым фактором (отсутствие риска истощения рудной базы, стабильный спрос на производимую продукцию и т.д.):</w:t>
            </w:r>
          </w:p>
          <w:p>
            <w:pPr>
              <w:spacing w:after="20"/>
              <w:ind w:left="20"/>
              <w:jc w:val="both"/>
            </w:pPr>
            <w:r>
              <w:rPr>
                <w:rFonts w:ascii="Times New Roman"/>
                <w:b w:val="false"/>
                <w:i w:val="false"/>
                <w:color w:val="000000"/>
                <w:sz w:val="20"/>
              </w:rPr>
              <w:t>
при текущем уровне добычи наличие запасов полезных ископаемых в перспективе на 25 – 30 лет;</w:t>
            </w:r>
          </w:p>
          <w:p>
            <w:pPr>
              <w:spacing w:after="20"/>
              <w:ind w:left="20"/>
              <w:jc w:val="both"/>
            </w:pPr>
            <w:r>
              <w:rPr>
                <w:rFonts w:ascii="Times New Roman"/>
                <w:b w:val="false"/>
                <w:i w:val="false"/>
                <w:color w:val="000000"/>
                <w:sz w:val="20"/>
              </w:rPr>
              <w:t>
устойчивый спрос на продукцию крупного либо основного (градообразующего) предприятия и отсутствие факторов, способных снизить объем производства.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объема производства в крупном либо основном (градообразующем) предприятии города и неконкурентоспособность его продукции:</w:t>
            </w:r>
          </w:p>
          <w:p>
            <w:pPr>
              <w:spacing w:after="20"/>
              <w:ind w:left="20"/>
              <w:jc w:val="both"/>
            </w:pPr>
            <w:r>
              <w:rPr>
                <w:rFonts w:ascii="Times New Roman"/>
                <w:b w:val="false"/>
                <w:i w:val="false"/>
                <w:color w:val="000000"/>
                <w:sz w:val="20"/>
              </w:rPr>
              <w:t>
значительное сокращение за последние 10 лет объема производства на крупном либо основном (градообразующем) предприятии города.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города в непосредственной близости от крупного города областного или республиканского значения, в составе агломерации, а также на приграничной территории (в непосредственной близости от линии Государственной границы).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Отдаленность от крупных городов, зоны влияния агломераций и основных транспортных коридоров международного и республиканского уровня (далее радиуса 75 км или 1-часовой доступности):</w:t>
            </w:r>
          </w:p>
          <w:p>
            <w:pPr>
              <w:spacing w:after="20"/>
              <w:ind w:left="20"/>
              <w:jc w:val="both"/>
            </w:pPr>
            <w:r>
              <w:rPr>
                <w:rFonts w:ascii="Times New Roman"/>
                <w:b w:val="false"/>
                <w:i w:val="false"/>
                <w:color w:val="000000"/>
                <w:sz w:val="20"/>
              </w:rPr>
              <w:t>
тупиковое месторасположение малого города (отсутствие автомобильных дорог республиканского значения и железнодорожных путей);</w:t>
            </w:r>
          </w:p>
          <w:p>
            <w:pPr>
              <w:spacing w:after="20"/>
              <w:ind w:left="20"/>
              <w:jc w:val="both"/>
            </w:pPr>
            <w:r>
              <w:rPr>
                <w:rFonts w:ascii="Times New Roman"/>
                <w:b w:val="false"/>
                <w:i w:val="false"/>
                <w:color w:val="000000"/>
                <w:sz w:val="20"/>
              </w:rPr>
              <w:t>
транспортная инфраструктура, соединяющая город с другими городами и регионами, находится в крайне изношенном состоянии.</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города на пересечении крупных транспортных коридоров (вдоль железнодорожных путей и автомобильных дорог республиканского значения) с возможностью организации логистической инфраструктуры (железнодорожные станции, склады).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городе уникального потенциала (природно-ресурсного, географического, исторического):</w:t>
            </w:r>
          </w:p>
          <w:p>
            <w:pPr>
              <w:spacing w:after="20"/>
              <w:ind w:left="20"/>
              <w:jc w:val="both"/>
            </w:pPr>
            <w:r>
              <w:rPr>
                <w:rFonts w:ascii="Times New Roman"/>
                <w:b w:val="false"/>
                <w:i w:val="false"/>
                <w:color w:val="000000"/>
                <w:sz w:val="20"/>
              </w:rPr>
              <w:t>
запасов полезных ископаемых, перспективных к разработке и переработке, в непосредственной близости к городу;</w:t>
            </w:r>
          </w:p>
          <w:p>
            <w:pPr>
              <w:spacing w:after="20"/>
              <w:ind w:left="20"/>
              <w:jc w:val="both"/>
            </w:pPr>
            <w:r>
              <w:rPr>
                <w:rFonts w:ascii="Times New Roman"/>
                <w:b w:val="false"/>
                <w:i w:val="false"/>
                <w:color w:val="000000"/>
                <w:sz w:val="20"/>
              </w:rPr>
              <w:t>
других видов потенциалов (туристских, рекреационных, уникальных заповедных зон), научного и инновационного потенциала.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Истощенная минерально-сырьевая база:</w:t>
            </w:r>
          </w:p>
          <w:p>
            <w:pPr>
              <w:spacing w:after="20"/>
              <w:ind w:left="20"/>
              <w:jc w:val="both"/>
            </w:pPr>
            <w:r>
              <w:rPr>
                <w:rFonts w:ascii="Times New Roman"/>
                <w:b w:val="false"/>
                <w:i w:val="false"/>
                <w:color w:val="000000"/>
                <w:sz w:val="20"/>
              </w:rPr>
              <w:t>
снижение полезного компонента в руде;</w:t>
            </w:r>
          </w:p>
          <w:p>
            <w:pPr>
              <w:spacing w:after="20"/>
              <w:ind w:left="20"/>
              <w:jc w:val="both"/>
            </w:pPr>
            <w:r>
              <w:rPr>
                <w:rFonts w:ascii="Times New Roman"/>
                <w:b w:val="false"/>
                <w:i w:val="false"/>
                <w:color w:val="000000"/>
                <w:sz w:val="20"/>
              </w:rPr>
              <w:t>
наличие запасов сырья, при сохранении текущих темпов добычи, не более 10 лет.</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города при развитой социально-инженерной инфраструктуре оказывать широкий спектр государственных, инфраструктурных, транспортно-логистических, финансово-посреднических и иных сервисных услуг, в том числе прилегающим сельским территориям.</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Катастрофический износ социально-инженерной инфраструктуры:</w:t>
            </w:r>
          </w:p>
          <w:p>
            <w:pPr>
              <w:spacing w:after="20"/>
              <w:ind w:left="20"/>
              <w:jc w:val="both"/>
            </w:pPr>
            <w:r>
              <w:rPr>
                <w:rFonts w:ascii="Times New Roman"/>
                <w:b w:val="false"/>
                <w:i w:val="false"/>
                <w:color w:val="000000"/>
                <w:sz w:val="20"/>
              </w:rPr>
              <w:t>
высокая доля аварийного жилья;</w:t>
            </w:r>
          </w:p>
          <w:p>
            <w:pPr>
              <w:spacing w:after="20"/>
              <w:ind w:left="20"/>
              <w:jc w:val="both"/>
            </w:pPr>
            <w:r>
              <w:rPr>
                <w:rFonts w:ascii="Times New Roman"/>
                <w:b w:val="false"/>
                <w:i w:val="false"/>
                <w:color w:val="000000"/>
                <w:sz w:val="20"/>
              </w:rPr>
              <w:t>
износ водо-, электро-, тепло-</w:t>
            </w:r>
          </w:p>
          <w:p>
            <w:pPr>
              <w:spacing w:after="20"/>
              <w:ind w:left="20"/>
              <w:jc w:val="both"/>
            </w:pPr>
            <w:r>
              <w:rPr>
                <w:rFonts w:ascii="Times New Roman"/>
                <w:b w:val="false"/>
                <w:i w:val="false"/>
                <w:color w:val="000000"/>
                <w:sz w:val="20"/>
              </w:rPr>
              <w:t>
инфраструктуры превышает 80 %.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активно действующих малых предприятий:</w:t>
            </w:r>
          </w:p>
          <w:p>
            <w:pPr>
              <w:spacing w:after="20"/>
              <w:ind w:left="20"/>
              <w:jc w:val="both"/>
            </w:pPr>
            <w:r>
              <w:rPr>
                <w:rFonts w:ascii="Times New Roman"/>
                <w:b w:val="false"/>
                <w:i w:val="false"/>
                <w:color w:val="000000"/>
                <w:sz w:val="20"/>
              </w:rPr>
              <w:t>
наличие в городе развитого малого и среднего предпринимательства (в сфере оказания услуг, обрабатывающей промышленности и другие), что отражается стабильным увеличением его доли в доходах бюджета города.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w:t>
            </w:r>
          </w:p>
          <w:p>
            <w:pPr>
              <w:spacing w:after="20"/>
              <w:ind w:left="20"/>
              <w:jc w:val="both"/>
            </w:pPr>
            <w:r>
              <w:rPr>
                <w:rFonts w:ascii="Times New Roman"/>
                <w:b w:val="false"/>
                <w:i w:val="false"/>
                <w:color w:val="000000"/>
                <w:sz w:val="20"/>
              </w:rPr>
              <w:t>
наличие в городе высококвалифицированных технических специалистов, в том числе занятых на крупном либо основном (градообразующем) предприятии.</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отток населения города (сокращение численности):</w:t>
            </w:r>
          </w:p>
          <w:p>
            <w:pPr>
              <w:spacing w:after="20"/>
              <w:ind w:left="20"/>
              <w:jc w:val="both"/>
            </w:pPr>
            <w:r>
              <w:rPr>
                <w:rFonts w:ascii="Times New Roman"/>
                <w:b w:val="false"/>
                <w:i w:val="false"/>
                <w:color w:val="000000"/>
                <w:sz w:val="20"/>
              </w:rPr>
              <w:t>
отрицательная динамика сальдо миграции за последние 10 лет (сокращение численности населения идет в основном за счет вымывания из города высококвалифицированного трудоспособного населения).</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Благоприятная экологическая ситуация:</w:t>
            </w:r>
          </w:p>
          <w:p>
            <w:pPr>
              <w:spacing w:after="20"/>
              <w:ind w:left="20"/>
              <w:jc w:val="both"/>
            </w:pPr>
            <w:r>
              <w:rPr>
                <w:rFonts w:ascii="Times New Roman"/>
                <w:b w:val="false"/>
                <w:i w:val="false"/>
                <w:color w:val="000000"/>
                <w:sz w:val="20"/>
              </w:rPr>
              <w:t>
отсутствие источников загрязнения с высоким превышением экологических норм вне зон экологического бедствия.</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экологическая ситуация:</w:t>
            </w:r>
          </w:p>
          <w:p>
            <w:pPr>
              <w:spacing w:after="20"/>
              <w:ind w:left="20"/>
              <w:jc w:val="both"/>
            </w:pPr>
            <w:r>
              <w:rPr>
                <w:rFonts w:ascii="Times New Roman"/>
                <w:b w:val="false"/>
                <w:i w:val="false"/>
                <w:color w:val="000000"/>
                <w:sz w:val="20"/>
              </w:rPr>
              <w:t>
расположение территории города в зоне экологического бедствия и наличие источников загрязнения с высоким превышением экологических норм.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населения города не меньше среднереспубликанского уровня.</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населения меньше среднеобластных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p>
      <w:pPr>
        <w:spacing w:after="0"/>
        <w:ind w:left="0"/>
        <w:jc w:val="left"/>
      </w:pPr>
      <w:r>
        <w:rPr>
          <w:rFonts w:ascii="Times New Roman"/>
          <w:b/>
          <w:i w:val="false"/>
          <w:color w:val="000000"/>
        </w:rPr>
        <w:t xml:space="preserve"> Механизмы развития сетей электро-, тепло-, газо-,</w:t>
      </w:r>
      <w:r>
        <w:br/>
      </w:r>
      <w:r>
        <w:rPr>
          <w:rFonts w:ascii="Times New Roman"/>
          <w:b/>
          <w:i w:val="false"/>
          <w:color w:val="000000"/>
        </w:rPr>
        <w:t>водоснабжения и водоотведения</w:t>
      </w:r>
      <w:r>
        <w:br/>
      </w:r>
      <w:r>
        <w:rPr>
          <w:rFonts w:ascii="Times New Roman"/>
          <w:b/>
          <w:i w:val="false"/>
          <w:color w:val="000000"/>
        </w:rPr>
        <w:t>1. Механизм финансирования сетей электро-, тепло-,</w:t>
      </w:r>
      <w:r>
        <w:br/>
      </w:r>
      <w:r>
        <w:rPr>
          <w:rFonts w:ascii="Times New Roman"/>
          <w:b/>
          <w:i w:val="false"/>
          <w:color w:val="000000"/>
        </w:rPr>
        <w:t>газоснабжения и котельных до 100 Гкал/час</w:t>
      </w:r>
    </w:p>
    <w:p>
      <w:pPr>
        <w:spacing w:after="0"/>
        <w:ind w:left="0"/>
        <w:jc w:val="both"/>
      </w:pPr>
      <w:r>
        <w:rPr>
          <w:rFonts w:ascii="Times New Roman"/>
          <w:b w:val="false"/>
          <w:i w:val="false"/>
          <w:color w:val="000000"/>
          <w:sz w:val="28"/>
        </w:rPr>
        <w:t>
      Критерии отбора проектов по строительству и реконструкции сетей тепло-, электро-, газоснабжения и котельных до 100 Гкал/час на приоритетность финансирования.</w:t>
      </w:r>
    </w:p>
    <w:p>
      <w:pPr>
        <w:spacing w:after="0"/>
        <w:ind w:left="0"/>
        <w:jc w:val="both"/>
      </w:pPr>
      <w:r>
        <w:rPr>
          <w:rFonts w:ascii="Times New Roman"/>
          <w:b w:val="false"/>
          <w:i w:val="false"/>
          <w:color w:val="000000"/>
          <w:sz w:val="28"/>
        </w:rPr>
        <w:t>
      1. Социальный фактор</w:t>
      </w:r>
    </w:p>
    <w:p>
      <w:pPr>
        <w:spacing w:after="0"/>
        <w:ind w:left="0"/>
        <w:jc w:val="both"/>
      </w:pPr>
      <w:r>
        <w:rPr>
          <w:rFonts w:ascii="Times New Roman"/>
          <w:b w:val="false"/>
          <w:i w:val="false"/>
          <w:color w:val="000000"/>
          <w:sz w:val="28"/>
        </w:rPr>
        <w:t>
      Обеспеченность населения качественными коммунальными услугами (в зависимости от количества населения), финансируется проект с большим охватом населения.</w:t>
      </w:r>
    </w:p>
    <w:p>
      <w:pPr>
        <w:spacing w:after="0"/>
        <w:ind w:left="0"/>
        <w:jc w:val="both"/>
      </w:pPr>
      <w:r>
        <w:rPr>
          <w:rFonts w:ascii="Times New Roman"/>
          <w:b w:val="false"/>
          <w:i w:val="false"/>
          <w:color w:val="000000"/>
          <w:sz w:val="28"/>
        </w:rPr>
        <w:t>
      2. Применение современных энергосберегающих материалов, оборудований и технологий</w:t>
      </w:r>
    </w:p>
    <w:p>
      <w:pPr>
        <w:spacing w:after="0"/>
        <w:ind w:left="0"/>
        <w:jc w:val="both"/>
      </w:pPr>
      <w:r>
        <w:rPr>
          <w:rFonts w:ascii="Times New Roman"/>
          <w:b w:val="false"/>
          <w:i w:val="false"/>
          <w:color w:val="000000"/>
          <w:sz w:val="28"/>
        </w:rPr>
        <w:t>
      Приоритет отдается более качественным материалам путем сравнения вариантов. В случае одинаковых показателей предпочтение отдается казахстанскому производителю.</w:t>
      </w:r>
    </w:p>
    <w:p>
      <w:pPr>
        <w:spacing w:after="0"/>
        <w:ind w:left="0"/>
        <w:jc w:val="both"/>
      </w:pPr>
      <w:r>
        <w:rPr>
          <w:rFonts w:ascii="Times New Roman"/>
          <w:b w:val="false"/>
          <w:i w:val="false"/>
          <w:color w:val="000000"/>
          <w:sz w:val="28"/>
        </w:rPr>
        <w:t xml:space="preserve">
      3. Теплоисточники: </w:t>
      </w:r>
    </w:p>
    <w:p>
      <w:pPr>
        <w:spacing w:after="0"/>
        <w:ind w:left="0"/>
        <w:jc w:val="both"/>
      </w:pPr>
      <w:r>
        <w:rPr>
          <w:rFonts w:ascii="Times New Roman"/>
          <w:b w:val="false"/>
          <w:i w:val="false"/>
          <w:color w:val="000000"/>
          <w:sz w:val="28"/>
        </w:rPr>
        <w:t>
      1) наличие схемы теплоснабжения;</w:t>
      </w:r>
    </w:p>
    <w:p>
      <w:pPr>
        <w:spacing w:after="0"/>
        <w:ind w:left="0"/>
        <w:jc w:val="both"/>
      </w:pPr>
      <w:r>
        <w:rPr>
          <w:rFonts w:ascii="Times New Roman"/>
          <w:b w:val="false"/>
          <w:i w:val="false"/>
          <w:color w:val="000000"/>
          <w:sz w:val="28"/>
        </w:rPr>
        <w:t>
      2) использование блочно-модульных котельных;</w:t>
      </w:r>
    </w:p>
    <w:p>
      <w:pPr>
        <w:spacing w:after="0"/>
        <w:ind w:left="0"/>
        <w:jc w:val="both"/>
      </w:pPr>
      <w:r>
        <w:rPr>
          <w:rFonts w:ascii="Times New Roman"/>
          <w:b w:val="false"/>
          <w:i w:val="false"/>
          <w:color w:val="000000"/>
          <w:sz w:val="28"/>
        </w:rPr>
        <w:t>
      3) замена отработавших свой ресурс котлов на новые с высокими коэффицентами полезности действий (далее – КПД);</w:t>
      </w:r>
    </w:p>
    <w:p>
      <w:pPr>
        <w:spacing w:after="0"/>
        <w:ind w:left="0"/>
        <w:jc w:val="both"/>
      </w:pPr>
      <w:r>
        <w:rPr>
          <w:rFonts w:ascii="Times New Roman"/>
          <w:b w:val="false"/>
          <w:i w:val="false"/>
          <w:color w:val="000000"/>
          <w:sz w:val="28"/>
        </w:rPr>
        <w:t>
      4) использование когенерационных систем;</w:t>
      </w:r>
    </w:p>
    <w:p>
      <w:pPr>
        <w:spacing w:after="0"/>
        <w:ind w:left="0"/>
        <w:jc w:val="both"/>
      </w:pPr>
      <w:r>
        <w:rPr>
          <w:rFonts w:ascii="Times New Roman"/>
          <w:b w:val="false"/>
          <w:i w:val="false"/>
          <w:color w:val="000000"/>
          <w:sz w:val="28"/>
        </w:rPr>
        <w:t>
      5) обязательное внедрение химводоподготовки;</w:t>
      </w:r>
    </w:p>
    <w:p>
      <w:pPr>
        <w:spacing w:after="0"/>
        <w:ind w:left="0"/>
        <w:jc w:val="both"/>
      </w:pPr>
      <w:r>
        <w:rPr>
          <w:rFonts w:ascii="Times New Roman"/>
          <w:b w:val="false"/>
          <w:i w:val="false"/>
          <w:color w:val="000000"/>
          <w:sz w:val="28"/>
        </w:rPr>
        <w:t>
      6) использование закупки и поставки на котельные угля с калорийностью не менее 4 тыс. ккал.</w:t>
      </w:r>
    </w:p>
    <w:p>
      <w:pPr>
        <w:spacing w:after="0"/>
        <w:ind w:left="0"/>
        <w:jc w:val="both"/>
      </w:pPr>
      <w:r>
        <w:rPr>
          <w:rFonts w:ascii="Times New Roman"/>
          <w:b w:val="false"/>
          <w:i w:val="false"/>
          <w:color w:val="000000"/>
          <w:sz w:val="28"/>
        </w:rPr>
        <w:t>
      4. Сети теплоснабжения</w:t>
      </w:r>
    </w:p>
    <w:p>
      <w:pPr>
        <w:spacing w:after="0"/>
        <w:ind w:left="0"/>
        <w:jc w:val="both"/>
      </w:pPr>
      <w:r>
        <w:rPr>
          <w:rFonts w:ascii="Times New Roman"/>
          <w:b w:val="false"/>
          <w:i w:val="false"/>
          <w:color w:val="000000"/>
          <w:sz w:val="28"/>
        </w:rPr>
        <w:t>
      Замена трубопроводов существующих тепломагистралей только на трубы с эффективной теплоизоляцией, оснащенной системами контроля и сбора данных для оперативного диспетчерского управления;</w:t>
      </w:r>
    </w:p>
    <w:p>
      <w:pPr>
        <w:spacing w:after="0"/>
        <w:ind w:left="0"/>
        <w:jc w:val="both"/>
      </w:pPr>
      <w:r>
        <w:rPr>
          <w:rFonts w:ascii="Times New Roman"/>
          <w:b w:val="false"/>
          <w:i w:val="false"/>
          <w:color w:val="000000"/>
          <w:sz w:val="28"/>
        </w:rPr>
        <w:t>
      назначение трубопровода (магистральные, внутриквартальные).</w:t>
      </w:r>
    </w:p>
    <w:p>
      <w:pPr>
        <w:spacing w:after="0"/>
        <w:ind w:left="0"/>
        <w:jc w:val="both"/>
      </w:pPr>
      <w:r>
        <w:rPr>
          <w:rFonts w:ascii="Times New Roman"/>
          <w:b w:val="false"/>
          <w:i w:val="false"/>
          <w:color w:val="000000"/>
          <w:sz w:val="28"/>
        </w:rPr>
        <w:t>
      5. Сети газоснабжения</w:t>
      </w:r>
    </w:p>
    <w:p>
      <w:pPr>
        <w:spacing w:after="0"/>
        <w:ind w:left="0"/>
        <w:jc w:val="both"/>
      </w:pPr>
      <w:r>
        <w:rPr>
          <w:rFonts w:ascii="Times New Roman"/>
          <w:b w:val="false"/>
          <w:i w:val="false"/>
          <w:color w:val="000000"/>
          <w:sz w:val="28"/>
        </w:rPr>
        <w:t>
      Назначение трубопровода (магистральные, внутриквартальные).</w:t>
      </w:r>
    </w:p>
    <w:p>
      <w:pPr>
        <w:spacing w:after="0"/>
        <w:ind w:left="0"/>
        <w:jc w:val="both"/>
      </w:pPr>
      <w:r>
        <w:rPr>
          <w:rFonts w:ascii="Times New Roman"/>
          <w:b w:val="false"/>
          <w:i w:val="false"/>
          <w:color w:val="000000"/>
          <w:sz w:val="28"/>
        </w:rPr>
        <w:t>
      6. Сети электроснабжения</w:t>
      </w:r>
    </w:p>
    <w:p>
      <w:pPr>
        <w:spacing w:after="0"/>
        <w:ind w:left="0"/>
        <w:jc w:val="both"/>
      </w:pPr>
      <w:r>
        <w:rPr>
          <w:rFonts w:ascii="Times New Roman"/>
          <w:b w:val="false"/>
          <w:i w:val="false"/>
          <w:color w:val="000000"/>
          <w:sz w:val="28"/>
        </w:rPr>
        <w:t>
      Использование СИП.</w:t>
      </w:r>
    </w:p>
    <w:p>
      <w:pPr>
        <w:spacing w:after="0"/>
        <w:ind w:left="0"/>
        <w:jc w:val="both"/>
      </w:pPr>
      <w:r>
        <w:rPr>
          <w:rFonts w:ascii="Times New Roman"/>
          <w:b w:val="false"/>
          <w:i w:val="false"/>
          <w:color w:val="000000"/>
          <w:sz w:val="28"/>
        </w:rPr>
        <w:t>
      7. Достижение целевых индикаторов, предусмотренные программой ЖКХ</w:t>
      </w:r>
    </w:p>
    <w:p>
      <w:pPr>
        <w:spacing w:after="0"/>
        <w:ind w:left="0"/>
        <w:jc w:val="both"/>
      </w:pPr>
      <w:r>
        <w:rPr>
          <w:rFonts w:ascii="Times New Roman"/>
          <w:b w:val="false"/>
          <w:i w:val="false"/>
          <w:color w:val="000000"/>
          <w:sz w:val="28"/>
        </w:rPr>
        <w:t>
      Приоритет отдается проектам, которые максимально увеличивают индикатор протяженности модернизированных сетей (снижение уровня износа сетей).</w:t>
      </w:r>
    </w:p>
    <w:p>
      <w:pPr>
        <w:spacing w:after="0"/>
        <w:ind w:left="0"/>
        <w:jc w:val="both"/>
      </w:pPr>
      <w:r>
        <w:rPr>
          <w:rFonts w:ascii="Times New Roman"/>
          <w:b w:val="false"/>
          <w:i w:val="false"/>
          <w:color w:val="000000"/>
          <w:sz w:val="28"/>
        </w:rPr>
        <w:t>
      8. Завершение переходящих проектов</w:t>
      </w:r>
    </w:p>
    <w:p>
      <w:pPr>
        <w:spacing w:after="0"/>
        <w:ind w:left="0"/>
        <w:jc w:val="both"/>
      </w:pPr>
      <w:r>
        <w:rPr>
          <w:rFonts w:ascii="Times New Roman"/>
          <w:b w:val="false"/>
          <w:i w:val="false"/>
          <w:color w:val="000000"/>
          <w:sz w:val="28"/>
        </w:rPr>
        <w:t>
      По области финансируются в первую очередь переходящие проекты.</w:t>
      </w:r>
    </w:p>
    <w:p>
      <w:pPr>
        <w:spacing w:after="0"/>
        <w:ind w:left="0"/>
        <w:jc w:val="both"/>
      </w:pPr>
      <w:r>
        <w:rPr>
          <w:rFonts w:ascii="Times New Roman"/>
          <w:b w:val="false"/>
          <w:i w:val="false"/>
          <w:color w:val="000000"/>
          <w:sz w:val="28"/>
        </w:rPr>
        <w:t>
      9. Проекты по поручению вышестоящих государственных органов в случае соответствия вышеуказанным критериям</w:t>
      </w:r>
    </w:p>
    <w:p>
      <w:pPr>
        <w:spacing w:after="0"/>
        <w:ind w:left="0"/>
        <w:jc w:val="both"/>
      </w:pPr>
      <w:r>
        <w:rPr>
          <w:rFonts w:ascii="Times New Roman"/>
          <w:b w:val="false"/>
          <w:i w:val="false"/>
          <w:color w:val="000000"/>
          <w:sz w:val="28"/>
        </w:rPr>
        <w:t>
      Поручения Главы государства, Правительства Республики Казахстан, запросы депутатов Парламента.</w:t>
      </w:r>
    </w:p>
    <w:p>
      <w:pPr>
        <w:spacing w:after="0"/>
        <w:ind w:left="0"/>
        <w:jc w:val="both"/>
      </w:pPr>
      <w:r>
        <w:rPr>
          <w:rFonts w:ascii="Times New Roman"/>
          <w:b w:val="false"/>
          <w:i w:val="false"/>
          <w:color w:val="000000"/>
          <w:sz w:val="28"/>
        </w:rPr>
        <w:t>
      10. Стоимость проекта</w:t>
      </w:r>
    </w:p>
    <w:p>
      <w:pPr>
        <w:spacing w:after="0"/>
        <w:ind w:left="0"/>
        <w:jc w:val="both"/>
      </w:pPr>
      <w:r>
        <w:rPr>
          <w:rFonts w:ascii="Times New Roman"/>
          <w:b w:val="false"/>
          <w:i w:val="false"/>
          <w:color w:val="000000"/>
          <w:sz w:val="28"/>
        </w:rPr>
        <w:t>
      Приоритет отдается более крупному проекту, учитывая отсутствие финансовых возможностей у регионов.</w:t>
      </w:r>
    </w:p>
    <w:p>
      <w:pPr>
        <w:spacing w:after="0"/>
        <w:ind w:left="0"/>
        <w:jc w:val="both"/>
      </w:pPr>
      <w:r>
        <w:rPr>
          <w:rFonts w:ascii="Times New Roman"/>
          <w:b w:val="false"/>
          <w:i w:val="false"/>
          <w:color w:val="000000"/>
          <w:sz w:val="28"/>
        </w:rPr>
        <w:t>
      Бальная система выбора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2876"/>
        <w:gridCol w:w="1769"/>
        <w:gridCol w:w="1769"/>
        <w:gridCol w:w="1770"/>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020"/>
        <w:gridCol w:w="3877"/>
        <w:gridCol w:w="2135"/>
        <w:gridCol w:w="34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фактор</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качественными коммунальными услугами (в зависимости от количества населения), то есть финансируется проект с большим охватом населения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тыс.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 до 20 тыс.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тыс. чел</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энергосберегающих материалов, оборудований и технологий</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отдается более качественным материалам путем сравнения вариантов. В случае одинаковых показателей предпочтение отдается казахстанскому производителю.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качественный, казахстанского производства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импортного производства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теплоснабжению:</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теплоснабжения;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требование для всех проектов по теплоисточникам, не финансируется в случае отсутствия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схема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блочно-модульных котельных;</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тепловой нагрузке до 5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отработавших свой ресурс котлов на новые с высоким КПД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свыше 85 %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менее 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когенерационных систем;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внедрения когенерации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когенерации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внедрение химводоподготовки;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закупки и поставки на котельные угля с калорийностью не менее 4 тыс. ккал</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калорийностью свыше 4 тыс. ккал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4 тыс. ккал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тепловые сети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трубопроводов существующих тепломагистралей только на трубы с эффективной теплоизоляцией, оснащенной системами контроля и сбора данных для оперативного диспетчерского управления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предизолированная труба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предизолированная труба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трубопровода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внутриквартальные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газоснабжению</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электроснабжению</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СИП</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СИП</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целевых индикаторов, предусмотренных программой ЖКХ</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отдается проектам, которые максимально увеличивают индикатор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модернизированных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теплоснабжению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газоснабжению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электроснабжению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переходящих проектов</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 финансируются в первую очередь переходящие проекты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по поручению вышестоящих государственных органов в случае соответствия вышеуказанным критериям</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Главы государства,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поручения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Правительства Республики Казахстан, депутатов Парламента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отдается более крупному проекту, учитывая отсуствие финансовых возможностей у регионов</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2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500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(финансируется за счет средств местного бюджета)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млн.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ускоренной модернизации сетей тепло-, водоснабжения и водоотведения финансирование будет осуществляться дополнительно за счет средств целевого трансферта из Национального фонда в республиканский бюджет в размере 160 млрд. тенге, в том числе в 2015 году – 60 млрд. тенге и 2016 году – 100 млрд. тенге.</w:t>
      </w:r>
    </w:p>
    <w:p>
      <w:pPr>
        <w:spacing w:after="0"/>
        <w:ind w:left="0"/>
        <w:jc w:val="both"/>
      </w:pPr>
      <w:r>
        <w:rPr>
          <w:rFonts w:ascii="Times New Roman"/>
          <w:b w:val="false"/>
          <w:i w:val="false"/>
          <w:color w:val="000000"/>
          <w:sz w:val="28"/>
        </w:rPr>
        <w:t xml:space="preserve">
      Для стимулирования местными исполнительными органами (далее – МИО) по привлечению средств международных финансовых организаций, а также эффективного использования бюджетных средств будет проработан вопрос о возможности финансирования новых проектов, планируемых к реализации в 2016 году за счет целевых трансфертов, через механизм бюджетного кредитования. </w:t>
      </w:r>
    </w:p>
    <w:p>
      <w:pPr>
        <w:spacing w:after="0"/>
        <w:ind w:left="0"/>
        <w:jc w:val="both"/>
      </w:pPr>
      <w:r>
        <w:rPr>
          <w:rFonts w:ascii="Times New Roman"/>
          <w:b w:val="false"/>
          <w:i w:val="false"/>
          <w:color w:val="000000"/>
          <w:sz w:val="28"/>
        </w:rPr>
        <w:t>
      В целях сокращения теплопотерь в рамках настоящей Программы необходимо провести термомодернизацию многоквартирных жилых домов и произвести широкомасштабную установку автоматических тепловых пунктов, приборов учета тепла уполномоченной организацией АО "КазЦентрЖКХ", а также проработать вопрос по созданию в регионах управляющих компании (единых операторов) по котельным мощностью до 100 Гкал/час, в том числе для объектов социальной сферы.</w:t>
      </w:r>
    </w:p>
    <w:p>
      <w:pPr>
        <w:spacing w:after="0"/>
        <w:ind w:left="0"/>
        <w:jc w:val="left"/>
      </w:pPr>
      <w:r>
        <w:rPr>
          <w:rFonts w:ascii="Times New Roman"/>
          <w:b/>
          <w:i w:val="false"/>
          <w:color w:val="000000"/>
        </w:rPr>
        <w:t xml:space="preserve"> 2. Механизм развития системы водоснабжения и водоотведения</w:t>
      </w:r>
    </w:p>
    <w:p>
      <w:pPr>
        <w:spacing w:after="0"/>
        <w:ind w:left="0"/>
        <w:jc w:val="both"/>
      </w:pPr>
      <w:r>
        <w:rPr>
          <w:rFonts w:ascii="Times New Roman"/>
          <w:b w:val="false"/>
          <w:i w:val="false"/>
          <w:color w:val="000000"/>
          <w:sz w:val="28"/>
        </w:rPr>
        <w:t xml:space="preserve">
      Одним из основных факторов развития регионов является обеспеченность населения качественной питьевой водой и услугами водоотведения. </w:t>
      </w:r>
    </w:p>
    <w:p>
      <w:pPr>
        <w:spacing w:after="0"/>
        <w:ind w:left="0"/>
        <w:jc w:val="both"/>
      </w:pPr>
      <w:r>
        <w:rPr>
          <w:rFonts w:ascii="Times New Roman"/>
          <w:b w:val="false"/>
          <w:i w:val="false"/>
          <w:color w:val="000000"/>
          <w:sz w:val="28"/>
        </w:rPr>
        <w:t>
      Несмотря на определенные улучшения в обеспечении питьевой водой, на сегодняшний день значительная часть населения республики все еще не обеспечена водой соответствующего качества и в полном объеме. Многие очистные сооружения выработали свои эксплуатационные ресурсы и требуют ремонта, другие – работают с перегрузкой, что приводит к несоответствию технологии очистки сточных вод проектным данным.</w:t>
      </w:r>
    </w:p>
    <w:p>
      <w:pPr>
        <w:spacing w:after="0"/>
        <w:ind w:left="0"/>
        <w:jc w:val="both"/>
      </w:pPr>
      <w:r>
        <w:rPr>
          <w:rFonts w:ascii="Times New Roman"/>
          <w:b w:val="false"/>
          <w:i w:val="false"/>
          <w:color w:val="000000"/>
          <w:sz w:val="28"/>
        </w:rPr>
        <w:t>
      Сектор водоснабжения и водоотведения в сельских населенных пунктах характеризуется комплексом проблем.</w:t>
      </w:r>
    </w:p>
    <w:p>
      <w:pPr>
        <w:spacing w:after="0"/>
        <w:ind w:left="0"/>
        <w:jc w:val="both"/>
      </w:pPr>
      <w:r>
        <w:rPr>
          <w:rFonts w:ascii="Times New Roman"/>
          <w:b w:val="false"/>
          <w:i w:val="false"/>
          <w:color w:val="000000"/>
          <w:sz w:val="28"/>
        </w:rPr>
        <w:t>
      В этой связи в секторе водоснабжения и водоотведения будет рассмотрен вопрос о создании единого оператора по эксплуатации, проектированию, строительству и реконструкции систем водоснабжения и водоотведения в населенных пунктах.</w:t>
      </w:r>
    </w:p>
    <w:p>
      <w:pPr>
        <w:spacing w:after="0"/>
        <w:ind w:left="0"/>
        <w:jc w:val="both"/>
      </w:pPr>
      <w:r>
        <w:rPr>
          <w:rFonts w:ascii="Times New Roman"/>
          <w:b w:val="false"/>
          <w:i w:val="false"/>
          <w:color w:val="000000"/>
          <w:sz w:val="28"/>
        </w:rPr>
        <w:t>
      Источниками водоснабжения в населенных пунктах являются поверхностные, подземные воды.</w:t>
      </w:r>
    </w:p>
    <w:p>
      <w:pPr>
        <w:spacing w:after="0"/>
        <w:ind w:left="0"/>
        <w:jc w:val="both"/>
      </w:pPr>
      <w:r>
        <w:rPr>
          <w:rFonts w:ascii="Times New Roman"/>
          <w:b w:val="false"/>
          <w:i w:val="false"/>
          <w:color w:val="000000"/>
          <w:sz w:val="28"/>
        </w:rPr>
        <w:t>
      Для максимального использования потенциала подземных вод в рамках Программы будет активизирована работа по вовлечению в хозяйственный оборот месторождений пресных подземных вод, как наиболее защищенного и надежного источника питьевой воды высокого качества.</w:t>
      </w:r>
    </w:p>
    <w:p>
      <w:pPr>
        <w:spacing w:after="0"/>
        <w:ind w:left="0"/>
        <w:jc w:val="both"/>
      </w:pPr>
      <w:r>
        <w:rPr>
          <w:rFonts w:ascii="Times New Roman"/>
          <w:b w:val="false"/>
          <w:i w:val="false"/>
          <w:color w:val="000000"/>
          <w:sz w:val="28"/>
        </w:rPr>
        <w:t xml:space="preserve">
      Требуемый объем геолого-разведочных работ будет ежегодно определяться уполномоченным органом в области государственного управления недропользованием в части подземных вод совместно с уполномоченным органом в сфере коммунального хозяйства и уполнолномоченным органом в сфере управления водными ресурсами, исходя из требуемого объема работ по развитию и модернизации систем водоснабжения и водоотведения. </w:t>
      </w:r>
    </w:p>
    <w:p>
      <w:pPr>
        <w:spacing w:after="0"/>
        <w:ind w:left="0"/>
        <w:jc w:val="both"/>
      </w:pPr>
      <w:r>
        <w:rPr>
          <w:rFonts w:ascii="Times New Roman"/>
          <w:b w:val="false"/>
          <w:i w:val="false"/>
          <w:color w:val="000000"/>
          <w:sz w:val="28"/>
        </w:rPr>
        <w:t>
      Уполномоченный орган в области государственного управления недропользованием в части подземных вод будет выдавать временные заключения о наличии запасов подземных вод по действующим водозаборам, срок эксплуатации которых истек.</w:t>
      </w:r>
    </w:p>
    <w:p>
      <w:pPr>
        <w:spacing w:after="0"/>
        <w:ind w:left="0"/>
        <w:jc w:val="both"/>
      </w:pPr>
      <w:r>
        <w:rPr>
          <w:rFonts w:ascii="Times New Roman"/>
          <w:b w:val="false"/>
          <w:i w:val="false"/>
          <w:color w:val="000000"/>
          <w:sz w:val="28"/>
        </w:rPr>
        <w:t>
      Поверхностные источники водоснабжения будут использоваться там, где отсутствуют подземные источники водоснабжения.</w:t>
      </w:r>
    </w:p>
    <w:p>
      <w:pPr>
        <w:spacing w:after="0"/>
        <w:ind w:left="0"/>
        <w:jc w:val="both"/>
      </w:pPr>
      <w:r>
        <w:rPr>
          <w:rFonts w:ascii="Times New Roman"/>
          <w:b w:val="false"/>
          <w:i w:val="false"/>
          <w:color w:val="000000"/>
          <w:sz w:val="28"/>
        </w:rPr>
        <w:t>
      Уполнолномоченный орган в сфере управления водными ресурсами будет проводить мероприятия по строительству и реконструкции групповых водоводов.</w:t>
      </w:r>
    </w:p>
    <w:p>
      <w:pPr>
        <w:spacing w:after="0"/>
        <w:ind w:left="0"/>
        <w:jc w:val="both"/>
      </w:pPr>
      <w:r>
        <w:rPr>
          <w:rFonts w:ascii="Times New Roman"/>
          <w:b w:val="false"/>
          <w:i w:val="false"/>
          <w:color w:val="000000"/>
          <w:sz w:val="28"/>
        </w:rPr>
        <w:t xml:space="preserve">
      Также в секторе сельского водоснабжения необходимо максимально использовать локальные источники водоснабжения, разработать и широко применить типовые проекты в населенных пунктах с малым количеством населения с применением блочных очистных сооружений. </w:t>
      </w:r>
    </w:p>
    <w:p>
      <w:pPr>
        <w:spacing w:after="0"/>
        <w:ind w:left="0"/>
        <w:jc w:val="both"/>
      </w:pPr>
      <w:r>
        <w:rPr>
          <w:rFonts w:ascii="Times New Roman"/>
          <w:b w:val="false"/>
          <w:i w:val="false"/>
          <w:color w:val="000000"/>
          <w:sz w:val="28"/>
        </w:rPr>
        <w:t>
      С целью недопущения фактов неэффективного и нерационального использования бюджетных средств, расширения поиска альтернативных и экономичных решений по обеспечению населения питьевой водой и водоотведением на предстоящий период до 2020 года развитие сектора водоснабжения и водоотведения будет осуществляться по следующим направлениям:</w:t>
      </w:r>
    </w:p>
    <w:p>
      <w:pPr>
        <w:spacing w:after="0"/>
        <w:ind w:left="0"/>
        <w:jc w:val="both"/>
      </w:pPr>
      <w:r>
        <w:rPr>
          <w:rFonts w:ascii="Times New Roman"/>
          <w:b w:val="false"/>
          <w:i w:val="false"/>
          <w:color w:val="000000"/>
          <w:sz w:val="28"/>
        </w:rPr>
        <w:t>
      1) внедрение системного подхода при строительстве новых объектов водоснабжения и водоотведения и реконструкции действующих;</w:t>
      </w:r>
    </w:p>
    <w:p>
      <w:pPr>
        <w:spacing w:after="0"/>
        <w:ind w:left="0"/>
        <w:jc w:val="both"/>
      </w:pPr>
      <w:r>
        <w:rPr>
          <w:rFonts w:ascii="Times New Roman"/>
          <w:b w:val="false"/>
          <w:i w:val="false"/>
          <w:color w:val="000000"/>
          <w:sz w:val="28"/>
        </w:rPr>
        <w:t xml:space="preserve">
      2) повышение инвестиционной привлекательности водохозяйственного сектора водоснабжения и водоотведения и максимальное вовлечение частного капитала в финансирование объектов водоснабжения и водоотведения. Поэтапный перевод предприятий водоснабжения и водоотведения в городской и сельской местности на модели государственно-частного партнерства; </w:t>
      </w:r>
    </w:p>
    <w:p>
      <w:pPr>
        <w:spacing w:after="0"/>
        <w:ind w:left="0"/>
        <w:jc w:val="both"/>
      </w:pPr>
      <w:r>
        <w:rPr>
          <w:rFonts w:ascii="Times New Roman"/>
          <w:b w:val="false"/>
          <w:i w:val="false"/>
          <w:color w:val="000000"/>
          <w:sz w:val="28"/>
        </w:rPr>
        <w:t>
      3) совершенствование нормативной правовой и нормативно-технической базы в сфере водоснабжения и водоотведения, разработка типовых проектов и типовых проектных решений, внедрение единой технической политики создания и эксплуатации систем водоснабжения и водоотведения;</w:t>
      </w:r>
    </w:p>
    <w:p>
      <w:pPr>
        <w:spacing w:after="0"/>
        <w:ind w:left="0"/>
        <w:jc w:val="both"/>
      </w:pPr>
      <w:r>
        <w:rPr>
          <w:rFonts w:ascii="Times New Roman"/>
          <w:b w:val="false"/>
          <w:i w:val="false"/>
          <w:color w:val="000000"/>
          <w:sz w:val="28"/>
        </w:rPr>
        <w:t>
      4) максимальное использование потенциала подземных вод для обеспечения населения питьевой водой;</w:t>
      </w:r>
    </w:p>
    <w:p>
      <w:pPr>
        <w:spacing w:after="0"/>
        <w:ind w:left="0"/>
        <w:jc w:val="both"/>
      </w:pPr>
      <w:r>
        <w:rPr>
          <w:rFonts w:ascii="Times New Roman"/>
          <w:b w:val="false"/>
          <w:i w:val="false"/>
          <w:color w:val="000000"/>
          <w:sz w:val="28"/>
        </w:rPr>
        <w:t>
      5) повышение качества проектирования системы водоснабжения и водоотведения и развитие казахстанского содержания в отрасли водоснабжения и водоотведения;</w:t>
      </w:r>
    </w:p>
    <w:p>
      <w:pPr>
        <w:spacing w:after="0"/>
        <w:ind w:left="0"/>
        <w:jc w:val="both"/>
      </w:pPr>
      <w:r>
        <w:rPr>
          <w:rFonts w:ascii="Times New Roman"/>
          <w:b w:val="false"/>
          <w:i w:val="false"/>
          <w:color w:val="000000"/>
          <w:sz w:val="28"/>
        </w:rPr>
        <w:t>
      6) кадровое обеспечение отрасли.</w:t>
      </w:r>
    </w:p>
    <w:p>
      <w:pPr>
        <w:spacing w:after="0"/>
        <w:ind w:left="0"/>
        <w:jc w:val="both"/>
      </w:pPr>
      <w:r>
        <w:rPr>
          <w:rFonts w:ascii="Times New Roman"/>
          <w:b w:val="false"/>
          <w:i w:val="false"/>
          <w:color w:val="000000"/>
          <w:sz w:val="28"/>
        </w:rPr>
        <w:t>
      При развитии систем водоснабжения и водоотведения будут приниматься приоритеты, указанные в задачах Программы (развитие агломераций, городов "второго уровня", городов "третьего уровня", сельских территорий, приграничных территорий), и основные положения Программы.</w:t>
      </w:r>
    </w:p>
    <w:p>
      <w:pPr>
        <w:spacing w:after="0"/>
        <w:ind w:left="0"/>
        <w:jc w:val="both"/>
      </w:pPr>
      <w:r>
        <w:rPr>
          <w:rFonts w:ascii="Times New Roman"/>
          <w:b w:val="false"/>
          <w:i w:val="false"/>
          <w:color w:val="000000"/>
          <w:sz w:val="28"/>
        </w:rPr>
        <w:t>
      1. Системный подход в городской местности предполагает следующее:</w:t>
      </w:r>
    </w:p>
    <w:p>
      <w:pPr>
        <w:spacing w:after="0"/>
        <w:ind w:left="0"/>
        <w:jc w:val="both"/>
      </w:pPr>
      <w:r>
        <w:rPr>
          <w:rFonts w:ascii="Times New Roman"/>
          <w:b w:val="false"/>
          <w:i w:val="false"/>
          <w:color w:val="000000"/>
          <w:sz w:val="28"/>
        </w:rPr>
        <w:t>
      1) формирование уполномоченным органом в сфере коммунального хозяйства предварительного списка населенных пунктов, требующих строительства и реконструкции сетей водоснабжения и водоотведения;</w:t>
      </w:r>
    </w:p>
    <w:p>
      <w:pPr>
        <w:spacing w:after="0"/>
        <w:ind w:left="0"/>
        <w:jc w:val="both"/>
      </w:pPr>
      <w:r>
        <w:rPr>
          <w:rFonts w:ascii="Times New Roman"/>
          <w:b w:val="false"/>
          <w:i w:val="false"/>
          <w:color w:val="000000"/>
          <w:sz w:val="28"/>
        </w:rPr>
        <w:t>
      2) завершение разработки обоснований инвестиций 53 городских систем водоснабжения и водоотведения (начало во втором полугодии 2011 года и завершение в 2014 году).</w:t>
      </w:r>
    </w:p>
    <w:p>
      <w:pPr>
        <w:spacing w:after="0"/>
        <w:ind w:left="0"/>
        <w:jc w:val="both"/>
      </w:pPr>
      <w:r>
        <w:rPr>
          <w:rFonts w:ascii="Times New Roman"/>
          <w:b w:val="false"/>
          <w:i w:val="false"/>
          <w:color w:val="000000"/>
          <w:sz w:val="28"/>
        </w:rPr>
        <w:t>
      Основой для разработки обоснований инвестиций систем водоснабжения и водоотведения являются перспективные показатели развития городов (численность населения, промышленность и т.п.), на основе которых формируются соответствующие данные (общий объем водопотребления и водоотведения, прогнозируются качественные и количественные характеристики стоков и т.п.).</w:t>
      </w:r>
    </w:p>
    <w:p>
      <w:pPr>
        <w:spacing w:after="0"/>
        <w:ind w:left="0"/>
        <w:jc w:val="both"/>
      </w:pPr>
      <w:r>
        <w:rPr>
          <w:rFonts w:ascii="Times New Roman"/>
          <w:b w:val="false"/>
          <w:i w:val="false"/>
          <w:color w:val="000000"/>
          <w:sz w:val="28"/>
        </w:rPr>
        <w:t>
      Утверждение местными исполнительными органами обоснований инвестиций по городам, не имеющим генеральных планов, производится на основании перспективных показателей развития городов на срок не менее расчетного 2020 года.</w:t>
      </w:r>
    </w:p>
    <w:p>
      <w:pPr>
        <w:spacing w:after="0"/>
        <w:ind w:left="0"/>
        <w:jc w:val="both"/>
      </w:pPr>
      <w:r>
        <w:rPr>
          <w:rFonts w:ascii="Times New Roman"/>
          <w:b w:val="false"/>
          <w:i w:val="false"/>
          <w:color w:val="000000"/>
          <w:sz w:val="28"/>
        </w:rPr>
        <w:t>
      3) согласование МИО перечня объектов, по которым планируется разработка проектно-сметной документации (далее – ПСД) с уполномоченным органом в сфере коммунального хозяйства и с уполномоченным органом в сфере управления водными ресурсами согласно уровням приоритетов Программы;</w:t>
      </w:r>
    </w:p>
    <w:p>
      <w:pPr>
        <w:spacing w:after="0"/>
        <w:ind w:left="0"/>
        <w:jc w:val="both"/>
      </w:pPr>
      <w:r>
        <w:rPr>
          <w:rFonts w:ascii="Times New Roman"/>
          <w:b w:val="false"/>
          <w:i w:val="false"/>
          <w:color w:val="000000"/>
          <w:sz w:val="28"/>
        </w:rPr>
        <w:t>
      4) формирование уполномоченным органом в сфере коммунального хозяйства единого перечня проектов водоснабжения и водоотведения в соответствии с обоснованием инвестиций городских систем водоснабжения и водоотведения;</w:t>
      </w:r>
    </w:p>
    <w:p>
      <w:pPr>
        <w:spacing w:after="0"/>
        <w:ind w:left="0"/>
        <w:jc w:val="both"/>
      </w:pPr>
      <w:r>
        <w:rPr>
          <w:rFonts w:ascii="Times New Roman"/>
          <w:b w:val="false"/>
          <w:i w:val="false"/>
          <w:color w:val="000000"/>
          <w:sz w:val="28"/>
        </w:rPr>
        <w:t xml:space="preserve">
      5) согласование предварительного перечня проектов водоснабжения и водоотведения на межведомственной комиссии по вопросам региональной политики (далее – МВК). В случае внесения изменений и дополнений в течение финансового года в согласованный МВК перечень проектов водоснабжения и водоотведения, уточненный перечень необходимо внести на согласование МВК. </w:t>
      </w:r>
    </w:p>
    <w:p>
      <w:pPr>
        <w:spacing w:after="0"/>
        <w:ind w:left="0"/>
        <w:jc w:val="both"/>
      </w:pPr>
      <w:r>
        <w:rPr>
          <w:rFonts w:ascii="Times New Roman"/>
          <w:b w:val="false"/>
          <w:i w:val="false"/>
          <w:color w:val="000000"/>
          <w:sz w:val="28"/>
        </w:rPr>
        <w:t>
      Формирование предварительного перечня проектов водоснабжения и водоотведения будет осуществлено уполномоченным органом в сфере коммунального хозяйства на основе бюджетных заявок МИО на предстоящий финансовый год в первом квартале года, предшествующего планируемому финансовому году.</w:t>
      </w:r>
    </w:p>
    <w:p>
      <w:pPr>
        <w:spacing w:after="0"/>
        <w:ind w:left="0"/>
        <w:jc w:val="both"/>
      </w:pPr>
      <w:r>
        <w:rPr>
          <w:rFonts w:ascii="Times New Roman"/>
          <w:b w:val="false"/>
          <w:i w:val="false"/>
          <w:color w:val="000000"/>
          <w:sz w:val="28"/>
        </w:rPr>
        <w:t xml:space="preserve">
      При этом должно быть учтено обязательное софинансирование со стороны МИО в установленном законодательством Республики Казахстан порядке. Уровень софинансирования со стороны МИО будет рассматриваться ежегодно на МВК индивидуально по каждому региону, в том числе по капиталоемким объектам на предстоящий планируемый бюджетный период. </w:t>
      </w:r>
    </w:p>
    <w:p>
      <w:pPr>
        <w:spacing w:after="0"/>
        <w:ind w:left="0"/>
        <w:jc w:val="both"/>
      </w:pPr>
      <w:r>
        <w:rPr>
          <w:rFonts w:ascii="Times New Roman"/>
          <w:b w:val="false"/>
          <w:i w:val="false"/>
          <w:color w:val="000000"/>
          <w:sz w:val="28"/>
        </w:rPr>
        <w:t>
      К финансированию допускаются проекты с наличием следующих документов:</w:t>
      </w:r>
    </w:p>
    <w:p>
      <w:pPr>
        <w:spacing w:after="0"/>
        <w:ind w:left="0"/>
        <w:jc w:val="both"/>
      </w:pPr>
      <w:r>
        <w:rPr>
          <w:rFonts w:ascii="Times New Roman"/>
          <w:b w:val="false"/>
          <w:i w:val="false"/>
          <w:color w:val="000000"/>
          <w:sz w:val="28"/>
        </w:rPr>
        <w:t>
      1) ПСД на электронном и бумажных носителях;</w:t>
      </w:r>
    </w:p>
    <w:p>
      <w:pPr>
        <w:spacing w:after="0"/>
        <w:ind w:left="0"/>
        <w:jc w:val="both"/>
      </w:pPr>
      <w:r>
        <w:rPr>
          <w:rFonts w:ascii="Times New Roman"/>
          <w:b w:val="false"/>
          <w:i w:val="false"/>
          <w:color w:val="000000"/>
          <w:sz w:val="28"/>
        </w:rPr>
        <w:t>
      2) санитарно-эпидемиологической и экологической экспертизы;</w:t>
      </w:r>
    </w:p>
    <w:p>
      <w:pPr>
        <w:spacing w:after="0"/>
        <w:ind w:left="0"/>
        <w:jc w:val="both"/>
      </w:pPr>
      <w:r>
        <w:rPr>
          <w:rFonts w:ascii="Times New Roman"/>
          <w:b w:val="false"/>
          <w:i w:val="false"/>
          <w:color w:val="000000"/>
          <w:sz w:val="28"/>
        </w:rPr>
        <w:t xml:space="preserve">
      3) согласования уполномоченного органа в области государственного управления недропользованием в части подземных вод, в том числе временного заключения по действующим источникам водоснабжения, срок эксплуатации которых истек; </w:t>
      </w:r>
    </w:p>
    <w:p>
      <w:pPr>
        <w:spacing w:after="0"/>
        <w:ind w:left="0"/>
        <w:jc w:val="both"/>
      </w:pPr>
      <w:r>
        <w:rPr>
          <w:rFonts w:ascii="Times New Roman"/>
          <w:b w:val="false"/>
          <w:i w:val="false"/>
          <w:color w:val="000000"/>
          <w:sz w:val="28"/>
        </w:rPr>
        <w:t>
      4) заключения государственной экспертизы ПСД проекта;</w:t>
      </w:r>
    </w:p>
    <w:p>
      <w:pPr>
        <w:spacing w:after="0"/>
        <w:ind w:left="0"/>
        <w:jc w:val="both"/>
      </w:pPr>
      <w:r>
        <w:rPr>
          <w:rFonts w:ascii="Times New Roman"/>
          <w:b w:val="false"/>
          <w:i w:val="false"/>
          <w:color w:val="000000"/>
          <w:sz w:val="28"/>
        </w:rPr>
        <w:t>
      5) отраслевого заключения отраслевого государственного органа;</w:t>
      </w:r>
    </w:p>
    <w:p>
      <w:pPr>
        <w:spacing w:after="0"/>
        <w:ind w:left="0"/>
        <w:jc w:val="both"/>
      </w:pPr>
      <w:r>
        <w:rPr>
          <w:rFonts w:ascii="Times New Roman"/>
          <w:b w:val="false"/>
          <w:i w:val="false"/>
          <w:color w:val="000000"/>
          <w:sz w:val="28"/>
        </w:rPr>
        <w:t>
      6) пояснительной записки;</w:t>
      </w:r>
    </w:p>
    <w:p>
      <w:pPr>
        <w:spacing w:after="0"/>
        <w:ind w:left="0"/>
        <w:jc w:val="both"/>
      </w:pPr>
      <w:r>
        <w:rPr>
          <w:rFonts w:ascii="Times New Roman"/>
          <w:b w:val="false"/>
          <w:i w:val="false"/>
          <w:color w:val="000000"/>
          <w:sz w:val="28"/>
        </w:rPr>
        <w:t>
      7) приказа об утверждении проекта;</w:t>
      </w:r>
    </w:p>
    <w:p>
      <w:pPr>
        <w:spacing w:after="0"/>
        <w:ind w:left="0"/>
        <w:jc w:val="both"/>
      </w:pPr>
      <w:r>
        <w:rPr>
          <w:rFonts w:ascii="Times New Roman"/>
          <w:b w:val="false"/>
          <w:i w:val="false"/>
          <w:color w:val="000000"/>
          <w:sz w:val="28"/>
        </w:rPr>
        <w:t>
      8) гарантийного письма о наличия эксплуатирующего предприятия.</w:t>
      </w:r>
    </w:p>
    <w:p>
      <w:pPr>
        <w:spacing w:after="0"/>
        <w:ind w:left="0"/>
        <w:jc w:val="both"/>
      </w:pPr>
      <w:r>
        <w:rPr>
          <w:rFonts w:ascii="Times New Roman"/>
          <w:b w:val="false"/>
          <w:i w:val="false"/>
          <w:color w:val="000000"/>
          <w:sz w:val="28"/>
        </w:rPr>
        <w:t>
      Отбор приоритетных бюджетных инвестиционных проектов (далее – БИП) будет осуществляться по следующим критериям:</w:t>
      </w:r>
    </w:p>
    <w:p>
      <w:pPr>
        <w:spacing w:after="0"/>
        <w:ind w:left="0"/>
        <w:jc w:val="both"/>
      </w:pPr>
      <w:r>
        <w:rPr>
          <w:rFonts w:ascii="Times New Roman"/>
          <w:b w:val="false"/>
          <w:i w:val="false"/>
          <w:color w:val="000000"/>
          <w:sz w:val="28"/>
        </w:rPr>
        <w:t>
      1) проекты, в которых предусмотрено применение современных материалов, оборудования и технологий, отвечающих требованиям надежности, ремонтопригодности, технической и экономической эффективности в период эксплуатации;</w:t>
      </w:r>
    </w:p>
    <w:p>
      <w:pPr>
        <w:spacing w:after="0"/>
        <w:ind w:left="0"/>
        <w:jc w:val="both"/>
      </w:pPr>
      <w:r>
        <w:rPr>
          <w:rFonts w:ascii="Times New Roman"/>
          <w:b w:val="false"/>
          <w:i w:val="false"/>
          <w:color w:val="000000"/>
          <w:sz w:val="28"/>
        </w:rPr>
        <w:t xml:space="preserve">
      2) незавершенные (переходящие) проекты водоснабжения и водоотведения. </w:t>
      </w:r>
    </w:p>
    <w:p>
      <w:pPr>
        <w:spacing w:after="0"/>
        <w:ind w:left="0"/>
        <w:jc w:val="both"/>
      </w:pPr>
      <w:r>
        <w:rPr>
          <w:rFonts w:ascii="Times New Roman"/>
          <w:b w:val="false"/>
          <w:i w:val="false"/>
          <w:color w:val="000000"/>
          <w:sz w:val="28"/>
        </w:rPr>
        <w:t xml:space="preserve">
      В целях своевременного ввода в эксплуатацию, недопущения удорожания проектов водоснабжения и водоотведения необходимо обеспечить обязательное финансирование незавершенных (переходящих) проектов; </w:t>
      </w:r>
    </w:p>
    <w:p>
      <w:pPr>
        <w:spacing w:after="0"/>
        <w:ind w:left="0"/>
        <w:jc w:val="both"/>
      </w:pPr>
      <w:r>
        <w:rPr>
          <w:rFonts w:ascii="Times New Roman"/>
          <w:b w:val="false"/>
          <w:i w:val="false"/>
          <w:color w:val="000000"/>
          <w:sz w:val="28"/>
        </w:rPr>
        <w:t>
      3) проекты, вошедшие в комплексные планы развития городов и населенных пунктов, по которым имеются поручения Главы государства и Правительства;</w:t>
      </w:r>
    </w:p>
    <w:p>
      <w:pPr>
        <w:spacing w:after="0"/>
        <w:ind w:left="0"/>
        <w:jc w:val="both"/>
      </w:pPr>
      <w:r>
        <w:rPr>
          <w:rFonts w:ascii="Times New Roman"/>
          <w:b w:val="false"/>
          <w:i w:val="false"/>
          <w:color w:val="000000"/>
          <w:sz w:val="28"/>
        </w:rPr>
        <w:t>
      4) проекты, направленные на строительство новых систем водоснабжения;</w:t>
      </w:r>
    </w:p>
    <w:p>
      <w:pPr>
        <w:spacing w:after="0"/>
        <w:ind w:left="0"/>
        <w:jc w:val="both"/>
      </w:pPr>
      <w:r>
        <w:rPr>
          <w:rFonts w:ascii="Times New Roman"/>
          <w:b w:val="false"/>
          <w:i w:val="false"/>
          <w:color w:val="000000"/>
          <w:sz w:val="28"/>
        </w:rPr>
        <w:t xml:space="preserve">
      5) проекты по реконструкции и модернизации наиболее аварийных участков городских систем водоснабжения и водоотведения; </w:t>
      </w:r>
    </w:p>
    <w:p>
      <w:pPr>
        <w:spacing w:after="0"/>
        <w:ind w:left="0"/>
        <w:jc w:val="both"/>
      </w:pPr>
      <w:r>
        <w:rPr>
          <w:rFonts w:ascii="Times New Roman"/>
          <w:b w:val="false"/>
          <w:i w:val="false"/>
          <w:color w:val="000000"/>
          <w:sz w:val="28"/>
        </w:rPr>
        <w:t xml:space="preserve">
      6) проекты, стоимостью строительства менее 100 млн. тенге, направленные на решение локальных проблем региона, которые не оказывают значительного влияния на достижение индикаторов и показателей, предусмотренных Программой в целом по региону, финансируются за счет местных бюджетов. </w:t>
      </w:r>
    </w:p>
    <w:p>
      <w:pPr>
        <w:spacing w:after="0"/>
        <w:ind w:left="0"/>
        <w:jc w:val="both"/>
      </w:pPr>
      <w:r>
        <w:rPr>
          <w:rFonts w:ascii="Times New Roman"/>
          <w:b w:val="false"/>
          <w:i w:val="false"/>
          <w:color w:val="000000"/>
          <w:sz w:val="28"/>
        </w:rPr>
        <w:t>
      В период разработки обоснований инвестиций систем водоснабжения и водоотведения (2011 – 2014 годы) отбор проектов в единый перечень проектов водоснабжения и водоотведения в городской местности будет осуществляться в соответствии с вышеуказанными критериями.</w:t>
      </w:r>
    </w:p>
    <w:p>
      <w:pPr>
        <w:spacing w:after="0"/>
        <w:ind w:left="0"/>
        <w:jc w:val="both"/>
      </w:pPr>
      <w:r>
        <w:rPr>
          <w:rFonts w:ascii="Times New Roman"/>
          <w:b w:val="false"/>
          <w:i w:val="false"/>
          <w:color w:val="000000"/>
          <w:sz w:val="28"/>
        </w:rPr>
        <w:t>
      В последующем формирование единого перечня проектов водоснабжения и водоотведения в городской местности будет осуществляться в соответствии с обоснованием инвестиций городских систем водоснабжения и водоотведения.</w:t>
      </w:r>
    </w:p>
    <w:p>
      <w:pPr>
        <w:spacing w:after="0"/>
        <w:ind w:left="0"/>
        <w:jc w:val="both"/>
      </w:pPr>
      <w:r>
        <w:rPr>
          <w:rFonts w:ascii="Times New Roman"/>
          <w:b w:val="false"/>
          <w:i w:val="false"/>
          <w:color w:val="000000"/>
          <w:sz w:val="28"/>
        </w:rPr>
        <w:t>
      2. Системный подход для объектов сельского водоснабжения и водоотведения:</w:t>
      </w:r>
    </w:p>
    <w:p>
      <w:pPr>
        <w:spacing w:after="0"/>
        <w:ind w:left="0"/>
        <w:jc w:val="both"/>
      </w:pPr>
      <w:r>
        <w:rPr>
          <w:rFonts w:ascii="Times New Roman"/>
          <w:b w:val="false"/>
          <w:i w:val="false"/>
          <w:color w:val="000000"/>
          <w:sz w:val="28"/>
        </w:rPr>
        <w:t>
      1) формирование уполномоченным органом в сфере коммунального хозяйства предварительного списка населенных пунктов, требующих строительства и реконструкции сетей водоснабжения и водоотведения в соответствии с приоритетами Программы;</w:t>
      </w:r>
    </w:p>
    <w:p>
      <w:pPr>
        <w:spacing w:after="0"/>
        <w:ind w:left="0"/>
        <w:jc w:val="both"/>
      </w:pPr>
      <w:r>
        <w:rPr>
          <w:rFonts w:ascii="Times New Roman"/>
          <w:b w:val="false"/>
          <w:i w:val="false"/>
          <w:color w:val="000000"/>
          <w:sz w:val="28"/>
        </w:rPr>
        <w:t>
      2) согласование МИО перечня объектов, по которым планируется разработка ПСД с уполномоченным органом в сфере коммунального хозяйства и уполнолномоченным органом в сфере управления водными ресурсами согласно уровням приоритетов Программы;</w:t>
      </w:r>
    </w:p>
    <w:p>
      <w:pPr>
        <w:spacing w:after="0"/>
        <w:ind w:left="0"/>
        <w:jc w:val="both"/>
      </w:pPr>
      <w:r>
        <w:rPr>
          <w:rFonts w:ascii="Times New Roman"/>
          <w:b w:val="false"/>
          <w:i w:val="false"/>
          <w:color w:val="000000"/>
          <w:sz w:val="28"/>
        </w:rPr>
        <w:t>
      3) формирование уполномоченным органом в сфере коммунального хозяйства единого перечня проектов водоснабжения и водоотведения согласно следующим критериям:</w:t>
      </w:r>
    </w:p>
    <w:p>
      <w:pPr>
        <w:spacing w:after="0"/>
        <w:ind w:left="0"/>
        <w:jc w:val="both"/>
      </w:pPr>
      <w:r>
        <w:rPr>
          <w:rFonts w:ascii="Times New Roman"/>
          <w:b w:val="false"/>
          <w:i w:val="false"/>
          <w:color w:val="000000"/>
          <w:sz w:val="28"/>
        </w:rPr>
        <w:t>
      проекты, в которых заложены современные материалы, оборудования и технологии, отвечающие требованиям надежности, ремонтопригодности, технической и экономической эффективности в период эксплуатации;</w:t>
      </w:r>
    </w:p>
    <w:p>
      <w:pPr>
        <w:spacing w:after="0"/>
        <w:ind w:left="0"/>
        <w:jc w:val="both"/>
      </w:pPr>
      <w:r>
        <w:rPr>
          <w:rFonts w:ascii="Times New Roman"/>
          <w:b w:val="false"/>
          <w:i w:val="false"/>
          <w:color w:val="000000"/>
          <w:sz w:val="28"/>
        </w:rPr>
        <w:t>
      незавершенные (переходящие) проекты водоснабжения и водоотведения;</w:t>
      </w:r>
    </w:p>
    <w:p>
      <w:pPr>
        <w:spacing w:after="0"/>
        <w:ind w:left="0"/>
        <w:jc w:val="both"/>
      </w:pPr>
      <w:r>
        <w:rPr>
          <w:rFonts w:ascii="Times New Roman"/>
          <w:b w:val="false"/>
          <w:i w:val="false"/>
          <w:color w:val="000000"/>
          <w:sz w:val="28"/>
        </w:rPr>
        <w:t>
      в целях своевременного ввода в эксплуатацию, недопущения удорожания проектов водоснабжения необходимо обеспечить обязательное финансирование незавершенных (переходящих) проектов;</w:t>
      </w:r>
    </w:p>
    <w:p>
      <w:pPr>
        <w:spacing w:after="0"/>
        <w:ind w:left="0"/>
        <w:jc w:val="both"/>
      </w:pPr>
      <w:r>
        <w:rPr>
          <w:rFonts w:ascii="Times New Roman"/>
          <w:b w:val="false"/>
          <w:i w:val="false"/>
          <w:color w:val="000000"/>
          <w:sz w:val="28"/>
        </w:rPr>
        <w:t>
      проекты, направленные на обеспечение централизованным водоснабжением и водоотведением сельских населенных пунктов, преимущественно населенных пунктов с привозной водой;</w:t>
      </w:r>
    </w:p>
    <w:p>
      <w:pPr>
        <w:spacing w:after="0"/>
        <w:ind w:left="0"/>
        <w:jc w:val="both"/>
      </w:pPr>
      <w:r>
        <w:rPr>
          <w:rFonts w:ascii="Times New Roman"/>
          <w:b w:val="false"/>
          <w:i w:val="false"/>
          <w:color w:val="000000"/>
          <w:sz w:val="28"/>
        </w:rPr>
        <w:t>
      при этом для более эффективного достижения данной цели необходимо обеспечение наибольшего количества населения централизованным водоснабжением. В этой связи особое значение придается потенциалу социально-экономического развития населенных пунктов с высоким, средним уровнем и численности населения;</w:t>
      </w:r>
    </w:p>
    <w:p>
      <w:pPr>
        <w:spacing w:after="0"/>
        <w:ind w:left="0"/>
        <w:jc w:val="both"/>
      </w:pPr>
      <w:r>
        <w:rPr>
          <w:rFonts w:ascii="Times New Roman"/>
          <w:b w:val="false"/>
          <w:i w:val="false"/>
          <w:color w:val="000000"/>
          <w:sz w:val="28"/>
        </w:rPr>
        <w:t>
      проекты, направленные на реконструкцию наиболее аварийных участков;</w:t>
      </w:r>
    </w:p>
    <w:p>
      <w:pPr>
        <w:spacing w:after="0"/>
        <w:ind w:left="0"/>
        <w:jc w:val="both"/>
      </w:pPr>
      <w:r>
        <w:rPr>
          <w:rFonts w:ascii="Times New Roman"/>
          <w:b w:val="false"/>
          <w:i w:val="false"/>
          <w:color w:val="000000"/>
          <w:sz w:val="28"/>
        </w:rPr>
        <w:t>
      проекты, стоимостью строительства менее 100 млн. тенге, направленные на решение локальных проблем региона которые не оказывают значительного влияния на достижение индикаторов и показателей, предусмотренных Программой в целом по региону, финансируются за счет местных бюджетов.</w:t>
      </w:r>
    </w:p>
    <w:p>
      <w:pPr>
        <w:spacing w:after="0"/>
        <w:ind w:left="0"/>
        <w:jc w:val="both"/>
      </w:pPr>
      <w:r>
        <w:rPr>
          <w:rFonts w:ascii="Times New Roman"/>
          <w:b w:val="false"/>
          <w:i w:val="false"/>
          <w:color w:val="000000"/>
          <w:sz w:val="28"/>
        </w:rPr>
        <w:t>
      При этом должно быть учтено обязательное софинансирование со стороны МИО в установленном законодательством Республики Казахстан порядке. Уровень софинансирования со стороны местных исполнительных органов будет рассматриваться ежегодно на МВК индивидуально по каждому региону, в том числе по капиталоемким объектам.</w:t>
      </w:r>
    </w:p>
    <w:p>
      <w:pPr>
        <w:spacing w:after="0"/>
        <w:ind w:left="0"/>
        <w:jc w:val="both"/>
      </w:pPr>
      <w:r>
        <w:rPr>
          <w:rFonts w:ascii="Times New Roman"/>
          <w:b w:val="false"/>
          <w:i w:val="false"/>
          <w:color w:val="000000"/>
          <w:sz w:val="28"/>
        </w:rPr>
        <w:t>
      При отборе проектов необходимо наличие следующих документов:</w:t>
      </w:r>
    </w:p>
    <w:p>
      <w:pPr>
        <w:spacing w:after="0"/>
        <w:ind w:left="0"/>
        <w:jc w:val="both"/>
      </w:pPr>
      <w:r>
        <w:rPr>
          <w:rFonts w:ascii="Times New Roman"/>
          <w:b w:val="false"/>
          <w:i w:val="false"/>
          <w:color w:val="000000"/>
          <w:sz w:val="28"/>
        </w:rPr>
        <w:t>
      1) ПСД на электронном и бумажных носителях;</w:t>
      </w:r>
    </w:p>
    <w:p>
      <w:pPr>
        <w:spacing w:after="0"/>
        <w:ind w:left="0"/>
        <w:jc w:val="both"/>
      </w:pPr>
      <w:r>
        <w:rPr>
          <w:rFonts w:ascii="Times New Roman"/>
          <w:b w:val="false"/>
          <w:i w:val="false"/>
          <w:color w:val="000000"/>
          <w:sz w:val="28"/>
        </w:rPr>
        <w:t>
      2) экологической экспертизы;</w:t>
      </w:r>
    </w:p>
    <w:p>
      <w:pPr>
        <w:spacing w:after="0"/>
        <w:ind w:left="0"/>
        <w:jc w:val="both"/>
      </w:pPr>
      <w:r>
        <w:rPr>
          <w:rFonts w:ascii="Times New Roman"/>
          <w:b w:val="false"/>
          <w:i w:val="false"/>
          <w:color w:val="000000"/>
          <w:sz w:val="28"/>
        </w:rPr>
        <w:t>
      3) утвержденного источника водоснабжения либо согласования уполномоченного органа в области государственного управления недропользованием, в том числе временного заключения по действующим источникам водоснабжения, срок эксплуатации которых истек;</w:t>
      </w:r>
    </w:p>
    <w:p>
      <w:pPr>
        <w:spacing w:after="0"/>
        <w:ind w:left="0"/>
        <w:jc w:val="both"/>
      </w:pPr>
      <w:r>
        <w:rPr>
          <w:rFonts w:ascii="Times New Roman"/>
          <w:b w:val="false"/>
          <w:i w:val="false"/>
          <w:color w:val="000000"/>
          <w:sz w:val="28"/>
        </w:rPr>
        <w:t>
      4) заключения государственной экспертизы ПСД проекта;</w:t>
      </w:r>
    </w:p>
    <w:p>
      <w:pPr>
        <w:spacing w:after="0"/>
        <w:ind w:left="0"/>
        <w:jc w:val="both"/>
      </w:pPr>
      <w:r>
        <w:rPr>
          <w:rFonts w:ascii="Times New Roman"/>
          <w:b w:val="false"/>
          <w:i w:val="false"/>
          <w:color w:val="000000"/>
          <w:sz w:val="28"/>
        </w:rPr>
        <w:t>
      5) отраслевого заключения отраслевого государственного органа;</w:t>
      </w:r>
    </w:p>
    <w:p>
      <w:pPr>
        <w:spacing w:after="0"/>
        <w:ind w:left="0"/>
        <w:jc w:val="both"/>
      </w:pPr>
      <w:r>
        <w:rPr>
          <w:rFonts w:ascii="Times New Roman"/>
          <w:b w:val="false"/>
          <w:i w:val="false"/>
          <w:color w:val="000000"/>
          <w:sz w:val="28"/>
        </w:rPr>
        <w:t>
      6) пояснительной записки;</w:t>
      </w:r>
    </w:p>
    <w:p>
      <w:pPr>
        <w:spacing w:after="0"/>
        <w:ind w:left="0"/>
        <w:jc w:val="both"/>
      </w:pPr>
      <w:r>
        <w:rPr>
          <w:rFonts w:ascii="Times New Roman"/>
          <w:b w:val="false"/>
          <w:i w:val="false"/>
          <w:color w:val="000000"/>
          <w:sz w:val="28"/>
        </w:rPr>
        <w:t>
      7) приказа об утверждении проекта;</w:t>
      </w:r>
    </w:p>
    <w:p>
      <w:pPr>
        <w:spacing w:after="0"/>
        <w:ind w:left="0"/>
        <w:jc w:val="both"/>
      </w:pPr>
      <w:r>
        <w:rPr>
          <w:rFonts w:ascii="Times New Roman"/>
          <w:b w:val="false"/>
          <w:i w:val="false"/>
          <w:color w:val="000000"/>
          <w:sz w:val="28"/>
        </w:rPr>
        <w:t>
      8) гарантийного письма о наличия эксплуатирующего предприятия.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p>
      <w:pPr>
        <w:spacing w:after="0"/>
        <w:ind w:left="0"/>
        <w:jc w:val="left"/>
      </w:pPr>
      <w:r>
        <w:rPr>
          <w:rFonts w:ascii="Times New Roman"/>
          <w:b/>
          <w:i w:val="false"/>
          <w:color w:val="000000"/>
        </w:rPr>
        <w:t xml:space="preserve"> Механизм осуществления жилищного строительства</w:t>
      </w:r>
      <w:r>
        <w:br/>
      </w:r>
      <w:r>
        <w:rPr>
          <w:rFonts w:ascii="Times New Roman"/>
          <w:b/>
          <w:i w:val="false"/>
          <w:color w:val="000000"/>
        </w:rPr>
        <w:t>1. Меры государственной поддержки</w:t>
      </w:r>
    </w:p>
    <w:p>
      <w:pPr>
        <w:spacing w:after="0"/>
        <w:ind w:left="0"/>
        <w:jc w:val="both"/>
      </w:pPr>
      <w:r>
        <w:rPr>
          <w:rFonts w:ascii="Times New Roman"/>
          <w:b w:val="false"/>
          <w:i w:val="false"/>
          <w:color w:val="000000"/>
          <w:sz w:val="28"/>
        </w:rPr>
        <w:t>
      Жилищное строительство обеспечивается следующими мерами государственной поддержки:</w:t>
      </w:r>
    </w:p>
    <w:p>
      <w:pPr>
        <w:spacing w:after="0"/>
        <w:ind w:left="0"/>
        <w:jc w:val="both"/>
      </w:pPr>
      <w:r>
        <w:rPr>
          <w:rFonts w:ascii="Times New Roman"/>
          <w:b w:val="false"/>
          <w:i w:val="false"/>
          <w:color w:val="000000"/>
          <w:sz w:val="28"/>
        </w:rPr>
        <w:t>
      1) выделением подготовленных земельных участков в соответствии с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2) целенаправленным подведением к запланированным участкам застройки инженерно-коммуникационной инфраструктуры, включающей инженерные сети тепло-, водо-, газо- и электроснабжения, телефонизации, водоотведения (канализации), инженерные сооружения;</w:t>
      </w:r>
    </w:p>
    <w:p>
      <w:pPr>
        <w:spacing w:after="0"/>
        <w:ind w:left="0"/>
        <w:jc w:val="both"/>
      </w:pPr>
      <w:r>
        <w:rPr>
          <w:rFonts w:ascii="Times New Roman"/>
          <w:b w:val="false"/>
          <w:i w:val="false"/>
          <w:color w:val="000000"/>
          <w:sz w:val="28"/>
        </w:rPr>
        <w:t>
      3) индустриализацией строительства, которая обеспечит рост объемов и уменьшение сроков строительства, снижение себестоимости на основе применения передовых технологий.</w:t>
      </w:r>
    </w:p>
    <w:p>
      <w:pPr>
        <w:spacing w:after="0"/>
        <w:ind w:left="0"/>
        <w:jc w:val="left"/>
      </w:pPr>
      <w:r>
        <w:rPr>
          <w:rFonts w:ascii="Times New Roman"/>
          <w:b/>
          <w:i w:val="false"/>
          <w:color w:val="000000"/>
        </w:rPr>
        <w:t xml:space="preserve"> О мерах по обеспечению доступности земельных ресурсов</w:t>
      </w:r>
    </w:p>
    <w:p>
      <w:pPr>
        <w:spacing w:after="0"/>
        <w:ind w:left="0"/>
        <w:jc w:val="both"/>
      </w:pPr>
      <w:r>
        <w:rPr>
          <w:rFonts w:ascii="Times New Roman"/>
          <w:b w:val="false"/>
          <w:i w:val="false"/>
          <w:color w:val="000000"/>
          <w:sz w:val="28"/>
        </w:rPr>
        <w:t>
      Одним из составляющих доступности жилья является наличие земельных участков под жилищную застройку.</w:t>
      </w:r>
    </w:p>
    <w:p>
      <w:pPr>
        <w:spacing w:after="0"/>
        <w:ind w:left="0"/>
        <w:jc w:val="both"/>
      </w:pPr>
      <w:r>
        <w:rPr>
          <w:rFonts w:ascii="Times New Roman"/>
          <w:b w:val="false"/>
          <w:i w:val="false"/>
          <w:color w:val="000000"/>
          <w:sz w:val="28"/>
        </w:rPr>
        <w:t>
      Для этих целей местным исполнительным органам (далее – МИО) необходимо:</w:t>
      </w:r>
    </w:p>
    <w:p>
      <w:pPr>
        <w:spacing w:after="0"/>
        <w:ind w:left="0"/>
        <w:jc w:val="both"/>
      </w:pPr>
      <w:r>
        <w:rPr>
          <w:rFonts w:ascii="Times New Roman"/>
          <w:b w:val="false"/>
          <w:i w:val="false"/>
          <w:color w:val="000000"/>
          <w:sz w:val="28"/>
        </w:rPr>
        <w:t>
      1) провести ревизию имеющихся земельных участков, пригодных под массовую застройку;</w:t>
      </w:r>
    </w:p>
    <w:p>
      <w:pPr>
        <w:spacing w:after="0"/>
        <w:ind w:left="0"/>
        <w:jc w:val="both"/>
      </w:pPr>
      <w:r>
        <w:rPr>
          <w:rFonts w:ascii="Times New Roman"/>
          <w:b w:val="false"/>
          <w:i w:val="false"/>
          <w:color w:val="000000"/>
          <w:sz w:val="28"/>
        </w:rPr>
        <w:t>
      2) определить приоритетные районы массовой застройки жилыми домами в соответствии с утвержденными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3) провести предварительные работы по подготовке земельных участков;</w:t>
      </w:r>
    </w:p>
    <w:p>
      <w:pPr>
        <w:spacing w:after="0"/>
        <w:ind w:left="0"/>
        <w:jc w:val="both"/>
      </w:pPr>
      <w:r>
        <w:rPr>
          <w:rFonts w:ascii="Times New Roman"/>
          <w:b w:val="false"/>
          <w:i w:val="false"/>
          <w:color w:val="000000"/>
          <w:sz w:val="28"/>
        </w:rPr>
        <w:t>
      4) обеспечить свободный доступ к информации о наличии свободных земельных участков;</w:t>
      </w:r>
    </w:p>
    <w:p>
      <w:pPr>
        <w:spacing w:after="0"/>
        <w:ind w:left="0"/>
        <w:jc w:val="both"/>
      </w:pPr>
      <w:r>
        <w:rPr>
          <w:rFonts w:ascii="Times New Roman"/>
          <w:b w:val="false"/>
          <w:i w:val="false"/>
          <w:color w:val="000000"/>
          <w:sz w:val="28"/>
        </w:rPr>
        <w:t>
      5) обеспечить предоставление земельных участков застройщику в соответствии с действующим законодательством.</w:t>
      </w:r>
    </w:p>
    <w:p>
      <w:pPr>
        <w:spacing w:after="0"/>
        <w:ind w:left="0"/>
        <w:jc w:val="both"/>
      </w:pPr>
      <w:r>
        <w:rPr>
          <w:rFonts w:ascii="Times New Roman"/>
          <w:b w:val="false"/>
          <w:i w:val="false"/>
          <w:color w:val="000000"/>
          <w:sz w:val="28"/>
        </w:rPr>
        <w:t>
      Отведенные под застройку массивы до начала строительства жилых домов должны быть обеспечены инженерно-коммуникационной инфраструктурой, включающей инженерные сети тепло-, водо-, газо- и электроснабжения, телефонизации, водоотведения (канализации), инженерные сооружения (далее – ИКИ).</w:t>
      </w:r>
    </w:p>
    <w:p>
      <w:pPr>
        <w:spacing w:after="0"/>
        <w:ind w:left="0"/>
        <w:jc w:val="left"/>
      </w:pPr>
      <w:r>
        <w:rPr>
          <w:rFonts w:ascii="Times New Roman"/>
          <w:b/>
          <w:i w:val="false"/>
          <w:color w:val="000000"/>
        </w:rPr>
        <w:t xml:space="preserve"> О мерах по строительству инженерно-коммуникационной инфраструктуры районов жилищной застройки</w:t>
      </w:r>
    </w:p>
    <w:p>
      <w:pPr>
        <w:spacing w:after="0"/>
        <w:ind w:left="0"/>
        <w:jc w:val="both"/>
      </w:pPr>
      <w:r>
        <w:rPr>
          <w:rFonts w:ascii="Times New Roman"/>
          <w:b w:val="false"/>
          <w:i w:val="false"/>
          <w:color w:val="000000"/>
          <w:sz w:val="28"/>
        </w:rPr>
        <w:t>
      В целях своевременного ввода строящегося жилья в эксплуатацию необходимо обеспечение районов жилищной застройки соответствующей ИКИ.</w:t>
      </w:r>
    </w:p>
    <w:p>
      <w:pPr>
        <w:spacing w:after="0"/>
        <w:ind w:left="0"/>
        <w:jc w:val="both"/>
      </w:pPr>
      <w:r>
        <w:rPr>
          <w:rFonts w:ascii="Times New Roman"/>
          <w:b w:val="false"/>
          <w:i w:val="false"/>
          <w:color w:val="000000"/>
          <w:sz w:val="28"/>
        </w:rPr>
        <w:t xml:space="preserve">
      Проектирование, развитие и обустройство ИКИ, а также приобретение у частных застройщиков ИКИ (за исключением внутренних сетей жилого объекта до точек подключения к наружным, внутриквартальным и магистральным сетям, благоустройства внутридворовых территорий) осуществляется за счет средств республиканского и местных бюджетов. </w:t>
      </w:r>
    </w:p>
    <w:p>
      <w:pPr>
        <w:spacing w:after="0"/>
        <w:ind w:left="0"/>
        <w:jc w:val="both"/>
      </w:pPr>
      <w:r>
        <w:rPr>
          <w:rFonts w:ascii="Times New Roman"/>
          <w:b w:val="false"/>
          <w:i w:val="false"/>
          <w:color w:val="000000"/>
          <w:sz w:val="28"/>
        </w:rPr>
        <w:t>
      При этом частные застройщики должны получить соответствующее положительное заключение государственной экспертизы по сметной стоимости строительства ИКИ.</w:t>
      </w:r>
    </w:p>
    <w:p>
      <w:pPr>
        <w:spacing w:after="0"/>
        <w:ind w:left="0"/>
        <w:jc w:val="both"/>
      </w:pPr>
      <w:r>
        <w:rPr>
          <w:rFonts w:ascii="Times New Roman"/>
          <w:b w:val="false"/>
          <w:i w:val="false"/>
          <w:color w:val="000000"/>
          <w:sz w:val="28"/>
        </w:rPr>
        <w:t>
      Одним из крупных реализуемых инвестиционных проектов строительства ИКИ является поддержка развития ИКИ в Алматинской области, в том числе четырех городов-спутников "G4 City" и города-спутника "Алтын Сай". Финансирование проектов строительства ИКИ осуществляется посредством капитализации уполномоченной организации Алматинской области – акционерного общества "Алатау".</w:t>
      </w:r>
    </w:p>
    <w:p>
      <w:pPr>
        <w:spacing w:after="0"/>
        <w:ind w:left="0"/>
        <w:jc w:val="left"/>
      </w:pPr>
      <w:r>
        <w:rPr>
          <w:rFonts w:ascii="Times New Roman"/>
          <w:b/>
          <w:i w:val="false"/>
          <w:color w:val="000000"/>
        </w:rPr>
        <w:t xml:space="preserve"> О мерах по развитию стройиндустрии и индустриального домостроения</w:t>
      </w:r>
    </w:p>
    <w:p>
      <w:pPr>
        <w:spacing w:after="0"/>
        <w:ind w:left="0"/>
        <w:jc w:val="both"/>
      </w:pPr>
      <w:r>
        <w:rPr>
          <w:rFonts w:ascii="Times New Roman"/>
          <w:b w:val="false"/>
          <w:i w:val="false"/>
          <w:color w:val="000000"/>
          <w:sz w:val="28"/>
        </w:rPr>
        <w:t>
      Промышленность строительных материалов является крупной составляющей экономики и, являясь основной материальной базой для строительства, существенно влияет на темпы роста в других отраслях экономики и социальное состояние общества в целом.</w:t>
      </w:r>
    </w:p>
    <w:p>
      <w:pPr>
        <w:spacing w:after="0"/>
        <w:ind w:left="0"/>
        <w:jc w:val="both"/>
      </w:pPr>
      <w:r>
        <w:rPr>
          <w:rFonts w:ascii="Times New Roman"/>
          <w:b w:val="false"/>
          <w:i w:val="false"/>
          <w:color w:val="000000"/>
          <w:sz w:val="28"/>
        </w:rPr>
        <w:t>
      В Программе по развитию стройиндустрии помимо сборно-каркасного домостроения в целях ускорения сроков и снижения стоимости строительства жилья в качестве приоритета предусматривается развитие крупнопанельного домостроения.</w:t>
      </w:r>
    </w:p>
    <w:p>
      <w:pPr>
        <w:spacing w:after="0"/>
        <w:ind w:left="0"/>
        <w:jc w:val="both"/>
      </w:pPr>
      <w:r>
        <w:rPr>
          <w:rFonts w:ascii="Times New Roman"/>
          <w:b w:val="false"/>
          <w:i w:val="false"/>
          <w:color w:val="000000"/>
          <w:sz w:val="28"/>
        </w:rPr>
        <w:t xml:space="preserve">
      Исходя из объемов ввода жилья по регионам за счет государственных средств, в рамках реализации данной Программы определены оптимальное количество домостроительных комбинатов, наиболее подходящая технология, мощность производства, схема и структура финансирования, в том числе за счет инструментов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или вхождения в уставной капитал социально-предпринимательской корпорации (далее – СПК).</w:t>
      </w:r>
    </w:p>
    <w:p>
      <w:pPr>
        <w:spacing w:after="0"/>
        <w:ind w:left="0"/>
        <w:jc w:val="left"/>
      </w:pPr>
      <w:r>
        <w:rPr>
          <w:rFonts w:ascii="Times New Roman"/>
          <w:b/>
          <w:i w:val="false"/>
          <w:color w:val="000000"/>
        </w:rPr>
        <w:t xml:space="preserve"> Направления жилищного строительства</w:t>
      </w:r>
    </w:p>
    <w:p>
      <w:pPr>
        <w:spacing w:after="0"/>
        <w:ind w:left="0"/>
        <w:jc w:val="both"/>
      </w:pPr>
      <w:r>
        <w:rPr>
          <w:rFonts w:ascii="Times New Roman"/>
          <w:b w:val="false"/>
          <w:i w:val="false"/>
          <w:color w:val="000000"/>
          <w:sz w:val="28"/>
        </w:rPr>
        <w:t>
      В рамках Программы предусматриваются следующие основные направления строительства жилья:</w:t>
      </w:r>
    </w:p>
    <w:p>
      <w:pPr>
        <w:spacing w:after="0"/>
        <w:ind w:left="0"/>
        <w:jc w:val="both"/>
      </w:pPr>
      <w:r>
        <w:rPr>
          <w:rFonts w:ascii="Times New Roman"/>
          <w:b w:val="false"/>
          <w:i w:val="false"/>
          <w:color w:val="000000"/>
          <w:sz w:val="28"/>
        </w:rPr>
        <w:t>
      1. Жилье для очередников МИО.</w:t>
      </w:r>
    </w:p>
    <w:p>
      <w:pPr>
        <w:spacing w:after="0"/>
        <w:ind w:left="0"/>
        <w:jc w:val="both"/>
      </w:pPr>
      <w:r>
        <w:rPr>
          <w:rFonts w:ascii="Times New Roman"/>
          <w:b w:val="false"/>
          <w:i w:val="false"/>
          <w:color w:val="000000"/>
          <w:sz w:val="28"/>
        </w:rPr>
        <w:t>
      2. Жилье по линии ЖССБК:</w:t>
      </w:r>
    </w:p>
    <w:p>
      <w:pPr>
        <w:spacing w:after="0"/>
        <w:ind w:left="0"/>
        <w:jc w:val="both"/>
      </w:pPr>
      <w:r>
        <w:rPr>
          <w:rFonts w:ascii="Times New Roman"/>
          <w:b w:val="false"/>
          <w:i w:val="false"/>
          <w:color w:val="000000"/>
          <w:sz w:val="28"/>
        </w:rPr>
        <w:t>
      1) для всех категорий населения;</w:t>
      </w:r>
    </w:p>
    <w:p>
      <w:pPr>
        <w:spacing w:after="0"/>
        <w:ind w:left="0"/>
        <w:jc w:val="both"/>
      </w:pPr>
      <w:r>
        <w:rPr>
          <w:rFonts w:ascii="Times New Roman"/>
          <w:b w:val="false"/>
          <w:i w:val="false"/>
          <w:color w:val="000000"/>
          <w:sz w:val="28"/>
        </w:rPr>
        <w:t>
      2) для молодых семей.</w:t>
      </w:r>
    </w:p>
    <w:p>
      <w:pPr>
        <w:spacing w:after="0"/>
        <w:ind w:left="0"/>
        <w:jc w:val="both"/>
      </w:pPr>
      <w:r>
        <w:rPr>
          <w:rFonts w:ascii="Times New Roman"/>
          <w:b w:val="false"/>
          <w:i w:val="false"/>
          <w:color w:val="000000"/>
          <w:sz w:val="28"/>
        </w:rPr>
        <w:t>
      3. Жилье акционерного общества "Ипотечная организация "Казахстанская ипотечная компания" (далее – АО "ИО "КИК"):</w:t>
      </w:r>
    </w:p>
    <w:p>
      <w:pPr>
        <w:spacing w:after="0"/>
        <w:ind w:left="0"/>
        <w:jc w:val="both"/>
      </w:pPr>
      <w:r>
        <w:rPr>
          <w:rFonts w:ascii="Times New Roman"/>
          <w:b w:val="false"/>
          <w:i w:val="false"/>
          <w:color w:val="000000"/>
          <w:sz w:val="28"/>
        </w:rPr>
        <w:t>
      1) арендное жилье с выкупом;</w:t>
      </w:r>
    </w:p>
    <w:p>
      <w:pPr>
        <w:spacing w:after="0"/>
        <w:ind w:left="0"/>
        <w:jc w:val="both"/>
      </w:pPr>
      <w:r>
        <w:rPr>
          <w:rFonts w:ascii="Times New Roman"/>
          <w:b w:val="false"/>
          <w:i w:val="false"/>
          <w:color w:val="000000"/>
          <w:sz w:val="28"/>
        </w:rPr>
        <w:t>
      2) арендное жилье без выкупа.</w:t>
      </w:r>
    </w:p>
    <w:p>
      <w:pPr>
        <w:spacing w:after="0"/>
        <w:ind w:left="0"/>
        <w:jc w:val="both"/>
      </w:pPr>
      <w:r>
        <w:rPr>
          <w:rFonts w:ascii="Times New Roman"/>
          <w:b w:val="false"/>
          <w:i w:val="false"/>
          <w:color w:val="000000"/>
          <w:sz w:val="28"/>
        </w:rPr>
        <w:t>
      4. Жилье акционерного общества "Фонд недвижимости "Самрук-Қазына" (далее - АО "Фонд недвижимости "Самрук-Қазына").</w:t>
      </w:r>
    </w:p>
    <w:p>
      <w:pPr>
        <w:spacing w:after="0"/>
        <w:ind w:left="0"/>
        <w:jc w:val="both"/>
      </w:pPr>
      <w:r>
        <w:rPr>
          <w:rFonts w:ascii="Times New Roman"/>
          <w:b w:val="false"/>
          <w:i w:val="false"/>
          <w:color w:val="000000"/>
          <w:sz w:val="28"/>
        </w:rPr>
        <w:t>
      5. Жилье в рамках пилотного проекта по сносу аварийного жилья.</w:t>
      </w:r>
    </w:p>
    <w:p>
      <w:pPr>
        <w:spacing w:after="0"/>
        <w:ind w:left="0"/>
        <w:jc w:val="both"/>
      </w:pPr>
      <w:r>
        <w:rPr>
          <w:rFonts w:ascii="Times New Roman"/>
          <w:b w:val="false"/>
          <w:i w:val="false"/>
          <w:color w:val="000000"/>
          <w:sz w:val="28"/>
        </w:rPr>
        <w:t>
      6. Жилье частной собственности.</w:t>
      </w:r>
    </w:p>
    <w:p>
      <w:pPr>
        <w:spacing w:after="0"/>
        <w:ind w:left="0"/>
        <w:jc w:val="left"/>
      </w:pPr>
      <w:r>
        <w:rPr>
          <w:rFonts w:ascii="Times New Roman"/>
          <w:b/>
          <w:i w:val="false"/>
          <w:color w:val="000000"/>
        </w:rPr>
        <w:t xml:space="preserve"> Показатели результатов реализации жилищного строительства в разрезе направлений                                                    тыс. кв.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748"/>
        <w:gridCol w:w="1748"/>
        <w:gridCol w:w="1748"/>
        <w:gridCol w:w="1748"/>
        <w:gridCol w:w="1749"/>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жилья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в городах "первого уровня" (агломерации, включая их пригородную зону), в том числе: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3 322,4</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жилье для всех категорий населения по линии ЖССБК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жилье для молодых семей по линии ЖССБК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жилье для очередников МИО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жилье АО "ИО "КИК"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жилье АО "Фонд недвижимости "Самрук-Казына"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жилье в рамках пилотных проектов по сносу аварийного жилья в городе Астане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жилье частной собственности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Всего в городах "второго уровня" (областных центрах, городах Семей и Туркестан), в том числе: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3 489,1</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жилье для всех категорий населения по линии ЖССБК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жилье для молодых семей по линии ЖССБК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жилье для очередников МИО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жилье АО "ИО "КИК"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жилье АО "Фонд недвижимости"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жилье частной собственности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2 880,1</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Всего в городах "третьего уровня" (в малых и моногородах), в том числе: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жилье для очередников МИО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жилье для молодых семей по линии ЖССБК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жилье АО "ИО "КИК"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жилье частной собственности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Всего в сельских территориях, включая опорные СНП и приграничные территории, в том числе: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жилье для очередников МИО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жилье АО "ИО "КИК"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жилье частной собственности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настоящем приложении используются следующие основные понятия: </w:t>
      </w:r>
    </w:p>
    <w:p>
      <w:pPr>
        <w:spacing w:after="0"/>
        <w:ind w:left="0"/>
        <w:jc w:val="both"/>
      </w:pPr>
      <w:r>
        <w:rPr>
          <w:rFonts w:ascii="Times New Roman"/>
          <w:b w:val="false"/>
          <w:i w:val="false"/>
          <w:color w:val="000000"/>
          <w:sz w:val="28"/>
        </w:rPr>
        <w:t>
      1) заявитель (претендент) – лицо, подающее заявление на участие в Программе на получение жилья (в собственность, аренду, аренду с выкупом);</w:t>
      </w:r>
    </w:p>
    <w:p>
      <w:pPr>
        <w:spacing w:after="0"/>
        <w:ind w:left="0"/>
        <w:jc w:val="both"/>
      </w:pPr>
      <w:r>
        <w:rPr>
          <w:rFonts w:ascii="Times New Roman"/>
          <w:b w:val="false"/>
          <w:i w:val="false"/>
          <w:color w:val="000000"/>
          <w:sz w:val="28"/>
        </w:rPr>
        <w:t>
      2) участник Программы – лицо, подтвердившее платежеспособность в установленном финансовыми институтами порядке, и прошедшее процедуру распределения жилья;</w:t>
      </w:r>
    </w:p>
    <w:p>
      <w:pPr>
        <w:spacing w:after="0"/>
        <w:ind w:left="0"/>
        <w:jc w:val="both"/>
      </w:pPr>
      <w:r>
        <w:rPr>
          <w:rFonts w:ascii="Times New Roman"/>
          <w:b w:val="false"/>
          <w:i w:val="false"/>
          <w:color w:val="000000"/>
          <w:sz w:val="28"/>
        </w:rPr>
        <w:t>
      3) государственные и отраслевые программы жилищного строительства: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жилищного строительства на 2005 – 2007 годы, утвержденная Указом Президента Республики Казахстан от 11 июня 2004 года № 1388;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жилищного строительства в Республике Казахстан на 2008 – 2010 годы, утвержденная Указом Президента Республики Казахстан от 20 августа 2007 года № 383 (далее – Госпрограмма 2008 – 2010 годов);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Программа</w:t>
      </w:r>
      <w:r>
        <w:rPr>
          <w:rFonts w:ascii="Times New Roman"/>
          <w:b w:val="false"/>
          <w:i w:val="false"/>
          <w:color w:val="000000"/>
          <w:sz w:val="28"/>
        </w:rPr>
        <w:t xml:space="preserve"> жилищного строительства в Республике Казахстан на 2011 – 2014 годы, утвержденная постановлением Правительства Республики Казахстан от 31 марта 2011 года № 329;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Программа</w:t>
      </w:r>
      <w:r>
        <w:rPr>
          <w:rFonts w:ascii="Times New Roman"/>
          <w:b w:val="false"/>
          <w:i w:val="false"/>
          <w:color w:val="000000"/>
          <w:sz w:val="28"/>
        </w:rPr>
        <w:t xml:space="preserve"> "Доступное жилье – 2020", утвержденная постановлением Правительства Республики Казахстан от 21 июня 2012 года № 821;</w:t>
      </w:r>
    </w:p>
    <w:p>
      <w:pPr>
        <w:spacing w:after="0"/>
        <w:ind w:left="0"/>
        <w:jc w:val="both"/>
      </w:pPr>
      <w:r>
        <w:rPr>
          <w:rFonts w:ascii="Times New Roman"/>
          <w:b w:val="false"/>
          <w:i w:val="false"/>
          <w:color w:val="000000"/>
          <w:sz w:val="28"/>
        </w:rPr>
        <w:t xml:space="preserve">
      4) оценка платежеспособности – комплекс мероприятий, проводимый для оценки возможности заявителя своевременно и полностью обслуживать и погашать предполагаемый заем на приобретение жилья, вносить накопления на жилищно-сберегательные счета при аренде жилья с выкупом, оплачивать арендные платежи; </w:t>
      </w:r>
    </w:p>
    <w:p>
      <w:pPr>
        <w:spacing w:after="0"/>
        <w:ind w:left="0"/>
        <w:jc w:val="both"/>
      </w:pPr>
      <w:r>
        <w:rPr>
          <w:rFonts w:ascii="Times New Roman"/>
          <w:b w:val="false"/>
          <w:i w:val="false"/>
          <w:color w:val="000000"/>
          <w:sz w:val="28"/>
        </w:rPr>
        <w:t xml:space="preserve">
      5) учет нуждающихся в жилище – учет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6) очередники МИО – лица, состоящие на учете нуждающихся в жилище в местных исполнительных органах;</w:t>
      </w:r>
    </w:p>
    <w:p>
      <w:pPr>
        <w:spacing w:after="0"/>
        <w:ind w:left="0"/>
        <w:jc w:val="both"/>
      </w:pPr>
      <w:r>
        <w:rPr>
          <w:rFonts w:ascii="Times New Roman"/>
          <w:b w:val="false"/>
          <w:i w:val="false"/>
          <w:color w:val="000000"/>
          <w:sz w:val="28"/>
        </w:rPr>
        <w:t>
      7) операторы реализации жилья – МИО, ЖССБК, Фонд недвижимости;</w:t>
      </w:r>
    </w:p>
    <w:p>
      <w:pPr>
        <w:spacing w:after="0"/>
        <w:ind w:left="0"/>
        <w:jc w:val="both"/>
      </w:pPr>
      <w:r>
        <w:rPr>
          <w:rFonts w:ascii="Times New Roman"/>
          <w:b w:val="false"/>
          <w:i w:val="false"/>
          <w:color w:val="000000"/>
          <w:sz w:val="28"/>
        </w:rPr>
        <w:t>
      8) операторы строительства (приобретения) жилья – МИО, АО "ИО "КИК", АО "Фонд недвижимости "Самрук-Қазына" (далее – Фонд недвижимости).</w:t>
      </w:r>
    </w:p>
    <w:p>
      <w:pPr>
        <w:spacing w:after="0"/>
        <w:ind w:left="0"/>
        <w:jc w:val="left"/>
      </w:pPr>
      <w:r>
        <w:rPr>
          <w:rFonts w:ascii="Times New Roman"/>
          <w:b/>
          <w:i w:val="false"/>
          <w:color w:val="000000"/>
        </w:rPr>
        <w:t xml:space="preserve"> 2. Механизмы реализации жилья</w:t>
      </w:r>
      <w:r>
        <w:br/>
      </w:r>
      <w:r>
        <w:rPr>
          <w:rFonts w:ascii="Times New Roman"/>
          <w:b/>
          <w:i w:val="false"/>
          <w:color w:val="000000"/>
        </w:rPr>
        <w:t>1. Участники Программы</w:t>
      </w:r>
    </w:p>
    <w:p>
      <w:pPr>
        <w:spacing w:after="0"/>
        <w:ind w:left="0"/>
        <w:jc w:val="both"/>
      </w:pPr>
      <w:r>
        <w:rPr>
          <w:rFonts w:ascii="Times New Roman"/>
          <w:b w:val="false"/>
          <w:i w:val="false"/>
          <w:color w:val="000000"/>
          <w:sz w:val="28"/>
        </w:rPr>
        <w:t xml:space="preserve">
      По направлению "Жилье для очередников МИО" участвуют очередники МИО,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67 Закона Республики Казахстан "О жилищных отношениях" (далее – Закон), состоящие на учете нуждающихся в жилище.</w:t>
      </w:r>
    </w:p>
    <w:p>
      <w:pPr>
        <w:spacing w:after="0"/>
        <w:ind w:left="0"/>
        <w:jc w:val="both"/>
      </w:pPr>
      <w:r>
        <w:rPr>
          <w:rFonts w:ascii="Times New Roman"/>
          <w:b w:val="false"/>
          <w:i w:val="false"/>
          <w:color w:val="000000"/>
          <w:sz w:val="28"/>
        </w:rPr>
        <w:t>
      Очередники МИО вправе участвовать как участники группы I по направлениям Программы: "Жилье для всех категорий населения" по линии ЖССБК, "Жилье АО "ИО "КИК", "Жилье АО "Фонд недвижимости "Самрук-Қазына" либо как участники группы II или III в случае подачи заявлений и соответствия установленным требованиям Программы.</w:t>
      </w:r>
    </w:p>
    <w:p>
      <w:pPr>
        <w:spacing w:after="0"/>
        <w:ind w:left="0"/>
        <w:jc w:val="both"/>
      </w:pPr>
      <w:r>
        <w:rPr>
          <w:rFonts w:ascii="Times New Roman"/>
          <w:b w:val="false"/>
          <w:i w:val="false"/>
          <w:color w:val="000000"/>
          <w:sz w:val="28"/>
        </w:rPr>
        <w:t xml:space="preserve">
      Требования и критерии к участникам групп и порядок формирования предусматриваются положениями настоящего раздела. </w:t>
      </w:r>
    </w:p>
    <w:p>
      <w:pPr>
        <w:spacing w:after="0"/>
        <w:ind w:left="0"/>
        <w:jc w:val="both"/>
      </w:pPr>
      <w:r>
        <w:rPr>
          <w:rFonts w:ascii="Times New Roman"/>
          <w:b w:val="false"/>
          <w:i w:val="false"/>
          <w:color w:val="000000"/>
          <w:sz w:val="28"/>
        </w:rPr>
        <w:t>
      Очередник МИО исключается из учета нуждающихся в жилище в случае получения жилья в собственность или аренду с выкупом в рамках указанных направлений Программы.</w:t>
      </w:r>
    </w:p>
    <w:p>
      <w:pPr>
        <w:spacing w:after="0"/>
        <w:ind w:left="0"/>
        <w:jc w:val="both"/>
      </w:pPr>
      <w:r>
        <w:rPr>
          <w:rFonts w:ascii="Times New Roman"/>
          <w:b w:val="false"/>
          <w:i w:val="false"/>
          <w:color w:val="000000"/>
          <w:sz w:val="28"/>
        </w:rPr>
        <w:t>
      По направлениям Программы "Жилье по линии ЖССБК", "Жилье АО "ИО "КИК", "Жилье АО "Фонд недвижимости "Самрук-Қазына" предусматриваются следующие участники:</w:t>
      </w:r>
    </w:p>
    <w:p>
      <w:pPr>
        <w:spacing w:after="0"/>
        <w:ind w:left="0"/>
        <w:jc w:val="both"/>
      </w:pPr>
      <w:r>
        <w:rPr>
          <w:rFonts w:ascii="Times New Roman"/>
          <w:b w:val="false"/>
          <w:i w:val="false"/>
          <w:color w:val="000000"/>
          <w:sz w:val="28"/>
        </w:rPr>
        <w:t>
      1) I группа, из них:</w:t>
      </w:r>
    </w:p>
    <w:p>
      <w:pPr>
        <w:spacing w:after="0"/>
        <w:ind w:left="0"/>
        <w:jc w:val="both"/>
      </w:pPr>
      <w:r>
        <w:rPr>
          <w:rFonts w:ascii="Times New Roman"/>
          <w:b w:val="false"/>
          <w:i w:val="false"/>
          <w:color w:val="000000"/>
          <w:sz w:val="28"/>
        </w:rPr>
        <w:t xml:space="preserve">
      по направлениям "Жилье для всех категорий населения" по линии ЖССБК, "Жилье АО "Фонд недвижимости "Самрук-Қазына" – очередники МИО, относящиеся к категории лиц, указанных в подпунктах 1-1), 2), 3) </w:t>
      </w:r>
      <w:r>
        <w:rPr>
          <w:rFonts w:ascii="Times New Roman"/>
          <w:b w:val="false"/>
          <w:i w:val="false"/>
          <w:color w:val="000000"/>
          <w:sz w:val="28"/>
        </w:rPr>
        <w:t>пункта 1</w:t>
      </w:r>
      <w:r>
        <w:rPr>
          <w:rFonts w:ascii="Times New Roman"/>
          <w:b w:val="false"/>
          <w:i w:val="false"/>
          <w:color w:val="000000"/>
          <w:sz w:val="28"/>
        </w:rPr>
        <w:t xml:space="preserve"> статьи 67 Закона,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4), </w:t>
      </w:r>
      <w:r>
        <w:rPr>
          <w:rFonts w:ascii="Times New Roman"/>
          <w:b w:val="false"/>
          <w:i w:val="false"/>
          <w:color w:val="000000"/>
          <w:sz w:val="28"/>
        </w:rPr>
        <w:t>10)</w:t>
      </w:r>
      <w:r>
        <w:rPr>
          <w:rFonts w:ascii="Times New Roman"/>
          <w:b w:val="false"/>
          <w:i w:val="false"/>
          <w:color w:val="000000"/>
          <w:sz w:val="28"/>
        </w:rPr>
        <w:t xml:space="preserve"> статьи 68 Закона;</w:t>
      </w:r>
    </w:p>
    <w:p>
      <w:pPr>
        <w:spacing w:after="0"/>
        <w:ind w:left="0"/>
        <w:jc w:val="both"/>
      </w:pPr>
      <w:r>
        <w:rPr>
          <w:rFonts w:ascii="Times New Roman"/>
          <w:b w:val="false"/>
          <w:i w:val="false"/>
          <w:color w:val="000000"/>
          <w:sz w:val="28"/>
        </w:rPr>
        <w:t xml:space="preserve">
      по направлению "Жилье АО "ИО "КИК" – очередники МИО, относящиеся к категории лиц, указанных в подпунктах 1-1), 2), 3) </w:t>
      </w:r>
      <w:r>
        <w:rPr>
          <w:rFonts w:ascii="Times New Roman"/>
          <w:b w:val="false"/>
          <w:i w:val="false"/>
          <w:color w:val="000000"/>
          <w:sz w:val="28"/>
        </w:rPr>
        <w:t>пункта 1</w:t>
      </w:r>
      <w:r>
        <w:rPr>
          <w:rFonts w:ascii="Times New Roman"/>
          <w:b w:val="false"/>
          <w:i w:val="false"/>
          <w:color w:val="000000"/>
          <w:sz w:val="28"/>
        </w:rPr>
        <w:t xml:space="preserve"> статьи 67 Закона, а именно:</w:t>
      </w:r>
    </w:p>
    <w:p>
      <w:pPr>
        <w:spacing w:after="0"/>
        <w:ind w:left="0"/>
        <w:jc w:val="both"/>
      </w:pPr>
      <w:r>
        <w:rPr>
          <w:rFonts w:ascii="Times New Roman"/>
          <w:b w:val="false"/>
          <w:i w:val="false"/>
          <w:color w:val="000000"/>
          <w:sz w:val="28"/>
        </w:rPr>
        <w:t>
      многодетные семьи;</w:t>
      </w:r>
    </w:p>
    <w:p>
      <w:pPr>
        <w:spacing w:after="0"/>
        <w:ind w:left="0"/>
        <w:jc w:val="both"/>
      </w:pPr>
      <w:r>
        <w:rPr>
          <w:rFonts w:ascii="Times New Roman"/>
          <w:b w:val="false"/>
          <w:i w:val="false"/>
          <w:color w:val="000000"/>
          <w:sz w:val="28"/>
        </w:rPr>
        <w:t>
      неполные семьи;</w:t>
      </w:r>
    </w:p>
    <w:p>
      <w:pPr>
        <w:spacing w:after="0"/>
        <w:ind w:left="0"/>
        <w:jc w:val="both"/>
      </w:pPr>
      <w:r>
        <w:rPr>
          <w:rFonts w:ascii="Times New Roman"/>
          <w:b w:val="false"/>
          <w:i w:val="false"/>
          <w:color w:val="000000"/>
          <w:sz w:val="28"/>
        </w:rPr>
        <w:t>
      семьи, имеющие или воспитывающие детей-инвалидов;</w:t>
      </w:r>
    </w:p>
    <w:p>
      <w:pPr>
        <w:spacing w:after="0"/>
        <w:ind w:left="0"/>
        <w:jc w:val="both"/>
      </w:pPr>
      <w:r>
        <w:rPr>
          <w:rFonts w:ascii="Times New Roman"/>
          <w:b w:val="false"/>
          <w:i w:val="false"/>
          <w:color w:val="000000"/>
          <w:sz w:val="28"/>
        </w:rPr>
        <w:t>
      дети-сироты, дети, оставшиеся без попечения родителей;</w:t>
      </w:r>
    </w:p>
    <w:p>
      <w:pPr>
        <w:spacing w:after="0"/>
        <w:ind w:left="0"/>
        <w:jc w:val="both"/>
      </w:pPr>
      <w:r>
        <w:rPr>
          <w:rFonts w:ascii="Times New Roman"/>
          <w:b w:val="false"/>
          <w:i w:val="false"/>
          <w:color w:val="000000"/>
          <w:sz w:val="28"/>
        </w:rPr>
        <w:t>
      оралманы;</w:t>
      </w:r>
    </w:p>
    <w:p>
      <w:pPr>
        <w:spacing w:after="0"/>
        <w:ind w:left="0"/>
        <w:jc w:val="both"/>
      </w:pPr>
      <w:r>
        <w:rPr>
          <w:rFonts w:ascii="Times New Roman"/>
          <w:b w:val="false"/>
          <w:i w:val="false"/>
          <w:color w:val="000000"/>
          <w:sz w:val="28"/>
        </w:rPr>
        <w:t>
      государственные служащие, военнослужащие, сотрудники специальных государственных органов, работники бюджетных организаций.</w:t>
      </w:r>
    </w:p>
    <w:p>
      <w:pPr>
        <w:spacing w:after="0"/>
        <w:ind w:left="0"/>
        <w:jc w:val="both"/>
      </w:pPr>
      <w:r>
        <w:rPr>
          <w:rFonts w:ascii="Times New Roman"/>
          <w:b w:val="false"/>
          <w:i w:val="false"/>
          <w:color w:val="000000"/>
          <w:sz w:val="28"/>
        </w:rPr>
        <w:t>
      Формирование участников данного направления будет производиться по подгруппам и следующим критериям:</w:t>
      </w:r>
    </w:p>
    <w:p>
      <w:pPr>
        <w:spacing w:after="0"/>
        <w:ind w:left="0"/>
        <w:jc w:val="both"/>
      </w:pPr>
      <w:r>
        <w:rPr>
          <w:rFonts w:ascii="Times New Roman"/>
          <w:b w:val="false"/>
          <w:i w:val="false"/>
          <w:color w:val="000000"/>
          <w:sz w:val="28"/>
        </w:rPr>
        <w:t>
      подгруппа 1 – очередники МИО указанных категорий, состоящие в браке не менее 3-х лет, имеющие детей (ребенка), и возраст обоих супругов не достиг 35 лет (на момент подачи заявления на участие в Программе), а также неполная семья, в которой детей (ребенка) воспитывает один из родителей, не достигший возраста 35 лет, в том числе разведенный, вдовый;</w:t>
      </w:r>
    </w:p>
    <w:p>
      <w:pPr>
        <w:spacing w:after="0"/>
        <w:ind w:left="0"/>
        <w:jc w:val="both"/>
      </w:pPr>
      <w:r>
        <w:rPr>
          <w:rFonts w:ascii="Times New Roman"/>
          <w:b w:val="false"/>
          <w:i w:val="false"/>
          <w:color w:val="000000"/>
          <w:sz w:val="28"/>
        </w:rPr>
        <w:t xml:space="preserve">
      подгруппа 2 – очередники МИО указанных категорий, не входящие в подгруппу 1. </w:t>
      </w:r>
    </w:p>
    <w:p>
      <w:pPr>
        <w:spacing w:after="0"/>
        <w:ind w:left="0"/>
        <w:jc w:val="both"/>
      </w:pPr>
      <w:r>
        <w:rPr>
          <w:rFonts w:ascii="Times New Roman"/>
          <w:b w:val="false"/>
          <w:i w:val="false"/>
          <w:color w:val="000000"/>
          <w:sz w:val="28"/>
        </w:rPr>
        <w:t>
      К категории "работники бюджетных организаций" приравниваются лица, состоящие на учете нуждающихся в жилище по данной категории, в случае реорганизации государственных учреждений и казенных предприятий в государственные предприятия на праве хозяйственного ведения;</w:t>
      </w:r>
    </w:p>
    <w:p>
      <w:pPr>
        <w:spacing w:after="0"/>
        <w:ind w:left="0"/>
        <w:jc w:val="both"/>
      </w:pPr>
      <w:r>
        <w:rPr>
          <w:rFonts w:ascii="Times New Roman"/>
          <w:b w:val="false"/>
          <w:i w:val="false"/>
          <w:color w:val="000000"/>
          <w:sz w:val="28"/>
        </w:rPr>
        <w:t>
      2) II группа: все категории населения, участвующие в направлении "Жилье для всех категорий населения" по линии ЖССБК;</w:t>
      </w:r>
    </w:p>
    <w:p>
      <w:pPr>
        <w:spacing w:after="0"/>
        <w:ind w:left="0"/>
        <w:jc w:val="both"/>
      </w:pPr>
      <w:r>
        <w:rPr>
          <w:rFonts w:ascii="Times New Roman"/>
          <w:b w:val="false"/>
          <w:i w:val="false"/>
          <w:color w:val="000000"/>
          <w:sz w:val="28"/>
        </w:rPr>
        <w:t>
      3) III группа: категория лиц, соответствующая следующим требованиям: молодая семья, состоящая в браке не менее двух лет, и возраст обоих супругов не достиг 29 лет (на момент подачи заявления на участие в Программе), а также неполная семья, в которой детей (ребенка) воспитывает один из родителей, не достигший возраста 29 лет, в том числе разведенный, вдовый.</w:t>
      </w:r>
    </w:p>
    <w:p>
      <w:pPr>
        <w:spacing w:after="0"/>
        <w:ind w:left="0"/>
        <w:jc w:val="both"/>
      </w:pPr>
      <w:r>
        <w:rPr>
          <w:rFonts w:ascii="Times New Roman"/>
          <w:b w:val="false"/>
          <w:i w:val="false"/>
          <w:color w:val="000000"/>
          <w:sz w:val="28"/>
        </w:rPr>
        <w:t xml:space="preserve">
      Период зарегистрированного брака не менее двух лет не распространяется на молодые семьи, претендующие получить жилье в городах "третьего уровня" (малые и моногорода) или СНП. Перечень малых и моногородов Республики Казахстан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Категория лиц, относящихся к группе III, участвует в направлении "Жилье для молодых семей" по линии ЖССБК;</w:t>
      </w:r>
    </w:p>
    <w:p>
      <w:pPr>
        <w:spacing w:after="0"/>
        <w:ind w:left="0"/>
        <w:jc w:val="both"/>
      </w:pPr>
      <w:r>
        <w:rPr>
          <w:rFonts w:ascii="Times New Roman"/>
          <w:b w:val="false"/>
          <w:i w:val="false"/>
          <w:color w:val="000000"/>
          <w:sz w:val="28"/>
        </w:rPr>
        <w:t xml:space="preserve">
      4) IV группа: </w:t>
      </w:r>
    </w:p>
    <w:p>
      <w:pPr>
        <w:spacing w:after="0"/>
        <w:ind w:left="0"/>
        <w:jc w:val="both"/>
      </w:pPr>
      <w:r>
        <w:rPr>
          <w:rFonts w:ascii="Times New Roman"/>
          <w:b w:val="false"/>
          <w:i w:val="false"/>
          <w:color w:val="000000"/>
          <w:sz w:val="28"/>
        </w:rPr>
        <w:t>
      работники государственных юридических лиц, с которыми АО "ИО "КИК" заключены соглашения/меморандумы;</w:t>
      </w:r>
    </w:p>
    <w:p>
      <w:pPr>
        <w:spacing w:after="0"/>
        <w:ind w:left="0"/>
        <w:jc w:val="both"/>
      </w:pPr>
      <w:r>
        <w:rPr>
          <w:rFonts w:ascii="Times New Roman"/>
          <w:b w:val="false"/>
          <w:i w:val="false"/>
          <w:color w:val="000000"/>
          <w:sz w:val="28"/>
        </w:rPr>
        <w:t>
      работники негосударственных юридических лиц, организующих строительство и/или приобретение жилья для своих работников, в том числе в целях минимизации оттока кадров и стимулирования переезда в моногорода и сельские населенные пункты, с которыми АО "ИО "КИК" заключены соглашения/меморандумы. При этом указанные юридические лица вправе организовывать строительство и/или приобретать жилье, в том числе на принципах государственно-частного партнерства.</w:t>
      </w:r>
    </w:p>
    <w:p>
      <w:pPr>
        <w:spacing w:after="0"/>
        <w:ind w:left="0"/>
        <w:jc w:val="both"/>
      </w:pPr>
      <w:r>
        <w:rPr>
          <w:rFonts w:ascii="Times New Roman"/>
          <w:b w:val="false"/>
          <w:i w:val="false"/>
          <w:color w:val="000000"/>
          <w:sz w:val="28"/>
        </w:rPr>
        <w:t xml:space="preserve">
      Заявители могут участвовать как участники одной из групп при соответствии требованиям Программы и соблюдения условия Программы, предусмотренного пунктом 2 </w:t>
      </w:r>
      <w:r>
        <w:rPr>
          <w:rFonts w:ascii="Times New Roman"/>
          <w:b w:val="false"/>
          <w:i w:val="false"/>
          <w:color w:val="000000"/>
          <w:sz w:val="28"/>
        </w:rPr>
        <w:t>подраздела 3</w:t>
      </w:r>
      <w:r>
        <w:rPr>
          <w:rFonts w:ascii="Times New Roman"/>
          <w:b w:val="false"/>
          <w:i w:val="false"/>
          <w:color w:val="000000"/>
          <w:sz w:val="28"/>
        </w:rPr>
        <w:t>.</w:t>
      </w:r>
    </w:p>
    <w:p>
      <w:pPr>
        <w:spacing w:after="0"/>
        <w:ind w:left="0"/>
        <w:jc w:val="left"/>
      </w:pPr>
      <w:r>
        <w:rPr>
          <w:rFonts w:ascii="Times New Roman"/>
          <w:b/>
          <w:i w:val="false"/>
          <w:color w:val="000000"/>
        </w:rPr>
        <w:t xml:space="preserve"> 2. Основные требования, предъявляемые к участникам Программы</w:t>
      </w:r>
    </w:p>
    <w:p>
      <w:pPr>
        <w:spacing w:after="0"/>
        <w:ind w:left="0"/>
        <w:jc w:val="both"/>
      </w:pPr>
      <w:r>
        <w:rPr>
          <w:rFonts w:ascii="Times New Roman"/>
          <w:b w:val="false"/>
          <w:i w:val="false"/>
          <w:color w:val="000000"/>
          <w:sz w:val="28"/>
        </w:rPr>
        <w:t>
      1. Основные требования, предъявляемые к группе I:</w:t>
      </w:r>
    </w:p>
    <w:p>
      <w:pPr>
        <w:spacing w:after="0"/>
        <w:ind w:left="0"/>
        <w:jc w:val="both"/>
      </w:pPr>
      <w:r>
        <w:rPr>
          <w:rFonts w:ascii="Times New Roman"/>
          <w:b w:val="false"/>
          <w:i w:val="false"/>
          <w:color w:val="000000"/>
          <w:sz w:val="28"/>
        </w:rPr>
        <w:t xml:space="preserve">
      1) подтверждение постановки на учет нуждающихся в жилище и статуса нуждающегося в жилище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подтверждение возможности исполнения обязательств соответствующими доходами по условиям реализации жилья, указанным в пункте 1 </w:t>
      </w:r>
      <w:r>
        <w:rPr>
          <w:rFonts w:ascii="Times New Roman"/>
          <w:b w:val="false"/>
          <w:i w:val="false"/>
          <w:color w:val="000000"/>
          <w:sz w:val="28"/>
        </w:rPr>
        <w:t>подраздела 3</w:t>
      </w:r>
      <w:r>
        <w:rPr>
          <w:rFonts w:ascii="Times New Roman"/>
          <w:b w:val="false"/>
          <w:i w:val="false"/>
          <w:color w:val="000000"/>
          <w:sz w:val="28"/>
        </w:rPr>
        <w:t>.</w:t>
      </w:r>
    </w:p>
    <w:p>
      <w:pPr>
        <w:spacing w:after="0"/>
        <w:ind w:left="0"/>
        <w:jc w:val="both"/>
      </w:pPr>
      <w:r>
        <w:rPr>
          <w:rFonts w:ascii="Times New Roman"/>
          <w:b w:val="false"/>
          <w:i w:val="false"/>
          <w:color w:val="000000"/>
          <w:sz w:val="28"/>
        </w:rPr>
        <w:t>
      Не допускаются к участию в Программе как группа I лица, состоящие на учете нуждающихся в жилище с целью улучшения жилищных условий при наличии жилья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w:t>
      </w:r>
    </w:p>
    <w:p>
      <w:pPr>
        <w:spacing w:after="0"/>
        <w:ind w:left="0"/>
        <w:jc w:val="both"/>
      </w:pPr>
      <w:r>
        <w:rPr>
          <w:rFonts w:ascii="Times New Roman"/>
          <w:b w:val="false"/>
          <w:i w:val="false"/>
          <w:color w:val="000000"/>
          <w:sz w:val="28"/>
        </w:rPr>
        <w:t>
      2. Основные требования, предъявляемые к группам II и III:</w:t>
      </w:r>
    </w:p>
    <w:p>
      <w:pPr>
        <w:spacing w:after="0"/>
        <w:ind w:left="0"/>
        <w:jc w:val="both"/>
      </w:pPr>
      <w:r>
        <w:rPr>
          <w:rFonts w:ascii="Times New Roman"/>
          <w:b w:val="false"/>
          <w:i w:val="false"/>
          <w:color w:val="000000"/>
          <w:sz w:val="28"/>
        </w:rPr>
        <w:t>
      1) наличие гражданства Республики Казахстан или статуса оралмана;</w:t>
      </w:r>
    </w:p>
    <w:p>
      <w:pPr>
        <w:spacing w:after="0"/>
        <w:ind w:left="0"/>
        <w:jc w:val="both"/>
      </w:pPr>
      <w:r>
        <w:rPr>
          <w:rFonts w:ascii="Times New Roman"/>
          <w:b w:val="false"/>
          <w:i w:val="false"/>
          <w:color w:val="000000"/>
          <w:sz w:val="28"/>
        </w:rPr>
        <w:t>
      2) наличие постоянной регистрации по месту жительства в населенном пункте, в котором участник претендует получить жилье независимо от срока проживания, за исключением городов Астаны и Алматы, в которых учитываются сроки регистрации двух последних и более лет на дату подачи заявления.</w:t>
      </w:r>
    </w:p>
    <w:p>
      <w:pPr>
        <w:spacing w:after="0"/>
        <w:ind w:left="0"/>
        <w:jc w:val="both"/>
      </w:pPr>
      <w:r>
        <w:rPr>
          <w:rFonts w:ascii="Times New Roman"/>
          <w:b w:val="false"/>
          <w:i w:val="false"/>
          <w:color w:val="000000"/>
          <w:sz w:val="28"/>
        </w:rPr>
        <w:t>
      В случае участия в направлении "Жилье для всех категорий населения" по линии ЖССБК, не требуется наличие регистрации по месту жительства в населенном пункте, в котором заявитель претендует получить жилье, за исключением вышеуказанного порядка по городам Астане и Алматы;</w:t>
      </w:r>
    </w:p>
    <w:p>
      <w:pPr>
        <w:spacing w:after="0"/>
        <w:ind w:left="0"/>
        <w:jc w:val="both"/>
      </w:pPr>
      <w:r>
        <w:rPr>
          <w:rFonts w:ascii="Times New Roman"/>
          <w:b w:val="false"/>
          <w:i w:val="false"/>
          <w:color w:val="000000"/>
          <w:sz w:val="28"/>
        </w:rPr>
        <w:t>
      3) отсутствие по территории Республики Казахстан у участника Программы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пункте, как единицу жилья), за исключением:</w:t>
      </w:r>
    </w:p>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грозящего обвалом (обрушением), которое подтверждается соответствующей справкой МИО по месту нахождения данного жилища;</w:t>
      </w:r>
    </w:p>
    <w:p>
      <w:pPr>
        <w:spacing w:after="0"/>
        <w:ind w:left="0"/>
        <w:jc w:val="both"/>
      </w:pPr>
      <w:r>
        <w:rPr>
          <w:rFonts w:ascii="Times New Roman"/>
          <w:b w:val="false"/>
          <w:i w:val="false"/>
          <w:color w:val="000000"/>
          <w:sz w:val="28"/>
        </w:rPr>
        <w:t>
      4) отсутствие фактов преднамеренного ухудшения жилищных условий участником Программы и постоянно совместно проживающих с ним членов его семьи (супруг (-а), несовершеннолетних детей), а также других членов семьи, включенных в состав семьи и указанных в заявлении, путем обмена жилого помещения или отчуждения жилища, принадлежащего ему на праве собственности, в течение последних 5 (пяти) лет по территории Республики Казахстан;</w:t>
      </w:r>
    </w:p>
    <w:p>
      <w:pPr>
        <w:spacing w:after="0"/>
        <w:ind w:left="0"/>
        <w:jc w:val="both"/>
      </w:pPr>
      <w:r>
        <w:rPr>
          <w:rFonts w:ascii="Times New Roman"/>
          <w:b w:val="false"/>
          <w:i w:val="false"/>
          <w:color w:val="000000"/>
          <w:sz w:val="28"/>
        </w:rPr>
        <w:t xml:space="preserve">
      5) подтверждение возможности исполнения обязательств соответствующими доходами по условиям реализации жилья, указанным в пункте 2 </w:t>
      </w:r>
      <w:r>
        <w:rPr>
          <w:rFonts w:ascii="Times New Roman"/>
          <w:b w:val="false"/>
          <w:i w:val="false"/>
          <w:color w:val="000000"/>
          <w:sz w:val="28"/>
        </w:rPr>
        <w:t>подраздела 3</w:t>
      </w:r>
      <w:r>
        <w:rPr>
          <w:rFonts w:ascii="Times New Roman"/>
          <w:b w:val="false"/>
          <w:i w:val="false"/>
          <w:color w:val="000000"/>
          <w:sz w:val="28"/>
        </w:rPr>
        <w:t>.</w:t>
      </w:r>
    </w:p>
    <w:p>
      <w:pPr>
        <w:spacing w:after="0"/>
        <w:ind w:left="0"/>
        <w:jc w:val="both"/>
      </w:pPr>
      <w:r>
        <w:rPr>
          <w:rFonts w:ascii="Times New Roman"/>
          <w:b w:val="false"/>
          <w:i w:val="false"/>
          <w:color w:val="000000"/>
          <w:sz w:val="28"/>
        </w:rPr>
        <w:t>
      Условия, порядок и требования к участникам Программы группы IV определяются соглашениями/меморандумами и внутренними документами АО "ИО "КИК" по согласованию с акционерным обществом "Национальный управляющий холдинг "Байтерек" (далее – АО "НУХ "Байтерек").</w:t>
      </w:r>
    </w:p>
    <w:p>
      <w:pPr>
        <w:spacing w:after="0"/>
        <w:ind w:left="0"/>
        <w:jc w:val="left"/>
      </w:pPr>
      <w:r>
        <w:rPr>
          <w:rFonts w:ascii="Times New Roman"/>
          <w:b/>
          <w:i w:val="false"/>
          <w:color w:val="000000"/>
        </w:rPr>
        <w:t xml:space="preserve"> 3. Условия реализации жилья участникам Программы</w:t>
      </w:r>
    </w:p>
    <w:p>
      <w:pPr>
        <w:spacing w:after="0"/>
        <w:ind w:left="0"/>
        <w:jc w:val="both"/>
      </w:pPr>
      <w:r>
        <w:rPr>
          <w:rFonts w:ascii="Times New Roman"/>
          <w:b w:val="false"/>
          <w:i w:val="false"/>
          <w:color w:val="000000"/>
          <w:sz w:val="28"/>
        </w:rPr>
        <w:t>
      1. При соответствующем уровне дохода участнику Программы жилье реализуется:</w:t>
      </w:r>
    </w:p>
    <w:p>
      <w:pPr>
        <w:spacing w:after="0"/>
        <w:ind w:left="0"/>
        <w:jc w:val="both"/>
      </w:pPr>
      <w:r>
        <w:rPr>
          <w:rFonts w:ascii="Times New Roman"/>
          <w:b w:val="false"/>
          <w:i w:val="false"/>
          <w:color w:val="000000"/>
          <w:sz w:val="28"/>
        </w:rPr>
        <w:t>
      1) в собственность или аренду с выкупом по направлениям "Жилье для всех категорий населения" по линии ЖССБК и "Жилье АО "Фонд недвижимости "Самрук-Қазына";</w:t>
      </w:r>
    </w:p>
    <w:p>
      <w:pPr>
        <w:spacing w:after="0"/>
        <w:ind w:left="0"/>
        <w:jc w:val="both"/>
      </w:pPr>
      <w:r>
        <w:rPr>
          <w:rFonts w:ascii="Times New Roman"/>
          <w:b w:val="false"/>
          <w:i w:val="false"/>
          <w:color w:val="000000"/>
          <w:sz w:val="28"/>
        </w:rPr>
        <w:t>
      2) в аренду с выкупом по направлению "Жилье для молодых семей" по линии ЖССБК;</w:t>
      </w:r>
    </w:p>
    <w:p>
      <w:pPr>
        <w:spacing w:after="0"/>
        <w:ind w:left="0"/>
        <w:jc w:val="both"/>
      </w:pPr>
      <w:r>
        <w:rPr>
          <w:rFonts w:ascii="Times New Roman"/>
          <w:b w:val="false"/>
          <w:i w:val="false"/>
          <w:color w:val="000000"/>
          <w:sz w:val="28"/>
        </w:rPr>
        <w:t>
      3) в аренду с выкупом и без выкупа по направлению "Жилье "АО "ИО "КИК".</w:t>
      </w:r>
    </w:p>
    <w:p>
      <w:pPr>
        <w:spacing w:after="0"/>
        <w:ind w:left="0"/>
        <w:jc w:val="both"/>
      </w:pPr>
      <w:r>
        <w:rPr>
          <w:rFonts w:ascii="Times New Roman"/>
          <w:b w:val="false"/>
          <w:i w:val="false"/>
          <w:color w:val="000000"/>
          <w:sz w:val="28"/>
        </w:rPr>
        <w:t xml:space="preserve">
      Заявители в целях выполнения требований, предусмотренных подпунктом 2) пункта 1, подпунктом 5) пункта 2 </w:t>
      </w:r>
      <w:r>
        <w:rPr>
          <w:rFonts w:ascii="Times New Roman"/>
          <w:b w:val="false"/>
          <w:i w:val="false"/>
          <w:color w:val="000000"/>
          <w:sz w:val="28"/>
        </w:rPr>
        <w:t>подраздела 2</w:t>
      </w:r>
      <w:r>
        <w:rPr>
          <w:rFonts w:ascii="Times New Roman"/>
          <w:b w:val="false"/>
          <w:i w:val="false"/>
          <w:color w:val="000000"/>
          <w:sz w:val="28"/>
        </w:rPr>
        <w:t>, подтверждают соответствующие доходы (оценка платежеспособности) согласно внутренним требованиям ЖССБК, АО "ИО "КИК" и АО "Фонд недвижимости "Самрук-Қазына".</w:t>
      </w:r>
    </w:p>
    <w:p>
      <w:pPr>
        <w:spacing w:after="0"/>
        <w:ind w:left="0"/>
        <w:jc w:val="both"/>
      </w:pPr>
      <w:r>
        <w:rPr>
          <w:rFonts w:ascii="Times New Roman"/>
          <w:b w:val="false"/>
          <w:i w:val="false"/>
          <w:color w:val="000000"/>
          <w:sz w:val="28"/>
        </w:rPr>
        <w:t>
      По направлению "Жилье для всех категорий населения" по линии ЖССБК заявитель подтверждает платежеспособность вначале как покупатель жилья.</w:t>
      </w:r>
    </w:p>
    <w:p>
      <w:pPr>
        <w:spacing w:after="0"/>
        <w:ind w:left="0"/>
        <w:jc w:val="both"/>
      </w:pPr>
      <w:r>
        <w:rPr>
          <w:rFonts w:ascii="Times New Roman"/>
          <w:b w:val="false"/>
          <w:i w:val="false"/>
          <w:color w:val="000000"/>
          <w:sz w:val="28"/>
        </w:rPr>
        <w:t>
      В случае неподтверждения им порога платежеспособности, рассматривается как арендатор жилья при не превышении максимального уровня ежемесячного совокупного (семейного) дохода не более 20-кратного размера прожиточного минимума.</w:t>
      </w:r>
    </w:p>
    <w:p>
      <w:pPr>
        <w:spacing w:after="0"/>
        <w:ind w:left="0"/>
        <w:jc w:val="both"/>
      </w:pPr>
      <w:r>
        <w:rPr>
          <w:rFonts w:ascii="Times New Roman"/>
          <w:b w:val="false"/>
          <w:i w:val="false"/>
          <w:color w:val="000000"/>
          <w:sz w:val="28"/>
        </w:rPr>
        <w:t>
      По направлениям "Жилье "АО "ИО "КИК" и "Жилье АО "Фонд недвижимости "Самрук-Қазына" претенденты вправе посредством автоматизированной программы по расчету максимальной суммы арендных платежей данных операторов провести предварительный анализ соответствующего дохода (оценка платежеспособности) при наличии сведений по совокупному (семейному) доходу (за минусом пенсионных отчислений, индивидуального подоходного налога и других вычетов, в том числе устанавливаемых нормативов прожиточных минимумов на содержание каждого члена семьи).</w:t>
      </w:r>
    </w:p>
    <w:p>
      <w:pPr>
        <w:spacing w:after="0"/>
        <w:ind w:left="0"/>
        <w:jc w:val="both"/>
      </w:pPr>
      <w:r>
        <w:rPr>
          <w:rFonts w:ascii="Times New Roman"/>
          <w:b w:val="false"/>
          <w:i w:val="false"/>
          <w:color w:val="000000"/>
          <w:sz w:val="28"/>
        </w:rPr>
        <w:t xml:space="preserve">
      2. В рамках Программы допускается приобретение в собственность жилья или аренда с выкупом не более 1 единицы по всем направлениям Программы и по всем регионам Казахстана. </w:t>
      </w:r>
    </w:p>
    <w:p>
      <w:pPr>
        <w:spacing w:after="0"/>
        <w:ind w:left="0"/>
        <w:jc w:val="both"/>
      </w:pPr>
      <w:r>
        <w:rPr>
          <w:rFonts w:ascii="Times New Roman"/>
          <w:b w:val="false"/>
          <w:i w:val="false"/>
          <w:color w:val="000000"/>
          <w:sz w:val="28"/>
        </w:rPr>
        <w:t>
      Контроль за исполнением данного требования возлагается на операторов реализации жилья.</w:t>
      </w:r>
    </w:p>
    <w:p>
      <w:pPr>
        <w:spacing w:after="0"/>
        <w:ind w:left="0"/>
        <w:jc w:val="both"/>
      </w:pPr>
      <w:r>
        <w:rPr>
          <w:rFonts w:ascii="Times New Roman"/>
          <w:b w:val="false"/>
          <w:i w:val="false"/>
          <w:color w:val="000000"/>
          <w:sz w:val="28"/>
        </w:rPr>
        <w:t>
      Договора аренды подлежат обязательной государственной регистрации участником Программы в уполномоченном органе по регистрации прав на недвижимое имущество.</w:t>
      </w:r>
    </w:p>
    <w:p>
      <w:pPr>
        <w:spacing w:after="0"/>
        <w:ind w:left="0"/>
        <w:jc w:val="both"/>
      </w:pPr>
      <w:r>
        <w:rPr>
          <w:rFonts w:ascii="Times New Roman"/>
          <w:b w:val="false"/>
          <w:i w:val="false"/>
          <w:color w:val="000000"/>
          <w:sz w:val="28"/>
        </w:rPr>
        <w:t>
      Не допускается в рамках Программы отчуждение жилья:</w:t>
      </w:r>
    </w:p>
    <w:p>
      <w:pPr>
        <w:spacing w:after="0"/>
        <w:ind w:left="0"/>
        <w:jc w:val="both"/>
      </w:pPr>
      <w:r>
        <w:rPr>
          <w:rFonts w:ascii="Times New Roman"/>
          <w:b w:val="false"/>
          <w:i w:val="false"/>
          <w:color w:val="000000"/>
          <w:sz w:val="28"/>
        </w:rPr>
        <w:t>
      1) в течение двух лет со дня его приобретения участником Программы в собственность по договорам купли-продажи,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2) в течение трех лет в случае выкупа участником Программы в собственность арендного жилья в 10-летний период с даты получения жилья в аренду;</w:t>
      </w:r>
    </w:p>
    <w:p>
      <w:pPr>
        <w:spacing w:after="0"/>
        <w:ind w:left="0"/>
        <w:jc w:val="both"/>
      </w:pPr>
      <w:r>
        <w:rPr>
          <w:rFonts w:ascii="Times New Roman"/>
          <w:b w:val="false"/>
          <w:i w:val="false"/>
          <w:color w:val="000000"/>
          <w:sz w:val="28"/>
        </w:rPr>
        <w:t xml:space="preserve">
      3) в течение двух лет по истечении срока аренды с выкупом в случае выкупа участником Программы в собственность арендного жилья. </w:t>
      </w:r>
    </w:p>
    <w:p>
      <w:pPr>
        <w:spacing w:after="0"/>
        <w:ind w:left="0"/>
        <w:jc w:val="both"/>
      </w:pPr>
      <w:r>
        <w:rPr>
          <w:rFonts w:ascii="Times New Roman"/>
          <w:b w:val="false"/>
          <w:i w:val="false"/>
          <w:color w:val="000000"/>
          <w:sz w:val="28"/>
        </w:rPr>
        <w:t>
      Запрещается сдача участником Программы арендного жилья в субаренду, дарение или обмен жилья путем переуступки договора аренды арендаторами.</w:t>
      </w:r>
    </w:p>
    <w:p>
      <w:pPr>
        <w:spacing w:after="0"/>
        <w:ind w:left="0"/>
        <w:jc w:val="both"/>
      </w:pPr>
      <w:r>
        <w:rPr>
          <w:rFonts w:ascii="Times New Roman"/>
          <w:b w:val="false"/>
          <w:i w:val="false"/>
          <w:color w:val="000000"/>
          <w:sz w:val="28"/>
        </w:rPr>
        <w:t xml:space="preserve">
      3. Претенденты из групп I и III, соответствующие требованиям </w:t>
      </w:r>
      <w:r>
        <w:rPr>
          <w:rFonts w:ascii="Times New Roman"/>
          <w:b w:val="false"/>
          <w:i w:val="false"/>
          <w:color w:val="000000"/>
          <w:sz w:val="28"/>
        </w:rPr>
        <w:t>подразделов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при публикации МИО объявлений по определенному направлению Программы и характеристиках реализуемого жилья (количество и типы квартир, способы реализации – продажа, аренда с выкупом, аренда без выкупа) подают заявления на определенный тип квартиры (далее – заявление) и следующие документы:</w:t>
      </w:r>
    </w:p>
    <w:p>
      <w:pPr>
        <w:spacing w:after="0"/>
        <w:ind w:left="0"/>
        <w:jc w:val="both"/>
      </w:pPr>
      <w:r>
        <w:rPr>
          <w:rFonts w:ascii="Times New Roman"/>
          <w:b w:val="false"/>
          <w:i w:val="false"/>
          <w:color w:val="000000"/>
          <w:sz w:val="28"/>
        </w:rPr>
        <w:t>
      1) документ, удостоверяющий личность заявителя и членов его семьи;</w:t>
      </w:r>
    </w:p>
    <w:p>
      <w:pPr>
        <w:spacing w:after="0"/>
        <w:ind w:left="0"/>
        <w:jc w:val="both"/>
      </w:pPr>
      <w:r>
        <w:rPr>
          <w:rFonts w:ascii="Times New Roman"/>
          <w:b w:val="false"/>
          <w:i w:val="false"/>
          <w:color w:val="000000"/>
          <w:sz w:val="28"/>
        </w:rPr>
        <w:t>
      2) свидетельство о заключении брака (расторжении брака), о смерти супруга/супруги, рождении детей, заявление о том, что заявитель в браке не состоит;</w:t>
      </w:r>
    </w:p>
    <w:p>
      <w:pPr>
        <w:spacing w:after="0"/>
        <w:ind w:left="0"/>
        <w:jc w:val="both"/>
      </w:pPr>
      <w:r>
        <w:rPr>
          <w:rFonts w:ascii="Times New Roman"/>
          <w:b w:val="false"/>
          <w:i w:val="false"/>
          <w:color w:val="000000"/>
          <w:sz w:val="28"/>
        </w:rPr>
        <w:t>
      3) справка о наличии или отсутствии у заявителя и постоянно проживающих с ним членов семьи жилища, принадлежащего им на праве собственности, или арендного жилья с выкупом по территории Республики Казахстан;</w:t>
      </w:r>
    </w:p>
    <w:p>
      <w:pPr>
        <w:spacing w:after="0"/>
        <w:ind w:left="0"/>
        <w:jc w:val="both"/>
      </w:pPr>
      <w:r>
        <w:rPr>
          <w:rFonts w:ascii="Times New Roman"/>
          <w:b w:val="false"/>
          <w:i w:val="false"/>
          <w:color w:val="000000"/>
          <w:sz w:val="28"/>
        </w:rPr>
        <w:t>
      4) адресная справка о регистрации заявителя и постоянно проживающих с ним членов семьи по месту жительства, подтверждающая проживание в соответствующем населенном пункте;</w:t>
      </w:r>
    </w:p>
    <w:p>
      <w:pPr>
        <w:spacing w:after="0"/>
        <w:ind w:left="0"/>
        <w:jc w:val="both"/>
      </w:pPr>
      <w:r>
        <w:rPr>
          <w:rFonts w:ascii="Times New Roman"/>
          <w:b w:val="false"/>
          <w:i w:val="false"/>
          <w:color w:val="000000"/>
          <w:sz w:val="28"/>
        </w:rPr>
        <w:t xml:space="preserve">
      5) справка с места работы заявителя (для группы I категории лиц, указанных в подпунктах 3) </w:t>
      </w:r>
      <w:r>
        <w:rPr>
          <w:rFonts w:ascii="Times New Roman"/>
          <w:b w:val="false"/>
          <w:i w:val="false"/>
          <w:color w:val="000000"/>
          <w:sz w:val="28"/>
        </w:rPr>
        <w:t>пункта 1</w:t>
      </w:r>
      <w:r>
        <w:rPr>
          <w:rFonts w:ascii="Times New Roman"/>
          <w:b w:val="false"/>
          <w:i w:val="false"/>
          <w:color w:val="000000"/>
          <w:sz w:val="28"/>
        </w:rPr>
        <w:t xml:space="preserve"> статьи 67 Закона) и супруги (-га) (для заявителя группы III);</w:t>
      </w:r>
    </w:p>
    <w:p>
      <w:pPr>
        <w:spacing w:after="0"/>
        <w:ind w:left="0"/>
        <w:jc w:val="both"/>
      </w:pPr>
      <w:r>
        <w:rPr>
          <w:rFonts w:ascii="Times New Roman"/>
          <w:b w:val="false"/>
          <w:i w:val="false"/>
          <w:color w:val="000000"/>
          <w:sz w:val="28"/>
        </w:rPr>
        <w:t>
      6) справка, подтверждающая наличие инвалидности или тяжелых форм некоторых хронических заболеваний члена семьи;</w:t>
      </w:r>
    </w:p>
    <w:p>
      <w:pPr>
        <w:spacing w:after="0"/>
        <w:ind w:left="0"/>
        <w:jc w:val="both"/>
      </w:pPr>
      <w:r>
        <w:rPr>
          <w:rFonts w:ascii="Times New Roman"/>
          <w:b w:val="false"/>
          <w:i w:val="false"/>
          <w:color w:val="000000"/>
          <w:sz w:val="28"/>
        </w:rPr>
        <w:t>
      7) заключение о техническом состоянии жилища (для заявителя группы III);</w:t>
      </w:r>
    </w:p>
    <w:p>
      <w:pPr>
        <w:spacing w:after="0"/>
        <w:ind w:left="0"/>
        <w:jc w:val="both"/>
      </w:pPr>
      <w:r>
        <w:rPr>
          <w:rFonts w:ascii="Times New Roman"/>
          <w:b w:val="false"/>
          <w:i w:val="false"/>
          <w:color w:val="000000"/>
          <w:sz w:val="28"/>
        </w:rPr>
        <w:t>
      8) сведения о постановке на учет нуждающихся в жилище с указанием номера очередности на момент подачи заявления на участие в Программе (для группы I);</w:t>
      </w:r>
    </w:p>
    <w:p>
      <w:pPr>
        <w:spacing w:after="0"/>
        <w:ind w:left="0"/>
        <w:jc w:val="both"/>
      </w:pPr>
      <w:r>
        <w:rPr>
          <w:rFonts w:ascii="Times New Roman"/>
          <w:b w:val="false"/>
          <w:i w:val="false"/>
          <w:color w:val="000000"/>
          <w:sz w:val="28"/>
        </w:rPr>
        <w:t>
      9) заявление о готовности выкупить жилье за счет собственных и (или) заемных средств по направлению "Жилье АО "Фонд недвижимости "Самрук–Казына" (для группы I);</w:t>
      </w:r>
    </w:p>
    <w:p>
      <w:pPr>
        <w:spacing w:after="0"/>
        <w:ind w:left="0"/>
        <w:jc w:val="both"/>
      </w:pPr>
      <w:r>
        <w:rPr>
          <w:rFonts w:ascii="Times New Roman"/>
          <w:b w:val="false"/>
          <w:i w:val="false"/>
          <w:color w:val="000000"/>
          <w:sz w:val="28"/>
        </w:rPr>
        <w:t>
      10) справка, подтверждающая получение заявителем доходов.</w:t>
      </w:r>
    </w:p>
    <w:p>
      <w:pPr>
        <w:spacing w:after="0"/>
        <w:ind w:left="0"/>
        <w:jc w:val="both"/>
      </w:pPr>
      <w:r>
        <w:rPr>
          <w:rFonts w:ascii="Times New Roman"/>
          <w:b w:val="false"/>
          <w:i w:val="false"/>
          <w:color w:val="000000"/>
          <w:sz w:val="28"/>
        </w:rPr>
        <w:t>
      В районных центрах, городах, городах республиканского, областного значения, столице заявления и документы от претендентов принимаются через веб-портал "электронного правительства", в сельских населенных пунктах, поселках – на бумажном носителе акимами сельских округов (сел, поселков).</w:t>
      </w:r>
    </w:p>
    <w:p>
      <w:pPr>
        <w:spacing w:after="0"/>
        <w:ind w:left="0"/>
        <w:jc w:val="left"/>
      </w:pPr>
      <w:r>
        <w:rPr>
          <w:rFonts w:ascii="Times New Roman"/>
          <w:b/>
          <w:i w:val="false"/>
          <w:color w:val="000000"/>
        </w:rPr>
        <w:t xml:space="preserve"> 4. Нормы распределяемого жилья и операторы</w:t>
      </w:r>
      <w:r>
        <w:br/>
      </w:r>
      <w:r>
        <w:rPr>
          <w:rFonts w:ascii="Times New Roman"/>
          <w:b/>
          <w:i w:val="false"/>
          <w:color w:val="000000"/>
        </w:rPr>
        <w:t>направлений Программы</w:t>
      </w:r>
    </w:p>
    <w:p>
      <w:pPr>
        <w:spacing w:after="0"/>
        <w:ind w:left="0"/>
        <w:jc w:val="both"/>
      </w:pPr>
      <w:r>
        <w:rPr>
          <w:rFonts w:ascii="Times New Roman"/>
          <w:b w:val="false"/>
          <w:i w:val="false"/>
          <w:color w:val="000000"/>
          <w:sz w:val="28"/>
        </w:rPr>
        <w:t>
      1. Жилье распределяется в следующей пропорции и порядке:</w:t>
      </w:r>
    </w:p>
    <w:p>
      <w:pPr>
        <w:spacing w:after="0"/>
        <w:ind w:left="0"/>
        <w:jc w:val="both"/>
      </w:pPr>
      <w:r>
        <w:rPr>
          <w:rFonts w:ascii="Times New Roman"/>
          <w:b w:val="false"/>
          <w:i w:val="false"/>
          <w:color w:val="000000"/>
          <w:sz w:val="28"/>
        </w:rPr>
        <w:t xml:space="preserve">
      1) по направлению "Жилье для очередников МИО" государственное (коммунальное) арендное жилье распределяется МИО в полном объеме очередникам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 по направлению "Жилье для всех категорий населения" по линии ЖССБК":</w:t>
      </w:r>
    </w:p>
    <w:p>
      <w:pPr>
        <w:spacing w:after="0"/>
        <w:ind w:left="0"/>
        <w:jc w:val="both"/>
      </w:pPr>
      <w:r>
        <w:rPr>
          <w:rFonts w:ascii="Times New Roman"/>
          <w:b w:val="false"/>
          <w:i w:val="false"/>
          <w:color w:val="000000"/>
          <w:sz w:val="28"/>
        </w:rPr>
        <w:t xml:space="preserve">
      50 % среди участников пула группы I, формируемого МИО в соответствии с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50 % среди участников пула группы II, формируемого ЖССБК в соответствии </w:t>
      </w:r>
      <w:r>
        <w:rPr>
          <w:rFonts w:ascii="Times New Roman"/>
          <w:b w:val="false"/>
          <w:i w:val="false"/>
          <w:color w:val="000000"/>
          <w:sz w:val="28"/>
        </w:rPr>
        <w:t>подразделом 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Жилье между группами распределяется в равной пропорции и равнозначного типа квартир. </w:t>
      </w:r>
    </w:p>
    <w:p>
      <w:pPr>
        <w:spacing w:after="0"/>
        <w:ind w:left="0"/>
        <w:jc w:val="both"/>
      </w:pPr>
      <w:r>
        <w:rPr>
          <w:rFonts w:ascii="Times New Roman"/>
          <w:b w:val="false"/>
          <w:i w:val="false"/>
          <w:color w:val="000000"/>
          <w:sz w:val="28"/>
        </w:rPr>
        <w:t>
      Порядок распределения квартир между МИО и ЖССБК определяется в соответствующем договоре о сотрудничестве по каждому объекту строительства. В случае нечетного количества квартир в объекте строительства, данный остаток закрепляется за ЖССБК.</w:t>
      </w:r>
    </w:p>
    <w:p>
      <w:pPr>
        <w:spacing w:after="0"/>
        <w:ind w:left="0"/>
        <w:jc w:val="both"/>
      </w:pPr>
      <w:r>
        <w:rPr>
          <w:rFonts w:ascii="Times New Roman"/>
          <w:b w:val="false"/>
          <w:i w:val="false"/>
          <w:color w:val="000000"/>
          <w:sz w:val="28"/>
        </w:rPr>
        <w:t>
      При формировании пула участников Программы из группы I МИО вправе проводить отборы последующих заявителей из предварительного списка в случае неподтверждения заявителями соответствующего уровня дохода при необходимости не более двух раз. При отсутствии заявителей МИО передает нераспределенные квартиры ЖССБК.</w:t>
      </w:r>
    </w:p>
    <w:p>
      <w:pPr>
        <w:spacing w:after="0"/>
        <w:ind w:left="0"/>
        <w:jc w:val="both"/>
      </w:pPr>
      <w:r>
        <w:rPr>
          <w:rFonts w:ascii="Times New Roman"/>
          <w:b w:val="false"/>
          <w:i w:val="false"/>
          <w:color w:val="000000"/>
          <w:sz w:val="28"/>
        </w:rPr>
        <w:t>
      ЖССБК также передает МИО такие квартиры в случае отсутствия претендентов на получение жилья из группы II.</w:t>
      </w:r>
    </w:p>
    <w:p>
      <w:pPr>
        <w:spacing w:after="0"/>
        <w:ind w:left="0"/>
        <w:jc w:val="both"/>
      </w:pPr>
      <w:r>
        <w:rPr>
          <w:rFonts w:ascii="Times New Roman"/>
          <w:b w:val="false"/>
          <w:i w:val="false"/>
          <w:color w:val="000000"/>
          <w:sz w:val="28"/>
        </w:rPr>
        <w:t xml:space="preserve">
      В случае отсутствия заявителей из группы I и II, ЖССБК распределяет жилье среди вкладчиков ЖССБК для городов Астаны и Алматы, не соответствующих требованиям подпункта 2), и для иных регионов подпунктов 3), 4) пункта 2 </w:t>
      </w:r>
      <w:r>
        <w:rPr>
          <w:rFonts w:ascii="Times New Roman"/>
          <w:b w:val="false"/>
          <w:i w:val="false"/>
          <w:color w:val="000000"/>
          <w:sz w:val="28"/>
        </w:rPr>
        <w:t>подраздела 2</w:t>
      </w:r>
      <w:r>
        <w:rPr>
          <w:rFonts w:ascii="Times New Roman"/>
          <w:b w:val="false"/>
          <w:i w:val="false"/>
          <w:color w:val="000000"/>
          <w:sz w:val="28"/>
        </w:rPr>
        <w:t xml:space="preserve"> в соответствии с порядком, предусмотренным в </w:t>
      </w:r>
      <w:r>
        <w:rPr>
          <w:rFonts w:ascii="Times New Roman"/>
          <w:b w:val="false"/>
          <w:i w:val="false"/>
          <w:color w:val="000000"/>
          <w:sz w:val="28"/>
        </w:rPr>
        <w:t>подразделе 6</w:t>
      </w:r>
      <w:r>
        <w:rPr>
          <w:rFonts w:ascii="Times New Roman"/>
          <w:b w:val="false"/>
          <w:i w:val="false"/>
          <w:color w:val="000000"/>
          <w:sz w:val="28"/>
        </w:rPr>
        <w:t>;</w:t>
      </w:r>
    </w:p>
    <w:p>
      <w:pPr>
        <w:spacing w:after="0"/>
        <w:ind w:left="0"/>
        <w:jc w:val="both"/>
      </w:pPr>
      <w:r>
        <w:rPr>
          <w:rFonts w:ascii="Times New Roman"/>
          <w:b w:val="false"/>
          <w:i w:val="false"/>
          <w:color w:val="000000"/>
          <w:sz w:val="28"/>
        </w:rPr>
        <w:t>
      3) по направлению "Жилье для молодых семей" по линии ЖССБК арендное жилье распределяется в полном объеме среди участников пула из группы III, формируемого МИО в соответствии с подразделом 5;</w:t>
      </w:r>
    </w:p>
    <w:p>
      <w:pPr>
        <w:spacing w:after="0"/>
        <w:ind w:left="0"/>
        <w:jc w:val="both"/>
      </w:pPr>
      <w:r>
        <w:rPr>
          <w:rFonts w:ascii="Times New Roman"/>
          <w:b w:val="false"/>
          <w:i w:val="false"/>
          <w:color w:val="000000"/>
          <w:sz w:val="28"/>
        </w:rPr>
        <w:t xml:space="preserve">
      4) по направлению "Жилье АО "ИО "КИК" арендное жилье распределяется в полном объеме среди участников пула группы I, формируемого МИО в соответствии с </w:t>
      </w:r>
      <w:r>
        <w:rPr>
          <w:rFonts w:ascii="Times New Roman"/>
          <w:b w:val="false"/>
          <w:i w:val="false"/>
          <w:color w:val="000000"/>
          <w:sz w:val="28"/>
        </w:rPr>
        <w:t>подразделом 5</w:t>
      </w:r>
      <w:r>
        <w:rPr>
          <w:rFonts w:ascii="Times New Roman"/>
          <w:b w:val="false"/>
          <w:i w:val="false"/>
          <w:color w:val="000000"/>
          <w:sz w:val="28"/>
        </w:rPr>
        <w:t xml:space="preserve"> в следующей пропорциональности:</w:t>
      </w:r>
    </w:p>
    <w:p>
      <w:pPr>
        <w:spacing w:after="0"/>
        <w:ind w:left="0"/>
        <w:jc w:val="both"/>
      </w:pPr>
      <w:r>
        <w:rPr>
          <w:rFonts w:ascii="Times New Roman"/>
          <w:b w:val="false"/>
          <w:i w:val="false"/>
          <w:color w:val="000000"/>
          <w:sz w:val="28"/>
        </w:rPr>
        <w:t>
      50 % для участников подгруппы 1;</w:t>
      </w:r>
    </w:p>
    <w:p>
      <w:pPr>
        <w:spacing w:after="0"/>
        <w:ind w:left="0"/>
        <w:jc w:val="both"/>
      </w:pPr>
      <w:r>
        <w:rPr>
          <w:rFonts w:ascii="Times New Roman"/>
          <w:b w:val="false"/>
          <w:i w:val="false"/>
          <w:color w:val="000000"/>
          <w:sz w:val="28"/>
        </w:rPr>
        <w:t>
      50 % для участников подгруппы 2.</w:t>
      </w:r>
    </w:p>
    <w:p>
      <w:pPr>
        <w:spacing w:after="0"/>
        <w:ind w:left="0"/>
        <w:jc w:val="both"/>
      </w:pPr>
      <w:r>
        <w:rPr>
          <w:rFonts w:ascii="Times New Roman"/>
          <w:b w:val="false"/>
          <w:i w:val="false"/>
          <w:color w:val="000000"/>
          <w:sz w:val="28"/>
        </w:rPr>
        <w:t>
      При этом жилье между очередниками МИО различных категорий распределяется в равной пропорциональности согласно раздельных списков учета.</w:t>
      </w:r>
    </w:p>
    <w:p>
      <w:pPr>
        <w:spacing w:after="0"/>
        <w:ind w:left="0"/>
        <w:jc w:val="both"/>
      </w:pPr>
      <w:r>
        <w:rPr>
          <w:rFonts w:ascii="Times New Roman"/>
          <w:b w:val="false"/>
          <w:i w:val="false"/>
          <w:color w:val="000000"/>
          <w:sz w:val="28"/>
        </w:rPr>
        <w:t>
      В случае недобора претендентов Программы на получение жилья в одной из подгрупп, жилье распределяется среди претендентов другой подгруппы в порядке, установленном настоящим приложением, либо допускается повторный прием заявлений.</w:t>
      </w:r>
    </w:p>
    <w:p>
      <w:pPr>
        <w:spacing w:after="0"/>
        <w:ind w:left="0"/>
        <w:jc w:val="both"/>
      </w:pPr>
      <w:r>
        <w:rPr>
          <w:rFonts w:ascii="Times New Roman"/>
          <w:b w:val="false"/>
          <w:i w:val="false"/>
          <w:color w:val="000000"/>
          <w:sz w:val="28"/>
        </w:rPr>
        <w:t>
      Объемы арендного жилья для работников государственных и негосударственных юридических лиц (группы IV) определяются в соответствии с заключаемыми АО "ИО "КИК" соглашениями/меморандумами по согласованию с АО "НУХ "Байтерек";</w:t>
      </w:r>
    </w:p>
    <w:p>
      <w:pPr>
        <w:spacing w:after="0"/>
        <w:ind w:left="0"/>
        <w:jc w:val="both"/>
      </w:pPr>
      <w:r>
        <w:rPr>
          <w:rFonts w:ascii="Times New Roman"/>
          <w:b w:val="false"/>
          <w:i w:val="false"/>
          <w:color w:val="000000"/>
          <w:sz w:val="28"/>
        </w:rPr>
        <w:t xml:space="preserve">
      5) по направлению "Жилье АО "Фонд недвижимости "Самрук-Қазына" 100 % от определенного Фондом недвижимости к реализации жилья через МИО для пула группы I, формируемого МИО в соответствии с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случае отсутствия претендентов на получение жилья из группы I, Фонд недвижимости проводит мероприятия, связанные с отбором претендентов и распределением жилья в соответствии с </w:t>
      </w:r>
      <w:r>
        <w:rPr>
          <w:rFonts w:ascii="Times New Roman"/>
          <w:b w:val="false"/>
          <w:i w:val="false"/>
          <w:color w:val="000000"/>
          <w:sz w:val="28"/>
        </w:rPr>
        <w:t>подразделом 8</w:t>
      </w:r>
      <w:r>
        <w:rPr>
          <w:rFonts w:ascii="Times New Roman"/>
          <w:b w:val="false"/>
          <w:i w:val="false"/>
          <w:color w:val="000000"/>
          <w:sz w:val="28"/>
        </w:rPr>
        <w:t>.</w:t>
      </w:r>
    </w:p>
    <w:p>
      <w:pPr>
        <w:spacing w:after="0"/>
        <w:ind w:left="0"/>
        <w:jc w:val="both"/>
      </w:pPr>
      <w:r>
        <w:rPr>
          <w:rFonts w:ascii="Times New Roman"/>
          <w:b w:val="false"/>
          <w:i w:val="false"/>
          <w:color w:val="000000"/>
          <w:sz w:val="28"/>
        </w:rPr>
        <w:t>
      2. Операторы реализации жилья обеспечивают прозрачность процедур распределения жилья, рассмотрения заявлений участников с момента их подачи до принятия решения о распределении квартир, публикуя на собственном интернет-ресурсе:</w:t>
      </w:r>
    </w:p>
    <w:p>
      <w:pPr>
        <w:spacing w:after="0"/>
        <w:ind w:left="0"/>
        <w:jc w:val="both"/>
      </w:pPr>
      <w:r>
        <w:rPr>
          <w:rFonts w:ascii="Times New Roman"/>
          <w:b w:val="false"/>
          <w:i w:val="false"/>
          <w:color w:val="000000"/>
          <w:sz w:val="28"/>
        </w:rPr>
        <w:t>
      1) предварительные списки претендентов и заявителей, по которым имеются причины по отказу;</w:t>
      </w:r>
    </w:p>
    <w:p>
      <w:pPr>
        <w:spacing w:after="0"/>
        <w:ind w:left="0"/>
        <w:jc w:val="both"/>
      </w:pPr>
      <w:r>
        <w:rPr>
          <w:rFonts w:ascii="Times New Roman"/>
          <w:b w:val="false"/>
          <w:i w:val="false"/>
          <w:color w:val="000000"/>
          <w:sz w:val="28"/>
        </w:rPr>
        <w:t>
      2) окончательные списки участников Программы (с указанием баллов, категории участника Программы и иных требований, предусмотренных Программой).</w:t>
      </w:r>
    </w:p>
    <w:p>
      <w:pPr>
        <w:spacing w:after="0"/>
        <w:ind w:left="0"/>
        <w:jc w:val="left"/>
      </w:pPr>
      <w:r>
        <w:rPr>
          <w:rFonts w:ascii="Times New Roman"/>
          <w:b/>
          <w:i w:val="false"/>
          <w:color w:val="000000"/>
        </w:rPr>
        <w:t xml:space="preserve"> 5. Процедуры реализации жилья для участников</w:t>
      </w:r>
      <w:r>
        <w:br/>
      </w:r>
      <w:r>
        <w:rPr>
          <w:rFonts w:ascii="Times New Roman"/>
          <w:b/>
          <w:i w:val="false"/>
          <w:color w:val="000000"/>
        </w:rPr>
        <w:t xml:space="preserve">Программы группы I и III </w:t>
      </w:r>
    </w:p>
    <w:p>
      <w:pPr>
        <w:spacing w:after="0"/>
        <w:ind w:left="0"/>
        <w:jc w:val="both"/>
      </w:pPr>
      <w:r>
        <w:rPr>
          <w:rFonts w:ascii="Times New Roman"/>
          <w:b w:val="false"/>
          <w:i w:val="false"/>
          <w:color w:val="000000"/>
          <w:sz w:val="28"/>
        </w:rPr>
        <w:t xml:space="preserve">
      1. Функции МИО: </w:t>
      </w:r>
    </w:p>
    <w:p>
      <w:pPr>
        <w:spacing w:after="0"/>
        <w:ind w:left="0"/>
        <w:jc w:val="both"/>
      </w:pPr>
      <w:r>
        <w:rPr>
          <w:rFonts w:ascii="Times New Roman"/>
          <w:b w:val="false"/>
          <w:i w:val="false"/>
          <w:color w:val="000000"/>
          <w:sz w:val="28"/>
        </w:rPr>
        <w:t>
      1) определение порядка функционирования жилищной комиссии с участием представителей местных исполнительных и представительных органов, общественных организаций, средств массовой информации;</w:t>
      </w:r>
    </w:p>
    <w:p>
      <w:pPr>
        <w:spacing w:after="0"/>
        <w:ind w:left="0"/>
        <w:jc w:val="both"/>
      </w:pPr>
      <w:r>
        <w:rPr>
          <w:rFonts w:ascii="Times New Roman"/>
          <w:b w:val="false"/>
          <w:i w:val="false"/>
          <w:color w:val="000000"/>
          <w:sz w:val="28"/>
        </w:rPr>
        <w:t>
      2) определение порядка взаимодействия с ЖССБК, АО "ИО "КИК", АО "Фонд недвижимости "Самрук-Қазына";</w:t>
      </w:r>
    </w:p>
    <w:p>
      <w:pPr>
        <w:spacing w:after="0"/>
        <w:ind w:left="0"/>
        <w:jc w:val="both"/>
      </w:pPr>
      <w:r>
        <w:rPr>
          <w:rFonts w:ascii="Times New Roman"/>
          <w:b w:val="false"/>
          <w:i w:val="false"/>
          <w:color w:val="000000"/>
          <w:sz w:val="28"/>
        </w:rPr>
        <w:t>
      3) обеспечение широкого освещения основных направлений Программы в средствах массовой информации и на собственных интернет-ресурсах, а также проведение разъяснительной работы среди населения;</w:t>
      </w:r>
    </w:p>
    <w:p>
      <w:pPr>
        <w:spacing w:after="0"/>
        <w:ind w:left="0"/>
        <w:jc w:val="both"/>
      </w:pPr>
      <w:r>
        <w:rPr>
          <w:rFonts w:ascii="Times New Roman"/>
          <w:b w:val="false"/>
          <w:i w:val="false"/>
          <w:color w:val="000000"/>
          <w:sz w:val="28"/>
        </w:rPr>
        <w:t>
      4) обеспечение публикаций в средствах массовой информации и посредством интернет-ресурсов объявлений об условиях реализации жилья с указанием направлений Программы, категорий граждан, характеристиках жилья, местах приема документов, дате начала и завершения приема документов на основании информации, полученной от АО "ИО "КИК", Фонда недвижимости и заключаемых соглашений с ЖССБК;</w:t>
      </w:r>
    </w:p>
    <w:p>
      <w:pPr>
        <w:spacing w:after="0"/>
        <w:ind w:left="0"/>
        <w:jc w:val="both"/>
      </w:pPr>
      <w:r>
        <w:rPr>
          <w:rFonts w:ascii="Times New Roman"/>
          <w:b w:val="false"/>
          <w:i w:val="false"/>
          <w:color w:val="000000"/>
          <w:sz w:val="28"/>
        </w:rPr>
        <w:t xml:space="preserve">
      5) обеспечение формирования пулов по участникам групп I и III в сроки, определяемые в соглашениях с ЖССБК, АО "ИО "КИК" и АО "Фонд недвижимости "Самрук-Қазына", но не позднее 6 (шесть) месяцев с даты получения информации об условиях реализации жилья с указанием направления и публикации списков участников Программы в соответствии с пунктом 2 </w:t>
      </w:r>
      <w:r>
        <w:rPr>
          <w:rFonts w:ascii="Times New Roman"/>
          <w:b w:val="false"/>
          <w:i w:val="false"/>
          <w:color w:val="000000"/>
          <w:sz w:val="28"/>
        </w:rPr>
        <w:t>подраздела 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проведение мониторинга участия претендентов из группы I и III по всем направлениям Программы и регионов в целях соблюдения выполнения условий, предусмотренных пунктом 2 </w:t>
      </w:r>
      <w:r>
        <w:rPr>
          <w:rFonts w:ascii="Times New Roman"/>
          <w:b w:val="false"/>
          <w:i w:val="false"/>
          <w:color w:val="000000"/>
          <w:sz w:val="28"/>
        </w:rPr>
        <w:t>подраздела 3</w:t>
      </w:r>
      <w:r>
        <w:rPr>
          <w:rFonts w:ascii="Times New Roman"/>
          <w:b w:val="false"/>
          <w:i w:val="false"/>
          <w:color w:val="000000"/>
          <w:sz w:val="28"/>
        </w:rPr>
        <w:t>;</w:t>
      </w:r>
    </w:p>
    <w:p>
      <w:pPr>
        <w:spacing w:after="0"/>
        <w:ind w:left="0"/>
        <w:jc w:val="both"/>
      </w:pPr>
      <w:r>
        <w:rPr>
          <w:rFonts w:ascii="Times New Roman"/>
          <w:b w:val="false"/>
          <w:i w:val="false"/>
          <w:color w:val="000000"/>
          <w:sz w:val="28"/>
        </w:rPr>
        <w:t>
      7) исключение из учета нуждающихся в жилище участников Программы, получивших жилье в рамках направлений Программы путем выкупа или в аренду с выкупом.</w:t>
      </w:r>
    </w:p>
    <w:p>
      <w:pPr>
        <w:spacing w:after="0"/>
        <w:ind w:left="0"/>
        <w:jc w:val="both"/>
      </w:pPr>
      <w:r>
        <w:rPr>
          <w:rFonts w:ascii="Times New Roman"/>
          <w:b w:val="false"/>
          <w:i w:val="false"/>
          <w:color w:val="000000"/>
          <w:sz w:val="28"/>
        </w:rPr>
        <w:t>
      2. Процедуры реализации жилья для группы I.</w:t>
      </w:r>
    </w:p>
    <w:p>
      <w:pPr>
        <w:spacing w:after="0"/>
        <w:ind w:left="0"/>
        <w:jc w:val="both"/>
      </w:pPr>
      <w:r>
        <w:rPr>
          <w:rFonts w:ascii="Times New Roman"/>
          <w:b w:val="false"/>
          <w:i w:val="false"/>
          <w:color w:val="000000"/>
          <w:sz w:val="28"/>
        </w:rPr>
        <w:t xml:space="preserve">
      Реализация жилья среди участников группы I по направлениям "Жилье для всех категорий населения" по линии ЖССБК, "Жилье АО "ИО "КИК", "Жилье АО "Фонд недвижимости "Самрук-Қазына" осуществляется путем формирования пулов. </w:t>
      </w:r>
    </w:p>
    <w:p>
      <w:pPr>
        <w:spacing w:after="0"/>
        <w:ind w:left="0"/>
        <w:jc w:val="both"/>
      </w:pPr>
      <w:r>
        <w:rPr>
          <w:rFonts w:ascii="Times New Roman"/>
          <w:b w:val="false"/>
          <w:i w:val="false"/>
          <w:color w:val="000000"/>
          <w:sz w:val="28"/>
        </w:rPr>
        <w:t>
      Отбор участников Программы производится соответственно количеству реализуемых квартир и типов квартир в следующем порядке:</w:t>
      </w:r>
    </w:p>
    <w:p>
      <w:pPr>
        <w:spacing w:after="0"/>
        <w:ind w:left="0"/>
        <w:jc w:val="both"/>
      </w:pPr>
      <w:r>
        <w:rPr>
          <w:rFonts w:ascii="Times New Roman"/>
          <w:b w:val="false"/>
          <w:i w:val="false"/>
          <w:color w:val="000000"/>
          <w:sz w:val="28"/>
        </w:rPr>
        <w:t>
      1) прием заявлений и документов от претендентов, проверка заявителей на соответствие требованиям Программы и формирование согласно спискам учета нуждающихся в жилище и даты постановки на данный учет предварительного списка претендентов и списка заявителей, по которым имеются причины по отказу;</w:t>
      </w:r>
    </w:p>
    <w:p>
      <w:pPr>
        <w:spacing w:after="0"/>
        <w:ind w:left="0"/>
        <w:jc w:val="both"/>
      </w:pPr>
      <w:r>
        <w:rPr>
          <w:rFonts w:ascii="Times New Roman"/>
          <w:b w:val="false"/>
          <w:i w:val="false"/>
          <w:color w:val="000000"/>
          <w:sz w:val="28"/>
        </w:rPr>
        <w:t>
      2) размещение списков и объявления с указанием явки заявителей, включенных в последующий предварительный список претендентов для получения направления на оценку платежеспособности.</w:t>
      </w:r>
    </w:p>
    <w:p>
      <w:pPr>
        <w:spacing w:after="0"/>
        <w:ind w:left="0"/>
        <w:jc w:val="both"/>
      </w:pPr>
      <w:r>
        <w:rPr>
          <w:rFonts w:ascii="Times New Roman"/>
          <w:b w:val="false"/>
          <w:i w:val="false"/>
          <w:color w:val="000000"/>
          <w:sz w:val="28"/>
        </w:rPr>
        <w:t>
      В случае неподтверждения заявителями соответствующих доходов, производится отбор из последующих заявителей предварительных списков соответствующего направления Программы;</w:t>
      </w:r>
    </w:p>
    <w:p>
      <w:pPr>
        <w:spacing w:after="0"/>
        <w:ind w:left="0"/>
        <w:jc w:val="both"/>
      </w:pPr>
      <w:r>
        <w:rPr>
          <w:rFonts w:ascii="Times New Roman"/>
          <w:b w:val="false"/>
          <w:i w:val="false"/>
          <w:color w:val="000000"/>
          <w:sz w:val="28"/>
        </w:rPr>
        <w:t>
      3) утверждение решением жилищной комиссии окончательных списков участников Программы с указанием индивидуального идентификационного номера заявителя и супруги (-га), а также заявивших о своей готовности приобрести жилье через прямую продажу по направлению "Жилье АО "Фонд недвижимости "Самрук-Казына";</w:t>
      </w:r>
    </w:p>
    <w:p>
      <w:pPr>
        <w:spacing w:after="0"/>
        <w:ind w:left="0"/>
        <w:jc w:val="both"/>
      </w:pPr>
      <w:r>
        <w:rPr>
          <w:rFonts w:ascii="Times New Roman"/>
          <w:b w:val="false"/>
          <w:i w:val="false"/>
          <w:color w:val="000000"/>
          <w:sz w:val="28"/>
        </w:rPr>
        <w:t>
      4) уведомление отобранных участников Программы и направление утвержденных списков:</w:t>
      </w:r>
    </w:p>
    <w:p>
      <w:pPr>
        <w:spacing w:after="0"/>
        <w:ind w:left="0"/>
        <w:jc w:val="both"/>
      </w:pPr>
      <w:r>
        <w:rPr>
          <w:rFonts w:ascii="Times New Roman"/>
          <w:b w:val="false"/>
          <w:i w:val="false"/>
          <w:color w:val="000000"/>
          <w:sz w:val="28"/>
        </w:rPr>
        <w:t xml:space="preserve">
      в ЖССБК для последующего заключения с участниками Программы дополнительных соглашений к договорам о жилстройсбережениях и дальнейших мероприятий согласно </w:t>
      </w:r>
      <w:r>
        <w:rPr>
          <w:rFonts w:ascii="Times New Roman"/>
          <w:b w:val="false"/>
          <w:i w:val="false"/>
          <w:color w:val="000000"/>
          <w:sz w:val="28"/>
        </w:rPr>
        <w:t>подразделу 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АО "ИО "КИК" для распределения жилья среди участников Программы согласно </w:t>
      </w:r>
      <w:r>
        <w:rPr>
          <w:rFonts w:ascii="Times New Roman"/>
          <w:b w:val="false"/>
          <w:i w:val="false"/>
          <w:color w:val="000000"/>
          <w:sz w:val="28"/>
        </w:rPr>
        <w:t>подразделу 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Фонд недвижимости для распределения жилья среди участников Программы согласно </w:t>
      </w:r>
      <w:r>
        <w:rPr>
          <w:rFonts w:ascii="Times New Roman"/>
          <w:b w:val="false"/>
          <w:i w:val="false"/>
          <w:color w:val="000000"/>
          <w:sz w:val="28"/>
        </w:rPr>
        <w:t>подразделу 8</w:t>
      </w:r>
      <w:r>
        <w:rPr>
          <w:rFonts w:ascii="Times New Roman"/>
          <w:b w:val="false"/>
          <w:i w:val="false"/>
          <w:color w:val="000000"/>
          <w:sz w:val="28"/>
        </w:rPr>
        <w:t>.</w:t>
      </w:r>
    </w:p>
    <w:p>
      <w:pPr>
        <w:spacing w:after="0"/>
        <w:ind w:left="0"/>
        <w:jc w:val="both"/>
      </w:pPr>
      <w:r>
        <w:rPr>
          <w:rFonts w:ascii="Times New Roman"/>
          <w:b w:val="false"/>
          <w:i w:val="false"/>
          <w:color w:val="000000"/>
          <w:sz w:val="28"/>
        </w:rPr>
        <w:t>
      3. Процедуры реализации жилья для группы III.</w:t>
      </w:r>
    </w:p>
    <w:p>
      <w:pPr>
        <w:spacing w:after="0"/>
        <w:ind w:left="0"/>
        <w:jc w:val="both"/>
      </w:pPr>
      <w:r>
        <w:rPr>
          <w:rFonts w:ascii="Times New Roman"/>
          <w:b w:val="false"/>
          <w:i w:val="false"/>
          <w:color w:val="000000"/>
          <w:sz w:val="28"/>
        </w:rPr>
        <w:t>
      Отбор участников Программы производится соответственно количеству реализуемых квартир и типов квартир в следующем порядке:</w:t>
      </w:r>
    </w:p>
    <w:p>
      <w:pPr>
        <w:spacing w:after="0"/>
        <w:ind w:left="0"/>
        <w:jc w:val="both"/>
      </w:pPr>
      <w:r>
        <w:rPr>
          <w:rFonts w:ascii="Times New Roman"/>
          <w:b w:val="false"/>
          <w:i w:val="false"/>
          <w:color w:val="000000"/>
          <w:sz w:val="28"/>
        </w:rPr>
        <w:t>
      1) прием заявлений и документов от претендентов, проверка заявителей на соответствие требованиям Программыи формирование предварительных списков претендентов с учетом балльной системы (по наибольшему количеству баллов):</w:t>
      </w:r>
    </w:p>
    <w:p>
      <w:pPr>
        <w:spacing w:after="0"/>
        <w:ind w:left="0"/>
        <w:jc w:val="both"/>
      </w:pPr>
      <w:r>
        <w:rPr>
          <w:rFonts w:ascii="Times New Roman"/>
          <w:b w:val="false"/>
          <w:i w:val="false"/>
          <w:color w:val="000000"/>
          <w:sz w:val="28"/>
        </w:rPr>
        <w:t>
      за первого ребенка – 20 баллов, за каждого второго и последующего ребенка – 30 баллов;</w:t>
      </w:r>
    </w:p>
    <w:p>
      <w:pPr>
        <w:spacing w:after="0"/>
        <w:ind w:left="0"/>
        <w:jc w:val="both"/>
      </w:pPr>
      <w:r>
        <w:rPr>
          <w:rFonts w:ascii="Times New Roman"/>
          <w:b w:val="false"/>
          <w:i w:val="false"/>
          <w:color w:val="000000"/>
          <w:sz w:val="28"/>
        </w:rPr>
        <w:t>
      за каждого из членов семьи, являющегося инвалидом или страдающего тяжелыми формами некоторых хронических заболеваний, согласно перечню утвержденному Правительством Республики Казахстан, – 10 баллов;</w:t>
      </w:r>
    </w:p>
    <w:p>
      <w:pPr>
        <w:spacing w:after="0"/>
        <w:ind w:left="0"/>
        <w:jc w:val="both"/>
      </w:pPr>
      <w:r>
        <w:rPr>
          <w:rFonts w:ascii="Times New Roman"/>
          <w:b w:val="false"/>
          <w:i w:val="false"/>
          <w:color w:val="000000"/>
          <w:sz w:val="28"/>
        </w:rPr>
        <w:t>
      претендентам, не включенным в список на построенный дом при предыдущих отборах в рамках государственных и отраслевых программ жилищного строительства, – дополнительно 5 баллов;</w:t>
      </w:r>
    </w:p>
    <w:p>
      <w:pPr>
        <w:spacing w:after="0"/>
        <w:ind w:left="0"/>
        <w:jc w:val="both"/>
      </w:pPr>
      <w:r>
        <w:rPr>
          <w:rFonts w:ascii="Times New Roman"/>
          <w:b w:val="false"/>
          <w:i w:val="false"/>
          <w:color w:val="000000"/>
          <w:sz w:val="28"/>
        </w:rPr>
        <w:t>
      за каждого из супругов, относящихся к категории детей-сирот и детей, оставшихся без попечения родителей, не достигших двадцати девяти лет, потерявших родителей до совершеннолетия, – 10 баллов.</w:t>
      </w:r>
    </w:p>
    <w:p>
      <w:pPr>
        <w:spacing w:after="0"/>
        <w:ind w:left="0"/>
        <w:jc w:val="both"/>
      </w:pPr>
      <w:r>
        <w:rPr>
          <w:rFonts w:ascii="Times New Roman"/>
          <w:b w:val="false"/>
          <w:i w:val="false"/>
          <w:color w:val="000000"/>
          <w:sz w:val="28"/>
        </w:rPr>
        <w:t>
      Очередность включения в пулы определяется количеством набранных баллов. При равенстве баллов у заявителей, приоритетом обладают семьи, в которых один из супругов относится к государственным служащим либо работникам бюджетных организаций и государственных предприятий в сфере образования, здравоохранения, культуры, спорта и социальной защиты населения. Решение о включении в список принимается жилищной комиссией МИО большинством голосов;</w:t>
      </w:r>
    </w:p>
    <w:p>
      <w:pPr>
        <w:spacing w:after="0"/>
        <w:ind w:left="0"/>
        <w:jc w:val="both"/>
      </w:pPr>
      <w:r>
        <w:rPr>
          <w:rFonts w:ascii="Times New Roman"/>
          <w:b w:val="false"/>
          <w:i w:val="false"/>
          <w:color w:val="000000"/>
          <w:sz w:val="28"/>
        </w:rPr>
        <w:t>
      2) размещение списков и объявления с указанием явки заявителей, включенных в предварительный список претендентов для получения направления на оценку платежеспособности.</w:t>
      </w:r>
    </w:p>
    <w:p>
      <w:pPr>
        <w:spacing w:after="0"/>
        <w:ind w:left="0"/>
        <w:jc w:val="both"/>
      </w:pPr>
      <w:r>
        <w:rPr>
          <w:rFonts w:ascii="Times New Roman"/>
          <w:b w:val="false"/>
          <w:i w:val="false"/>
          <w:color w:val="000000"/>
          <w:sz w:val="28"/>
        </w:rPr>
        <w:t>
      В случае неподтверждения заявителями соответствующих доходов, производится отбор из последующих заявителей предварительных списков данного направления Программы;</w:t>
      </w:r>
    </w:p>
    <w:p>
      <w:pPr>
        <w:spacing w:after="0"/>
        <w:ind w:left="0"/>
        <w:jc w:val="both"/>
      </w:pPr>
      <w:r>
        <w:rPr>
          <w:rFonts w:ascii="Times New Roman"/>
          <w:b w:val="false"/>
          <w:i w:val="false"/>
          <w:color w:val="000000"/>
          <w:sz w:val="28"/>
        </w:rPr>
        <w:t>
      3) утверждение решением жилищной комиссии окончательных списков участников Программы с указанием индивидуального идентификационного номера заявителя и супруги (-га);</w:t>
      </w:r>
    </w:p>
    <w:p>
      <w:pPr>
        <w:spacing w:after="0"/>
        <w:ind w:left="0"/>
        <w:jc w:val="both"/>
      </w:pPr>
      <w:r>
        <w:rPr>
          <w:rFonts w:ascii="Times New Roman"/>
          <w:b w:val="false"/>
          <w:i w:val="false"/>
          <w:color w:val="000000"/>
          <w:sz w:val="28"/>
        </w:rPr>
        <w:t xml:space="preserve">
      4) уведомление отобранных участников Программы, направление утвержденных списков в ЖССБК и заключение с участниками Программы договоров аренды согласно пункту 3 </w:t>
      </w:r>
      <w:r>
        <w:rPr>
          <w:rFonts w:ascii="Times New Roman"/>
          <w:b w:val="false"/>
          <w:i w:val="false"/>
          <w:color w:val="000000"/>
          <w:sz w:val="28"/>
        </w:rPr>
        <w:t>подраздела 6</w:t>
      </w:r>
      <w:r>
        <w:rPr>
          <w:rFonts w:ascii="Times New Roman"/>
          <w:b w:val="false"/>
          <w:i w:val="false"/>
          <w:color w:val="000000"/>
          <w:sz w:val="28"/>
        </w:rPr>
        <w:t>.</w:t>
      </w:r>
    </w:p>
    <w:p>
      <w:pPr>
        <w:spacing w:after="0"/>
        <w:ind w:left="0"/>
        <w:jc w:val="left"/>
      </w:pPr>
      <w:r>
        <w:rPr>
          <w:rFonts w:ascii="Times New Roman"/>
          <w:b/>
          <w:i w:val="false"/>
          <w:color w:val="000000"/>
        </w:rPr>
        <w:t xml:space="preserve"> 6. Процедуры реализации жилья по направлению "Жилье по линии</w:t>
      </w:r>
      <w:r>
        <w:br/>
      </w:r>
      <w:r>
        <w:rPr>
          <w:rFonts w:ascii="Times New Roman"/>
          <w:b/>
          <w:i w:val="false"/>
          <w:color w:val="000000"/>
        </w:rPr>
        <w:t>ЖССБК" (для всех категорий населения и молодых семей)</w:t>
      </w:r>
    </w:p>
    <w:p>
      <w:pPr>
        <w:spacing w:after="0"/>
        <w:ind w:left="0"/>
        <w:jc w:val="both"/>
      </w:pPr>
      <w:r>
        <w:rPr>
          <w:rFonts w:ascii="Times New Roman"/>
          <w:b w:val="false"/>
          <w:i w:val="false"/>
          <w:color w:val="000000"/>
          <w:sz w:val="28"/>
        </w:rPr>
        <w:t>
      1. Порядок реализации жилья по линии ЖССБК.</w:t>
      </w:r>
    </w:p>
    <w:p>
      <w:pPr>
        <w:spacing w:after="0"/>
        <w:ind w:left="0"/>
        <w:jc w:val="both"/>
      </w:pPr>
      <w:r>
        <w:rPr>
          <w:rFonts w:ascii="Times New Roman"/>
          <w:b w:val="false"/>
          <w:i w:val="false"/>
          <w:color w:val="000000"/>
          <w:sz w:val="28"/>
        </w:rPr>
        <w:t>
      Реализация жилья осуществляется в следующем порядке:</w:t>
      </w:r>
    </w:p>
    <w:p>
      <w:pPr>
        <w:spacing w:after="0"/>
        <w:ind w:left="0"/>
        <w:jc w:val="both"/>
      </w:pPr>
      <w:r>
        <w:rPr>
          <w:rFonts w:ascii="Times New Roman"/>
          <w:b w:val="false"/>
          <w:i w:val="false"/>
          <w:color w:val="000000"/>
          <w:sz w:val="28"/>
        </w:rPr>
        <w:t xml:space="preserve">
      1) для участников направления "Жилье для молодых семей" в соответствии с пунктом 3 </w:t>
      </w:r>
      <w:r>
        <w:rPr>
          <w:rFonts w:ascii="Times New Roman"/>
          <w:b w:val="false"/>
          <w:i w:val="false"/>
          <w:color w:val="000000"/>
          <w:sz w:val="28"/>
        </w:rPr>
        <w:t>подраздела 5</w:t>
      </w:r>
      <w:r>
        <w:rPr>
          <w:rFonts w:ascii="Times New Roman"/>
          <w:b w:val="false"/>
          <w:i w:val="false"/>
          <w:color w:val="000000"/>
          <w:sz w:val="28"/>
        </w:rPr>
        <w:t>;</w:t>
      </w:r>
    </w:p>
    <w:p>
      <w:pPr>
        <w:spacing w:after="0"/>
        <w:ind w:left="0"/>
        <w:jc w:val="both"/>
      </w:pPr>
      <w:r>
        <w:rPr>
          <w:rFonts w:ascii="Times New Roman"/>
          <w:b w:val="false"/>
          <w:i w:val="false"/>
          <w:color w:val="000000"/>
          <w:sz w:val="28"/>
        </w:rPr>
        <w:t>
      2) для участников направления "Жилье для всех категорий населения":</w:t>
      </w:r>
    </w:p>
    <w:p>
      <w:pPr>
        <w:spacing w:after="0"/>
        <w:ind w:left="0"/>
        <w:jc w:val="both"/>
      </w:pPr>
      <w:r>
        <w:rPr>
          <w:rFonts w:ascii="Times New Roman"/>
          <w:b w:val="false"/>
          <w:i w:val="false"/>
          <w:color w:val="000000"/>
          <w:sz w:val="28"/>
        </w:rPr>
        <w:t xml:space="preserve">
      по группе I в соответствии с пунктом 2 </w:t>
      </w:r>
      <w:r>
        <w:rPr>
          <w:rFonts w:ascii="Times New Roman"/>
          <w:b w:val="false"/>
          <w:i w:val="false"/>
          <w:color w:val="000000"/>
          <w:sz w:val="28"/>
        </w:rPr>
        <w:t>подраздела 5</w:t>
      </w:r>
      <w:r>
        <w:rPr>
          <w:rFonts w:ascii="Times New Roman"/>
          <w:b w:val="false"/>
          <w:i w:val="false"/>
          <w:color w:val="000000"/>
          <w:sz w:val="28"/>
        </w:rPr>
        <w:t>;</w:t>
      </w:r>
    </w:p>
    <w:p>
      <w:pPr>
        <w:spacing w:after="0"/>
        <w:ind w:left="0"/>
        <w:jc w:val="both"/>
      </w:pPr>
      <w:r>
        <w:rPr>
          <w:rFonts w:ascii="Times New Roman"/>
          <w:b w:val="false"/>
          <w:i w:val="false"/>
          <w:color w:val="000000"/>
          <w:sz w:val="28"/>
        </w:rPr>
        <w:t>
      по группе II в соответствии с тебованиями настоящей Программы и внутренних документов ЖССБК.</w:t>
      </w:r>
    </w:p>
    <w:p>
      <w:pPr>
        <w:spacing w:after="0"/>
        <w:ind w:left="0"/>
        <w:jc w:val="both"/>
      </w:pPr>
      <w:r>
        <w:rPr>
          <w:rFonts w:ascii="Times New Roman"/>
          <w:b w:val="false"/>
          <w:i w:val="false"/>
          <w:color w:val="000000"/>
          <w:sz w:val="28"/>
        </w:rPr>
        <w:t>
      ЖССБК в срок не ранее 6 (шесть) месяцев до даты завершения строительства, указанной в соглашении с МИО, публикует в средствах массовой информации и посредством интернет-ресурсов объявление об условиях и характеристиках реализуемого жилья для группы II, местах приема документов, дате начала и завершения приема документов.</w:t>
      </w:r>
    </w:p>
    <w:p>
      <w:pPr>
        <w:spacing w:after="0"/>
        <w:ind w:left="0"/>
        <w:jc w:val="both"/>
      </w:pPr>
      <w:r>
        <w:rPr>
          <w:rFonts w:ascii="Times New Roman"/>
          <w:b w:val="false"/>
          <w:i w:val="false"/>
          <w:color w:val="000000"/>
          <w:sz w:val="28"/>
        </w:rPr>
        <w:t>
      В установленный срок ЖССБК осуществляет мероприятия по формированию пулов покупателей и арендаторов жилья по группе II по следующим требованиям:</w:t>
      </w:r>
    </w:p>
    <w:p>
      <w:pPr>
        <w:spacing w:after="0"/>
        <w:ind w:left="0"/>
        <w:jc w:val="both"/>
      </w:pPr>
      <w:r>
        <w:rPr>
          <w:rFonts w:ascii="Times New Roman"/>
          <w:b w:val="false"/>
          <w:i w:val="false"/>
          <w:color w:val="000000"/>
          <w:sz w:val="28"/>
        </w:rPr>
        <w:t>
      1) пулы формируются из вкладчиков ЖССБК на основании их заявлений на участие в Программе;</w:t>
      </w:r>
    </w:p>
    <w:p>
      <w:pPr>
        <w:spacing w:after="0"/>
        <w:ind w:left="0"/>
        <w:jc w:val="both"/>
      </w:pPr>
      <w:r>
        <w:rPr>
          <w:rFonts w:ascii="Times New Roman"/>
          <w:b w:val="false"/>
          <w:i w:val="false"/>
          <w:color w:val="000000"/>
          <w:sz w:val="28"/>
        </w:rPr>
        <w:t>
      2) при формировании пулов приоритетное право включения в пулы имеют вкладчики ЖССБК, набравшие большее количество баллов, исходя из определяемого ЖССБК оценочного показателя и/или иных качественных характеристик договора о жилстройсбережениях вкладчика, участвующего в пуле;</w:t>
      </w:r>
    </w:p>
    <w:p>
      <w:pPr>
        <w:spacing w:after="0"/>
        <w:ind w:left="0"/>
        <w:jc w:val="both"/>
      </w:pPr>
      <w:r>
        <w:rPr>
          <w:rFonts w:ascii="Times New Roman"/>
          <w:b w:val="false"/>
          <w:i w:val="false"/>
          <w:color w:val="000000"/>
          <w:sz w:val="28"/>
        </w:rPr>
        <w:t xml:space="preserve">
      3) осуществляется проверка соответствия заявителей требованиям и условиям Программы, установленным </w:t>
      </w:r>
      <w:r>
        <w:rPr>
          <w:rFonts w:ascii="Times New Roman"/>
          <w:b w:val="false"/>
          <w:i w:val="false"/>
          <w:color w:val="000000"/>
          <w:sz w:val="28"/>
        </w:rPr>
        <w:t>подразделами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пунктами 1, 2 </w:t>
      </w:r>
      <w:r>
        <w:rPr>
          <w:rFonts w:ascii="Times New Roman"/>
          <w:b w:val="false"/>
          <w:i w:val="false"/>
          <w:color w:val="000000"/>
          <w:sz w:val="28"/>
        </w:rPr>
        <w:t>подраздела 3</w:t>
      </w:r>
      <w:r>
        <w:rPr>
          <w:rFonts w:ascii="Times New Roman"/>
          <w:b w:val="false"/>
          <w:i w:val="false"/>
          <w:color w:val="000000"/>
          <w:sz w:val="28"/>
        </w:rPr>
        <w:t xml:space="preserve"> настоящего приложения;</w:t>
      </w:r>
    </w:p>
    <w:p>
      <w:pPr>
        <w:spacing w:after="0"/>
        <w:ind w:left="0"/>
        <w:jc w:val="both"/>
      </w:pPr>
      <w:r>
        <w:rPr>
          <w:rFonts w:ascii="Times New Roman"/>
          <w:b w:val="false"/>
          <w:i w:val="false"/>
          <w:color w:val="000000"/>
          <w:sz w:val="28"/>
        </w:rPr>
        <w:t>
      4) при включении в пул приоритет среди участников определяется в следующей последовательности:</w:t>
      </w:r>
    </w:p>
    <w:p>
      <w:pPr>
        <w:spacing w:after="0"/>
        <w:ind w:left="0"/>
        <w:jc w:val="both"/>
      </w:pPr>
      <w:r>
        <w:rPr>
          <w:rFonts w:ascii="Times New Roman"/>
          <w:b w:val="false"/>
          <w:i w:val="false"/>
          <w:color w:val="000000"/>
          <w:sz w:val="28"/>
        </w:rPr>
        <w:t>
      покупатели, приобретающие жилье за счет займов ЖССБК, накопленных жилстройсбережений и/или собственных средств;</w:t>
      </w:r>
    </w:p>
    <w:p>
      <w:pPr>
        <w:spacing w:after="0"/>
        <w:ind w:left="0"/>
        <w:jc w:val="both"/>
      </w:pPr>
      <w:r>
        <w:rPr>
          <w:rFonts w:ascii="Times New Roman"/>
          <w:b w:val="false"/>
          <w:i w:val="false"/>
          <w:color w:val="000000"/>
          <w:sz w:val="28"/>
        </w:rPr>
        <w:t>
      арендаторы жилья с выкупом.</w:t>
      </w:r>
    </w:p>
    <w:p>
      <w:pPr>
        <w:spacing w:after="0"/>
        <w:ind w:left="0"/>
        <w:jc w:val="both"/>
      </w:pPr>
      <w:r>
        <w:rPr>
          <w:rFonts w:ascii="Times New Roman"/>
          <w:b w:val="false"/>
          <w:i w:val="false"/>
          <w:color w:val="000000"/>
          <w:sz w:val="28"/>
        </w:rPr>
        <w:t xml:space="preserve">
      Среди участников пулов внутри групп, определенных данным подпунктом, приоритет выбора при распределении жилья определяется количеством баллов, набранных при формировании пулов. </w:t>
      </w:r>
    </w:p>
    <w:p>
      <w:pPr>
        <w:spacing w:after="0"/>
        <w:ind w:left="0"/>
        <w:jc w:val="both"/>
      </w:pPr>
      <w:r>
        <w:rPr>
          <w:rFonts w:ascii="Times New Roman"/>
          <w:b w:val="false"/>
          <w:i w:val="false"/>
          <w:color w:val="000000"/>
          <w:sz w:val="28"/>
        </w:rPr>
        <w:t xml:space="preserve">
      2. Порядок выкупа жилья. </w:t>
      </w:r>
    </w:p>
    <w:p>
      <w:pPr>
        <w:spacing w:after="0"/>
        <w:ind w:left="0"/>
        <w:jc w:val="both"/>
      </w:pPr>
      <w:r>
        <w:rPr>
          <w:rFonts w:ascii="Times New Roman"/>
          <w:b w:val="false"/>
          <w:i w:val="false"/>
          <w:color w:val="000000"/>
          <w:sz w:val="28"/>
        </w:rPr>
        <w:t>
      Выкуп жилья осуществляется участником Программы по направлению "Жилье для всех категорий населения" по окончании строительства объекта:</w:t>
      </w:r>
    </w:p>
    <w:p>
      <w:pPr>
        <w:spacing w:after="0"/>
        <w:ind w:left="0"/>
        <w:jc w:val="both"/>
      </w:pPr>
      <w:r>
        <w:rPr>
          <w:rFonts w:ascii="Times New Roman"/>
          <w:b w:val="false"/>
          <w:i w:val="false"/>
          <w:color w:val="000000"/>
          <w:sz w:val="28"/>
        </w:rPr>
        <w:t>
      1) в собственность за счет жилищных, предварительных и промежуточных жилищных займов, накопленных жилстройсбережений и/или собственных средств;</w:t>
      </w:r>
    </w:p>
    <w:p>
      <w:pPr>
        <w:spacing w:after="0"/>
        <w:ind w:left="0"/>
        <w:jc w:val="both"/>
      </w:pPr>
      <w:r>
        <w:rPr>
          <w:rFonts w:ascii="Times New Roman"/>
          <w:b w:val="false"/>
          <w:i w:val="false"/>
          <w:color w:val="000000"/>
          <w:sz w:val="28"/>
        </w:rPr>
        <w:t xml:space="preserve">
      2) в аренду с последующим получением жилищных займов за счет накопленных жилстройсбережений и/или собственных средств. </w:t>
      </w:r>
    </w:p>
    <w:p>
      <w:pPr>
        <w:spacing w:after="0"/>
        <w:ind w:left="0"/>
        <w:jc w:val="both"/>
      </w:pPr>
      <w:r>
        <w:rPr>
          <w:rFonts w:ascii="Times New Roman"/>
          <w:b w:val="false"/>
          <w:i w:val="false"/>
          <w:color w:val="000000"/>
          <w:sz w:val="28"/>
        </w:rPr>
        <w:t>
      Соотношение сумм займов ЖССБК, собственных средств и накопленных сбережений участников Программы определяется внутренними документами ЖССБК.</w:t>
      </w:r>
    </w:p>
    <w:p>
      <w:pPr>
        <w:spacing w:after="0"/>
        <w:ind w:left="0"/>
        <w:jc w:val="both"/>
      </w:pPr>
      <w:r>
        <w:rPr>
          <w:rFonts w:ascii="Times New Roman"/>
          <w:b w:val="false"/>
          <w:i w:val="false"/>
          <w:color w:val="000000"/>
          <w:sz w:val="28"/>
        </w:rPr>
        <w:t>
      Предоставление займов участникам пулов осуществляется в соответствии с внутренними требованиями ЖССБК и предоставлением приобретаемых квартир в залог ЖССБК.</w:t>
      </w:r>
    </w:p>
    <w:p>
      <w:pPr>
        <w:spacing w:after="0"/>
        <w:ind w:left="0"/>
        <w:jc w:val="both"/>
      </w:pPr>
      <w:r>
        <w:rPr>
          <w:rFonts w:ascii="Times New Roman"/>
          <w:b w:val="false"/>
          <w:i w:val="false"/>
          <w:color w:val="000000"/>
          <w:sz w:val="28"/>
        </w:rPr>
        <w:t>
      После ввода в эксплуатацию объекта жилья МИО заключают договоры купли-продажи (либо аренды жилья) с участниками пулов, обеспечивают оформление и регистрацию права собственности на жилье или договоров аренды в уполномоченном органе по регистрации прав на недвижимое имущество за счет средств участника Программы.</w:t>
      </w:r>
    </w:p>
    <w:p>
      <w:pPr>
        <w:spacing w:after="0"/>
        <w:ind w:left="0"/>
        <w:jc w:val="both"/>
      </w:pPr>
      <w:r>
        <w:rPr>
          <w:rFonts w:ascii="Times New Roman"/>
          <w:b w:val="false"/>
          <w:i w:val="false"/>
          <w:color w:val="000000"/>
          <w:sz w:val="28"/>
        </w:rPr>
        <w:t>
      Основные критерии для получения жилищных займов участником Программы:</w:t>
      </w:r>
    </w:p>
    <w:p>
      <w:pPr>
        <w:spacing w:after="0"/>
        <w:ind w:left="0"/>
        <w:jc w:val="both"/>
      </w:pPr>
      <w:r>
        <w:rPr>
          <w:rFonts w:ascii="Times New Roman"/>
          <w:b w:val="false"/>
          <w:i w:val="false"/>
          <w:color w:val="000000"/>
          <w:sz w:val="28"/>
        </w:rPr>
        <w:t xml:space="preserve">
      1) выполнение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Казахстана от 7 декабря 2000 года "О жилищных строительных сбережениях в Республике Казахстан", условий договора о жилищных строительных сбережениях для получения займа и внутренних документов ЖССБК;</w:t>
      </w:r>
    </w:p>
    <w:p>
      <w:pPr>
        <w:spacing w:after="0"/>
        <w:ind w:left="0"/>
        <w:jc w:val="both"/>
      </w:pPr>
      <w:r>
        <w:rPr>
          <w:rFonts w:ascii="Times New Roman"/>
          <w:b w:val="false"/>
          <w:i w:val="false"/>
          <w:color w:val="000000"/>
          <w:sz w:val="28"/>
        </w:rPr>
        <w:t>
      2) подтверждение платежеспособности для обслуживания займа согласно требованиям ЖССБК;</w:t>
      </w:r>
    </w:p>
    <w:p>
      <w:pPr>
        <w:spacing w:after="0"/>
        <w:ind w:left="0"/>
        <w:jc w:val="both"/>
      </w:pPr>
      <w:r>
        <w:rPr>
          <w:rFonts w:ascii="Times New Roman"/>
          <w:b w:val="false"/>
          <w:i w:val="false"/>
          <w:color w:val="000000"/>
          <w:sz w:val="28"/>
        </w:rPr>
        <w:t>
      3) предоставление приобретаемого жилья или выкупаемого арендного жилья в залог в соответствии с внутренними требованиями ЖССБК.</w:t>
      </w:r>
    </w:p>
    <w:p>
      <w:pPr>
        <w:spacing w:after="0"/>
        <w:ind w:left="0"/>
        <w:jc w:val="both"/>
      </w:pPr>
      <w:r>
        <w:rPr>
          <w:rFonts w:ascii="Times New Roman"/>
          <w:b w:val="false"/>
          <w:i w:val="false"/>
          <w:color w:val="000000"/>
          <w:sz w:val="28"/>
        </w:rPr>
        <w:t>
      Ставки вознаграждений по жилищным займам для всех категорий граждан и молодых семей устанавливаются в зависимости от тарифной программы вкладчиков ЖССБК.</w:t>
      </w:r>
    </w:p>
    <w:p>
      <w:pPr>
        <w:spacing w:after="0"/>
        <w:ind w:left="0"/>
        <w:jc w:val="both"/>
      </w:pPr>
      <w:r>
        <w:rPr>
          <w:rFonts w:ascii="Times New Roman"/>
          <w:b w:val="false"/>
          <w:i w:val="false"/>
          <w:color w:val="000000"/>
          <w:sz w:val="28"/>
        </w:rPr>
        <w:t>
      3. Порядок заключения договоров аренды и условия аренды.</w:t>
      </w:r>
    </w:p>
    <w:p>
      <w:pPr>
        <w:spacing w:after="0"/>
        <w:ind w:left="0"/>
        <w:jc w:val="both"/>
      </w:pPr>
      <w:r>
        <w:rPr>
          <w:rFonts w:ascii="Times New Roman"/>
          <w:b w:val="false"/>
          <w:i w:val="false"/>
          <w:color w:val="000000"/>
          <w:sz w:val="28"/>
        </w:rPr>
        <w:t>
      Максимальный срок аренды с выкупом должен составлять не более 8 лет с даты ввода жилья в эксплуатацию. Договора аренды с выкупом подлежат обязательной регистрации в уполномоченном органе по регистрации прав на недвижимое имущество.</w:t>
      </w:r>
    </w:p>
    <w:p>
      <w:pPr>
        <w:spacing w:after="0"/>
        <w:ind w:left="0"/>
        <w:jc w:val="both"/>
      </w:pPr>
      <w:r>
        <w:rPr>
          <w:rFonts w:ascii="Times New Roman"/>
          <w:b w:val="false"/>
          <w:i w:val="false"/>
          <w:color w:val="000000"/>
          <w:sz w:val="28"/>
        </w:rPr>
        <w:t>
      Особенности аренды жилья с выкупом, построенного МИО и реализуемого через систему жилстройсбережений:</w:t>
      </w:r>
    </w:p>
    <w:p>
      <w:pPr>
        <w:spacing w:after="0"/>
        <w:ind w:left="0"/>
        <w:jc w:val="both"/>
      </w:pPr>
      <w:r>
        <w:rPr>
          <w:rFonts w:ascii="Times New Roman"/>
          <w:b w:val="false"/>
          <w:i w:val="false"/>
          <w:color w:val="000000"/>
          <w:sz w:val="28"/>
        </w:rPr>
        <w:t>
      1) МИО формирует список арендаторов жилья направления "Жилье по линии ЖССБК";</w:t>
      </w:r>
    </w:p>
    <w:p>
      <w:pPr>
        <w:spacing w:after="0"/>
        <w:ind w:left="0"/>
        <w:jc w:val="both"/>
      </w:pPr>
      <w:r>
        <w:rPr>
          <w:rFonts w:ascii="Times New Roman"/>
          <w:b w:val="false"/>
          <w:i w:val="false"/>
          <w:color w:val="000000"/>
          <w:sz w:val="28"/>
        </w:rPr>
        <w:t>
      2) МИО заключают с участниками Программы договора аренды, которые в том числе предусматривают:</w:t>
      </w:r>
    </w:p>
    <w:p>
      <w:pPr>
        <w:spacing w:after="0"/>
        <w:ind w:left="0"/>
        <w:jc w:val="both"/>
      </w:pPr>
      <w:r>
        <w:rPr>
          <w:rFonts w:ascii="Times New Roman"/>
          <w:b w:val="false"/>
          <w:i w:val="false"/>
          <w:color w:val="000000"/>
          <w:sz w:val="28"/>
        </w:rPr>
        <w:t>
      оплату арендного платежа на период не более 8 лет:</w:t>
      </w:r>
    </w:p>
    <w:p>
      <w:pPr>
        <w:spacing w:after="0"/>
        <w:ind w:left="0"/>
        <w:jc w:val="both"/>
      </w:pPr>
      <w:r>
        <w:rPr>
          <w:rFonts w:ascii="Times New Roman"/>
          <w:b w:val="false"/>
          <w:i w:val="false"/>
          <w:color w:val="000000"/>
          <w:sz w:val="28"/>
        </w:rPr>
        <w:t>
      для молодых семей – по нулевой ставке;</w:t>
      </w:r>
    </w:p>
    <w:p>
      <w:pPr>
        <w:spacing w:after="0"/>
        <w:ind w:left="0"/>
        <w:jc w:val="both"/>
      </w:pPr>
      <w:r>
        <w:rPr>
          <w:rFonts w:ascii="Times New Roman"/>
          <w:b w:val="false"/>
          <w:i w:val="false"/>
          <w:color w:val="000000"/>
          <w:sz w:val="28"/>
        </w:rPr>
        <w:t xml:space="preserve">
      для всех категорий населения – в соответствии с методикой расчета арендной платы, взимаемой в государственных арендных домах, утвержденной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26 августа 2011 года № 306, но не более 100 тенге за 1 кв.м.;</w:t>
      </w:r>
    </w:p>
    <w:p>
      <w:pPr>
        <w:spacing w:after="0"/>
        <w:ind w:left="0"/>
        <w:jc w:val="both"/>
      </w:pPr>
      <w:r>
        <w:rPr>
          <w:rFonts w:ascii="Times New Roman"/>
          <w:b w:val="false"/>
          <w:i w:val="false"/>
          <w:color w:val="000000"/>
          <w:sz w:val="28"/>
        </w:rPr>
        <w:t>
      оплату коммунальных услуг (электричество, вода, тепло) и прочих эксплуатационных расходов за счет арендатора;</w:t>
      </w:r>
    </w:p>
    <w:p>
      <w:pPr>
        <w:spacing w:after="0"/>
        <w:ind w:left="0"/>
        <w:jc w:val="both"/>
      </w:pPr>
      <w:r>
        <w:rPr>
          <w:rFonts w:ascii="Times New Roman"/>
          <w:b w:val="false"/>
          <w:i w:val="false"/>
          <w:color w:val="000000"/>
          <w:sz w:val="28"/>
        </w:rPr>
        <w:t>
      обязательство арендатора по накоплениям взносов в жилстройсбережения на срок до 8 лет с даты заключения договора аренды для выкупа арендного жилья и в соответствии с договором о жилстройсбережениях;</w:t>
      </w:r>
    </w:p>
    <w:p>
      <w:pPr>
        <w:spacing w:after="0"/>
        <w:ind w:left="0"/>
        <w:jc w:val="both"/>
      </w:pPr>
      <w:r>
        <w:rPr>
          <w:rFonts w:ascii="Times New Roman"/>
          <w:b w:val="false"/>
          <w:i w:val="false"/>
          <w:color w:val="000000"/>
          <w:sz w:val="28"/>
        </w:rPr>
        <w:t>
      порядок выселения МИО арендатора и членов его семьи из арендного жилья при поступлении информации из ЖССБК об отсутствии платежей по накоплению взносов в жилстройсбережения в течение 3-х месяцев.</w:t>
      </w:r>
    </w:p>
    <w:p>
      <w:pPr>
        <w:spacing w:after="0"/>
        <w:ind w:left="0"/>
        <w:jc w:val="both"/>
      </w:pPr>
      <w:r>
        <w:rPr>
          <w:rFonts w:ascii="Times New Roman"/>
          <w:b w:val="false"/>
          <w:i w:val="false"/>
          <w:color w:val="000000"/>
          <w:sz w:val="28"/>
        </w:rPr>
        <w:t>
      В таком случае МИО выселяет арендатора из квартиры.</w:t>
      </w:r>
    </w:p>
    <w:p>
      <w:pPr>
        <w:spacing w:after="0"/>
        <w:ind w:left="0"/>
        <w:jc w:val="both"/>
      </w:pPr>
      <w:r>
        <w:rPr>
          <w:rFonts w:ascii="Times New Roman"/>
          <w:b w:val="false"/>
          <w:i w:val="false"/>
          <w:color w:val="000000"/>
          <w:sz w:val="28"/>
        </w:rPr>
        <w:t>
      При невыполнении арендатором договорных обязательств либо его добровольного выезда ЖССБК перечисляет в МИО компенсацию за его фактическое проживание в арендном жилье из накопленных арендатором жилстройсбережений и/или гарантийного взноса. Сумма компенсации исчисляется в размере однократного размера ежемесячного взноса во вклад, рассчитанного на стандартных условиях накопления сбережений в течение 8 лет, за каждый месяц проживания с даты заключения договора аренды.</w:t>
      </w:r>
    </w:p>
    <w:p>
      <w:pPr>
        <w:spacing w:after="0"/>
        <w:ind w:left="0"/>
        <w:jc w:val="both"/>
      </w:pPr>
      <w:r>
        <w:rPr>
          <w:rFonts w:ascii="Times New Roman"/>
          <w:b w:val="false"/>
          <w:i w:val="false"/>
          <w:color w:val="000000"/>
          <w:sz w:val="28"/>
        </w:rPr>
        <w:t>
      Информация о выселении или выезде арендатора из жилья представляется МИО в ЖССБК, в том числе о количестве месяцев проживания для перечисления компенсации в МИО.</w:t>
      </w:r>
    </w:p>
    <w:p>
      <w:pPr>
        <w:spacing w:after="0"/>
        <w:ind w:left="0"/>
        <w:jc w:val="both"/>
      </w:pPr>
      <w:r>
        <w:rPr>
          <w:rFonts w:ascii="Times New Roman"/>
          <w:b w:val="false"/>
          <w:i w:val="false"/>
          <w:color w:val="000000"/>
          <w:sz w:val="28"/>
        </w:rPr>
        <w:t>
      Порядок и условия проживания в арендном жилье и прочие необходимые условия.</w:t>
      </w:r>
    </w:p>
    <w:p>
      <w:pPr>
        <w:spacing w:after="0"/>
        <w:ind w:left="0"/>
        <w:jc w:val="both"/>
      </w:pPr>
      <w:r>
        <w:rPr>
          <w:rFonts w:ascii="Times New Roman"/>
          <w:b w:val="false"/>
          <w:i w:val="false"/>
          <w:color w:val="000000"/>
          <w:sz w:val="28"/>
        </w:rPr>
        <w:t>
      Процедуры выселения участника Программы из арендного жилья в случае невыполнения условий договора аренды и/или договора о жилстройсбережениях осуществляются МИО.</w:t>
      </w:r>
    </w:p>
    <w:p>
      <w:pPr>
        <w:spacing w:after="0"/>
        <w:ind w:left="0"/>
        <w:jc w:val="both"/>
      </w:pPr>
      <w:r>
        <w:rPr>
          <w:rFonts w:ascii="Times New Roman"/>
          <w:b w:val="false"/>
          <w:i w:val="false"/>
          <w:color w:val="000000"/>
          <w:sz w:val="28"/>
        </w:rPr>
        <w:t>
      Копии заключенных договоров аренды жилья представляются МИО в ЖССБК;</w:t>
      </w:r>
    </w:p>
    <w:p>
      <w:pPr>
        <w:spacing w:after="0"/>
        <w:ind w:left="0"/>
        <w:jc w:val="both"/>
      </w:pPr>
      <w:r>
        <w:rPr>
          <w:rFonts w:ascii="Times New Roman"/>
          <w:b w:val="false"/>
          <w:i w:val="false"/>
          <w:color w:val="000000"/>
          <w:sz w:val="28"/>
        </w:rPr>
        <w:t>
      3) заключение ЖССБК с участниками Программы дополнительных соглашений к договорам о жилстройсбережениях, содержащим условия аренды жилья с последующим выкупом, прием от арендатора оплаты гарантийного взноса в размере 6-ти кратного ежемесячного взноса по накоплению жилстройсбережений, на случай невнесения платежей по накоплению взносов.</w:t>
      </w:r>
    </w:p>
    <w:p>
      <w:pPr>
        <w:spacing w:after="0"/>
        <w:ind w:left="0"/>
        <w:jc w:val="both"/>
      </w:pPr>
      <w:r>
        <w:rPr>
          <w:rFonts w:ascii="Times New Roman"/>
          <w:b w:val="false"/>
          <w:i w:val="false"/>
          <w:color w:val="000000"/>
          <w:sz w:val="28"/>
        </w:rPr>
        <w:t>
      Оплата гарантийного взноса не требуется при наличии у участника Программы суммы накопленных жилстройсбережений в размере равном либо превышающем размер гарантийного взноса;</w:t>
      </w:r>
    </w:p>
    <w:p>
      <w:pPr>
        <w:spacing w:after="0"/>
        <w:ind w:left="0"/>
        <w:jc w:val="both"/>
      </w:pPr>
      <w:r>
        <w:rPr>
          <w:rFonts w:ascii="Times New Roman"/>
          <w:b w:val="false"/>
          <w:i w:val="false"/>
          <w:color w:val="000000"/>
          <w:sz w:val="28"/>
        </w:rPr>
        <w:t>
      4) въезд арендатора в квартиру, осуществление накоплений жилстройсбережений согласно заключенному договору о жилстройсбережениях;</w:t>
      </w:r>
    </w:p>
    <w:p>
      <w:pPr>
        <w:spacing w:after="0"/>
        <w:ind w:left="0"/>
        <w:jc w:val="both"/>
      </w:pPr>
      <w:r>
        <w:rPr>
          <w:rFonts w:ascii="Times New Roman"/>
          <w:b w:val="false"/>
          <w:i w:val="false"/>
          <w:color w:val="000000"/>
          <w:sz w:val="28"/>
        </w:rPr>
        <w:t xml:space="preserve">
      5) отбор последующего арендатора в связи с невыполнением предыдущим арендатором договорных обязательств либо его добровольного выезда производится в порядке, установленном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Для последующего арендатора стоимость жилья будет уменьшена МИО на размер полученной компенсации за фактическое проживание предыдущего арендатора;</w:t>
      </w:r>
    </w:p>
    <w:p>
      <w:pPr>
        <w:spacing w:after="0"/>
        <w:ind w:left="0"/>
        <w:jc w:val="both"/>
      </w:pPr>
      <w:r>
        <w:rPr>
          <w:rFonts w:ascii="Times New Roman"/>
          <w:b w:val="false"/>
          <w:i w:val="false"/>
          <w:color w:val="000000"/>
          <w:sz w:val="28"/>
        </w:rPr>
        <w:t>
      6) направление ЖССБК списков в МИО для заключения договоров купли-продажи арендных квартир по истечении срока и выполнения условий накопления жилстройсбережений для получения жилищного займа для выкупа арендного жилья;</w:t>
      </w:r>
    </w:p>
    <w:p>
      <w:pPr>
        <w:spacing w:after="0"/>
        <w:ind w:left="0"/>
        <w:jc w:val="both"/>
      </w:pPr>
      <w:r>
        <w:rPr>
          <w:rFonts w:ascii="Times New Roman"/>
          <w:b w:val="false"/>
          <w:i w:val="false"/>
          <w:color w:val="000000"/>
          <w:sz w:val="28"/>
        </w:rPr>
        <w:t>
      7) оформление и подписание МИО с участниками Программы договоров купли-продажи, передача их в ЖССБК для оформления договоров банковского займа и залога.</w:t>
      </w:r>
    </w:p>
    <w:p>
      <w:pPr>
        <w:spacing w:after="0"/>
        <w:ind w:left="0"/>
        <w:jc w:val="left"/>
      </w:pPr>
      <w:r>
        <w:rPr>
          <w:rFonts w:ascii="Times New Roman"/>
          <w:b/>
          <w:i w:val="false"/>
          <w:color w:val="000000"/>
        </w:rPr>
        <w:t xml:space="preserve"> 7. Процедуры реализации жилья по направлению</w:t>
      </w:r>
      <w:r>
        <w:br/>
      </w:r>
      <w:r>
        <w:rPr>
          <w:rFonts w:ascii="Times New Roman"/>
          <w:b/>
          <w:i w:val="false"/>
          <w:color w:val="000000"/>
        </w:rPr>
        <w:t>"Жилье АО "ИО "КИК"</w:t>
      </w:r>
    </w:p>
    <w:p>
      <w:pPr>
        <w:spacing w:after="0"/>
        <w:ind w:left="0"/>
        <w:jc w:val="both"/>
      </w:pPr>
      <w:r>
        <w:rPr>
          <w:rFonts w:ascii="Times New Roman"/>
          <w:b w:val="false"/>
          <w:i w:val="false"/>
          <w:color w:val="000000"/>
          <w:sz w:val="28"/>
        </w:rPr>
        <w:t>
      1. Порядок реализации жилья.</w:t>
      </w:r>
    </w:p>
    <w:p>
      <w:pPr>
        <w:spacing w:after="0"/>
        <w:ind w:left="0"/>
        <w:jc w:val="both"/>
      </w:pPr>
      <w:r>
        <w:rPr>
          <w:rFonts w:ascii="Times New Roman"/>
          <w:b w:val="false"/>
          <w:i w:val="false"/>
          <w:color w:val="000000"/>
          <w:sz w:val="28"/>
        </w:rPr>
        <w:t>
      Реализация жилья АО "ИО "КИК" осуществляется в аренду с выкупом или аренду без выкупа в следующем порядке:</w:t>
      </w:r>
    </w:p>
    <w:p>
      <w:pPr>
        <w:spacing w:after="0"/>
        <w:ind w:left="0"/>
        <w:jc w:val="both"/>
      </w:pPr>
      <w:r>
        <w:rPr>
          <w:rFonts w:ascii="Times New Roman"/>
          <w:b w:val="false"/>
          <w:i w:val="false"/>
          <w:color w:val="000000"/>
          <w:sz w:val="28"/>
        </w:rPr>
        <w:t>
      1) реализация жилья через МИО:</w:t>
      </w:r>
    </w:p>
    <w:p>
      <w:pPr>
        <w:spacing w:after="0"/>
        <w:ind w:left="0"/>
        <w:jc w:val="both"/>
      </w:pPr>
      <w:r>
        <w:rPr>
          <w:rFonts w:ascii="Times New Roman"/>
          <w:b w:val="false"/>
          <w:i w:val="false"/>
          <w:color w:val="000000"/>
          <w:sz w:val="28"/>
        </w:rPr>
        <w:t>
      заключение с МИО типового соглашения о сотрудничестве по распределению жилья;</w:t>
      </w:r>
    </w:p>
    <w:p>
      <w:pPr>
        <w:spacing w:after="0"/>
        <w:ind w:left="0"/>
        <w:jc w:val="both"/>
      </w:pPr>
      <w:r>
        <w:rPr>
          <w:rFonts w:ascii="Times New Roman"/>
          <w:b w:val="false"/>
          <w:i w:val="false"/>
          <w:color w:val="000000"/>
          <w:sz w:val="28"/>
        </w:rPr>
        <w:t>
      направление в МИО списков жилых помещений, определенных к реализации через МИО, в соответствии с внутренними документами АО "ИО "КИК", с информацией о характеристиках по реализации (количество и площади, размеры ежемесячных арендных платежей и способа реализации по каждому типу квартир), в случае строительства жилья не менее, чем за 6 (шесть) месяцев до даты его завершения;</w:t>
      </w:r>
    </w:p>
    <w:p>
      <w:pPr>
        <w:spacing w:after="0"/>
        <w:ind w:left="0"/>
        <w:jc w:val="both"/>
      </w:pPr>
      <w:r>
        <w:rPr>
          <w:rFonts w:ascii="Times New Roman"/>
          <w:b w:val="false"/>
          <w:i w:val="false"/>
          <w:color w:val="000000"/>
          <w:sz w:val="28"/>
        </w:rPr>
        <w:t xml:space="preserve">
      получение от МИО утвержденных списков отобранных претендентов Программы согласно </w:t>
      </w:r>
      <w:r>
        <w:rPr>
          <w:rFonts w:ascii="Times New Roman"/>
          <w:b w:val="false"/>
          <w:i w:val="false"/>
          <w:color w:val="000000"/>
          <w:sz w:val="28"/>
        </w:rPr>
        <w:t>подразделу 5</w:t>
      </w:r>
      <w:r>
        <w:rPr>
          <w:rFonts w:ascii="Times New Roman"/>
          <w:b w:val="false"/>
          <w:i w:val="false"/>
          <w:color w:val="000000"/>
          <w:sz w:val="28"/>
        </w:rPr>
        <w:t xml:space="preserve"> в сроки, предусматриваемые соглашениями;</w:t>
      </w:r>
    </w:p>
    <w:p>
      <w:pPr>
        <w:spacing w:after="0"/>
        <w:ind w:left="0"/>
        <w:jc w:val="both"/>
      </w:pPr>
      <w:r>
        <w:rPr>
          <w:rFonts w:ascii="Times New Roman"/>
          <w:b w:val="false"/>
          <w:i w:val="false"/>
          <w:color w:val="000000"/>
          <w:sz w:val="28"/>
        </w:rPr>
        <w:t>
      предоставление, в том числе дочерней компанией, претендентам возможности выбора квартир согласно очередности, определяемой порядковым номером в предоставленных списках МИО, закрепление за ними жилья и заключение договоров аренды с выкупом или аренды без выкупа, условия которых определяются внутренними правилами АО "ИО "КИК";</w:t>
      </w:r>
    </w:p>
    <w:p>
      <w:pPr>
        <w:spacing w:after="0"/>
        <w:ind w:left="0"/>
        <w:jc w:val="both"/>
      </w:pPr>
      <w:r>
        <w:rPr>
          <w:rFonts w:ascii="Times New Roman"/>
          <w:b w:val="false"/>
          <w:i w:val="false"/>
          <w:color w:val="000000"/>
          <w:sz w:val="28"/>
        </w:rPr>
        <w:t>
      2) реализация жилья в рамках соглашений/ меморандумов, заключаемых с государственными и негосударственными юридическими лицами.</w:t>
      </w:r>
    </w:p>
    <w:p>
      <w:pPr>
        <w:spacing w:after="0"/>
        <w:ind w:left="0"/>
        <w:jc w:val="both"/>
      </w:pPr>
      <w:r>
        <w:rPr>
          <w:rFonts w:ascii="Times New Roman"/>
          <w:b w:val="false"/>
          <w:i w:val="false"/>
          <w:color w:val="000000"/>
          <w:sz w:val="28"/>
        </w:rPr>
        <w:t>
      Размер арендной платы определяется внутренними документами АО "ИО "КИК", исходя из принципов возвратности выделенных средств на финансирование строительства.</w:t>
      </w:r>
    </w:p>
    <w:p>
      <w:pPr>
        <w:spacing w:after="0"/>
        <w:ind w:left="0"/>
        <w:jc w:val="both"/>
      </w:pPr>
      <w:r>
        <w:rPr>
          <w:rFonts w:ascii="Times New Roman"/>
          <w:b w:val="false"/>
          <w:i w:val="false"/>
          <w:color w:val="000000"/>
          <w:sz w:val="28"/>
        </w:rPr>
        <w:t xml:space="preserve">
      2. Порядок заключения договоров аренды и условия аренды. </w:t>
      </w:r>
    </w:p>
    <w:p>
      <w:pPr>
        <w:spacing w:after="0"/>
        <w:ind w:left="0"/>
        <w:jc w:val="both"/>
      </w:pPr>
      <w:r>
        <w:rPr>
          <w:rFonts w:ascii="Times New Roman"/>
          <w:b w:val="false"/>
          <w:i w:val="false"/>
          <w:color w:val="000000"/>
          <w:sz w:val="28"/>
        </w:rPr>
        <w:t xml:space="preserve">
      С потенциальными арендаторами, прошедшими отбор согласно </w:t>
      </w:r>
      <w:r>
        <w:rPr>
          <w:rFonts w:ascii="Times New Roman"/>
          <w:b w:val="false"/>
          <w:i w:val="false"/>
          <w:color w:val="000000"/>
          <w:sz w:val="28"/>
        </w:rPr>
        <w:t>подразделу 5</w:t>
      </w:r>
      <w:r>
        <w:rPr>
          <w:rFonts w:ascii="Times New Roman"/>
          <w:b w:val="false"/>
          <w:i w:val="false"/>
          <w:color w:val="000000"/>
          <w:sz w:val="28"/>
        </w:rPr>
        <w:t>, заключаются договоры аренды, включающие следующие основные условия по видам арендного жилья:</w:t>
      </w:r>
    </w:p>
    <w:p>
      <w:pPr>
        <w:spacing w:after="0"/>
        <w:ind w:left="0"/>
        <w:jc w:val="both"/>
      </w:pPr>
      <w:r>
        <w:rPr>
          <w:rFonts w:ascii="Times New Roman"/>
          <w:b w:val="false"/>
          <w:i w:val="false"/>
          <w:color w:val="000000"/>
          <w:sz w:val="28"/>
        </w:rPr>
        <w:t>
      1) Аренда с выкупом предусматривает:</w:t>
      </w:r>
    </w:p>
    <w:p>
      <w:pPr>
        <w:spacing w:after="0"/>
        <w:ind w:left="0"/>
        <w:jc w:val="both"/>
      </w:pPr>
      <w:r>
        <w:rPr>
          <w:rFonts w:ascii="Times New Roman"/>
          <w:b w:val="false"/>
          <w:i w:val="false"/>
          <w:color w:val="000000"/>
          <w:sz w:val="28"/>
        </w:rPr>
        <w:t xml:space="preserve">
      срок аренды до 20 лет, в отдельных случаях при недостаточности доходов для детей-сирот и детей, оставшихся без попечения родителей, не достигших двадцати девяти лет и (или) потерявших родителей до совершеннолетия, срок аренды может быть увеличен до 30 лет; </w:t>
      </w:r>
    </w:p>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налога на имущество, земельного налога, коммунальных и прочих эксплуатационных расходов;</w:t>
      </w:r>
    </w:p>
    <w:p>
      <w:pPr>
        <w:spacing w:after="0"/>
        <w:ind w:left="0"/>
        <w:jc w:val="both"/>
      </w:pPr>
      <w:r>
        <w:rPr>
          <w:rFonts w:ascii="Times New Roman"/>
          <w:b w:val="false"/>
          <w:i w:val="false"/>
          <w:color w:val="000000"/>
          <w:sz w:val="28"/>
        </w:rPr>
        <w:t>
      условие о возможном выкупе арендного жилья по истечении 5 лет аренды по стоимости, на условиях определенных внутренними документами АО "ИО "КИК";</w:t>
      </w:r>
    </w:p>
    <w:p>
      <w:pPr>
        <w:spacing w:after="0"/>
        <w:ind w:left="0"/>
        <w:jc w:val="both"/>
      </w:pPr>
      <w:r>
        <w:rPr>
          <w:rFonts w:ascii="Times New Roman"/>
          <w:b w:val="false"/>
          <w:i w:val="false"/>
          <w:color w:val="000000"/>
          <w:sz w:val="28"/>
        </w:rPr>
        <w:t>
      условие о возможной частичной досрочной выплате в размере не менее 6 месячных арендных платежей по истечении 5 лет аренды;</w:t>
      </w:r>
    </w:p>
    <w:p>
      <w:pPr>
        <w:spacing w:after="0"/>
        <w:ind w:left="0"/>
        <w:jc w:val="both"/>
      </w:pPr>
      <w:r>
        <w:rPr>
          <w:rFonts w:ascii="Times New Roman"/>
          <w:b w:val="false"/>
          <w:i w:val="false"/>
          <w:color w:val="000000"/>
          <w:sz w:val="28"/>
        </w:rPr>
        <w:t>
      условие о возможном привлечении арендатором гарантов по внесению арендных платежей при недостаточности доходов;</w:t>
      </w:r>
    </w:p>
    <w:p>
      <w:pPr>
        <w:spacing w:after="0"/>
        <w:ind w:left="0"/>
        <w:jc w:val="both"/>
      </w:pPr>
      <w:r>
        <w:rPr>
          <w:rFonts w:ascii="Times New Roman"/>
          <w:b w:val="false"/>
          <w:i w:val="false"/>
          <w:color w:val="000000"/>
          <w:sz w:val="28"/>
        </w:rPr>
        <w:t>
      условие о передаче жилья в собственность при условии полного и надлежащего выполнения арендатором обязательств по договору аренды;</w:t>
      </w:r>
    </w:p>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случае невнесения арендных платежей, а также неисполнения обязательств по договору аренды;</w:t>
      </w:r>
    </w:p>
    <w:p>
      <w:pPr>
        <w:spacing w:after="0"/>
        <w:ind w:left="0"/>
        <w:jc w:val="both"/>
      </w:pPr>
      <w:r>
        <w:rPr>
          <w:rFonts w:ascii="Times New Roman"/>
          <w:b w:val="false"/>
          <w:i w:val="false"/>
          <w:color w:val="000000"/>
          <w:sz w:val="28"/>
        </w:rPr>
        <w:t>
      условие о ремонте арендатором арендного жилья.</w:t>
      </w:r>
    </w:p>
    <w:p>
      <w:pPr>
        <w:spacing w:after="0"/>
        <w:ind w:left="0"/>
        <w:jc w:val="both"/>
      </w:pPr>
      <w:r>
        <w:rPr>
          <w:rFonts w:ascii="Times New Roman"/>
          <w:b w:val="false"/>
          <w:i w:val="false"/>
          <w:color w:val="000000"/>
          <w:sz w:val="28"/>
        </w:rPr>
        <w:t>
      2) Аренда без выкупа предусматривает:</w:t>
      </w:r>
    </w:p>
    <w:p>
      <w:pPr>
        <w:spacing w:after="0"/>
        <w:ind w:left="0"/>
        <w:jc w:val="both"/>
      </w:pPr>
      <w:r>
        <w:rPr>
          <w:rFonts w:ascii="Times New Roman"/>
          <w:b w:val="false"/>
          <w:i w:val="false"/>
          <w:color w:val="000000"/>
          <w:sz w:val="28"/>
        </w:rPr>
        <w:t>
      срок аренды до 10 лет с возможностью последующей пролонгации на 5 лет в случае потери трудоспособности участником Программы, а также многодетным семьям, и иных случаях, рассматриваемых индивидуально жилищной комиссией;</w:t>
      </w:r>
    </w:p>
    <w:p>
      <w:pPr>
        <w:spacing w:after="0"/>
        <w:ind w:left="0"/>
        <w:jc w:val="both"/>
      </w:pPr>
      <w:r>
        <w:rPr>
          <w:rFonts w:ascii="Times New Roman"/>
          <w:b w:val="false"/>
          <w:i w:val="false"/>
          <w:color w:val="000000"/>
          <w:sz w:val="28"/>
        </w:rPr>
        <w:t>
      индексацию арендных платежей в соответствии с коэффициентом инфляции на момент индексации 1 (один) раз в три года;</w:t>
      </w:r>
    </w:p>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налога на имущество, земельного налога, коммунальных и прочих эксплуатационных расходов;</w:t>
      </w:r>
    </w:p>
    <w:p>
      <w:pPr>
        <w:spacing w:after="0"/>
        <w:ind w:left="0"/>
        <w:jc w:val="both"/>
      </w:pPr>
      <w:r>
        <w:rPr>
          <w:rFonts w:ascii="Times New Roman"/>
          <w:b w:val="false"/>
          <w:i w:val="false"/>
          <w:color w:val="000000"/>
          <w:sz w:val="28"/>
        </w:rPr>
        <w:t>
      условие о возможном привлечении арендатором гарантов по внесению арендных платежей при недостаточности доходов;</w:t>
      </w:r>
    </w:p>
    <w:p>
      <w:pPr>
        <w:spacing w:after="0"/>
        <w:ind w:left="0"/>
        <w:jc w:val="both"/>
      </w:pPr>
      <w:r>
        <w:rPr>
          <w:rFonts w:ascii="Times New Roman"/>
          <w:b w:val="false"/>
          <w:i w:val="false"/>
          <w:color w:val="000000"/>
          <w:sz w:val="28"/>
        </w:rPr>
        <w:t>
      условие о ремонте арендатором арендного жилья;</w:t>
      </w:r>
    </w:p>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случае поступления информации о выезде арендатора с места жительства, приобретения жилья, получения коммунального жилья или арендного жилья с выкупом, в случае исключения из учета нуждающихся в жилище, невнесения арендных платежей и неисполнения обязательств по договору.</w:t>
      </w:r>
    </w:p>
    <w:p>
      <w:pPr>
        <w:spacing w:after="0"/>
        <w:ind w:left="0"/>
        <w:jc w:val="both"/>
      </w:pPr>
      <w:r>
        <w:rPr>
          <w:rFonts w:ascii="Times New Roman"/>
          <w:b w:val="false"/>
          <w:i w:val="false"/>
          <w:color w:val="000000"/>
          <w:sz w:val="28"/>
        </w:rPr>
        <w:t>
      Порядок и условия пролонгации договоров аренды определяются АО "ИО "КИК" за 2 (два) месяца до истечения срока аренды на основании предоставленных арендатором документов, подтверждающих нуждаемость в жилище, и/или информации МИО о получении арендатором жилища из коммунального жилищного фонда, предоставляемого в течение месяца со дня принятия решения.</w:t>
      </w:r>
    </w:p>
    <w:p>
      <w:pPr>
        <w:spacing w:after="0"/>
        <w:ind w:left="0"/>
        <w:jc w:val="both"/>
      </w:pPr>
      <w:r>
        <w:rPr>
          <w:rFonts w:ascii="Times New Roman"/>
          <w:b w:val="false"/>
          <w:i w:val="false"/>
          <w:color w:val="000000"/>
          <w:sz w:val="28"/>
        </w:rPr>
        <w:t>
      Порядок заключения договоров аренды и условия аренды для работников государственных и негосударственных юридических лиц (участники группы IV) определяются в соответствии с заключаемыми АО ИО "КИК" соглашениями/меморандумами.</w:t>
      </w:r>
    </w:p>
    <w:p>
      <w:pPr>
        <w:spacing w:after="0"/>
        <w:ind w:left="0"/>
        <w:jc w:val="both"/>
      </w:pPr>
      <w:r>
        <w:rPr>
          <w:rFonts w:ascii="Times New Roman"/>
          <w:b w:val="false"/>
          <w:i w:val="false"/>
          <w:color w:val="000000"/>
          <w:sz w:val="28"/>
        </w:rPr>
        <w:t>
      3. АО "ИО "КИК":</w:t>
      </w:r>
    </w:p>
    <w:p>
      <w:pPr>
        <w:spacing w:after="0"/>
        <w:ind w:left="0"/>
        <w:jc w:val="both"/>
      </w:pPr>
      <w:r>
        <w:rPr>
          <w:rFonts w:ascii="Times New Roman"/>
          <w:b w:val="false"/>
          <w:i w:val="false"/>
          <w:color w:val="000000"/>
          <w:sz w:val="28"/>
        </w:rPr>
        <w:t>
      1) заключает договоры аренды с участниками (арендаторами) Программы;</w:t>
      </w:r>
    </w:p>
    <w:p>
      <w:pPr>
        <w:spacing w:after="0"/>
        <w:ind w:left="0"/>
        <w:jc w:val="both"/>
      </w:pPr>
      <w:r>
        <w:rPr>
          <w:rFonts w:ascii="Times New Roman"/>
          <w:b w:val="false"/>
          <w:i w:val="false"/>
          <w:color w:val="000000"/>
          <w:sz w:val="28"/>
        </w:rPr>
        <w:t>
      2) передает жилье в аренду;</w:t>
      </w:r>
    </w:p>
    <w:p>
      <w:pPr>
        <w:spacing w:after="0"/>
        <w:ind w:left="0"/>
        <w:jc w:val="both"/>
      </w:pPr>
      <w:r>
        <w:rPr>
          <w:rFonts w:ascii="Times New Roman"/>
          <w:b w:val="false"/>
          <w:i w:val="false"/>
          <w:color w:val="000000"/>
          <w:sz w:val="28"/>
        </w:rPr>
        <w:t>
      3) осуществляет прием и мониторинг ежемесячных арендных платежей;</w:t>
      </w:r>
    </w:p>
    <w:p>
      <w:pPr>
        <w:spacing w:after="0"/>
        <w:ind w:left="0"/>
        <w:jc w:val="both"/>
      </w:pPr>
      <w:r>
        <w:rPr>
          <w:rFonts w:ascii="Times New Roman"/>
          <w:b w:val="false"/>
          <w:i w:val="false"/>
          <w:color w:val="000000"/>
          <w:sz w:val="28"/>
        </w:rPr>
        <w:t>
      4) при условии надлежащего выполнения арендатором обязательств по договору аренды с выкупом передает ему в собственность арендное жилье;</w:t>
      </w:r>
    </w:p>
    <w:p>
      <w:pPr>
        <w:spacing w:after="0"/>
        <w:ind w:left="0"/>
        <w:jc w:val="both"/>
      </w:pPr>
      <w:r>
        <w:rPr>
          <w:rFonts w:ascii="Times New Roman"/>
          <w:b w:val="false"/>
          <w:i w:val="false"/>
          <w:color w:val="000000"/>
          <w:sz w:val="28"/>
        </w:rPr>
        <w:t>
      5) осуществляет иные мероприятия в соответствии с законодательством Республики Казахстан, внутренними документами АО "ИО "КИК" и договорами аренды.</w:t>
      </w:r>
    </w:p>
    <w:p>
      <w:pPr>
        <w:spacing w:after="0"/>
        <w:ind w:left="0"/>
        <w:jc w:val="both"/>
      </w:pPr>
      <w:r>
        <w:rPr>
          <w:rFonts w:ascii="Times New Roman"/>
          <w:b w:val="false"/>
          <w:i w:val="false"/>
          <w:color w:val="000000"/>
          <w:sz w:val="28"/>
        </w:rPr>
        <w:t>
      4. Участники Программы:</w:t>
      </w:r>
    </w:p>
    <w:p>
      <w:pPr>
        <w:spacing w:after="0"/>
        <w:ind w:left="0"/>
        <w:jc w:val="both"/>
      </w:pPr>
      <w:r>
        <w:rPr>
          <w:rFonts w:ascii="Times New Roman"/>
          <w:b w:val="false"/>
          <w:i w:val="false"/>
          <w:color w:val="000000"/>
          <w:sz w:val="28"/>
        </w:rPr>
        <w:t>
      1) при включении в список потенциальных арендаторов заключают с АО "ИО "КИК" соответствующие договоры аренды;</w:t>
      </w:r>
    </w:p>
    <w:p>
      <w:pPr>
        <w:spacing w:after="0"/>
        <w:ind w:left="0"/>
        <w:jc w:val="both"/>
      </w:pPr>
      <w:r>
        <w:rPr>
          <w:rFonts w:ascii="Times New Roman"/>
          <w:b w:val="false"/>
          <w:i w:val="false"/>
          <w:color w:val="000000"/>
          <w:sz w:val="28"/>
        </w:rPr>
        <w:t>
      2) обеспечивают обязательную государственную регистрацию договора аренды в уполномоченном органе по регистрации прав на недвижимое имущество;</w:t>
      </w:r>
    </w:p>
    <w:p>
      <w:pPr>
        <w:spacing w:after="0"/>
        <w:ind w:left="0"/>
        <w:jc w:val="both"/>
      </w:pPr>
      <w:r>
        <w:rPr>
          <w:rFonts w:ascii="Times New Roman"/>
          <w:b w:val="false"/>
          <w:i w:val="false"/>
          <w:color w:val="000000"/>
          <w:sz w:val="28"/>
        </w:rPr>
        <w:t>
      3) принимает жилье в аренду;</w:t>
      </w:r>
    </w:p>
    <w:p>
      <w:pPr>
        <w:spacing w:after="0"/>
        <w:ind w:left="0"/>
        <w:jc w:val="both"/>
      </w:pPr>
      <w:r>
        <w:rPr>
          <w:rFonts w:ascii="Times New Roman"/>
          <w:b w:val="false"/>
          <w:i w:val="false"/>
          <w:color w:val="000000"/>
          <w:sz w:val="28"/>
        </w:rPr>
        <w:t>
      4) осуществляют своевременную оплату ежемесячных арендных платежей, расходов за содержание имущества, в том числе налога на имущество, земельного налога, коммунальных и прочих эксплуатационных расходов;</w:t>
      </w:r>
    </w:p>
    <w:p>
      <w:pPr>
        <w:spacing w:after="0"/>
        <w:ind w:left="0"/>
        <w:jc w:val="both"/>
      </w:pPr>
      <w:r>
        <w:rPr>
          <w:rFonts w:ascii="Times New Roman"/>
          <w:b w:val="false"/>
          <w:i w:val="false"/>
          <w:color w:val="000000"/>
          <w:sz w:val="28"/>
        </w:rPr>
        <w:t>
      5) исполняют иные обязательства в соответствии с внутренними документами АО "ИО "КИК" и договорами аренды.</w:t>
      </w:r>
    </w:p>
    <w:p>
      <w:pPr>
        <w:spacing w:after="0"/>
        <w:ind w:left="0"/>
        <w:jc w:val="left"/>
      </w:pPr>
      <w:r>
        <w:rPr>
          <w:rFonts w:ascii="Times New Roman"/>
          <w:b/>
          <w:i w:val="false"/>
          <w:color w:val="000000"/>
        </w:rPr>
        <w:t xml:space="preserve"> 8. Процедуры реализации жилья по направлению</w:t>
      </w:r>
      <w:r>
        <w:br/>
      </w:r>
      <w:r>
        <w:rPr>
          <w:rFonts w:ascii="Times New Roman"/>
          <w:b/>
          <w:i w:val="false"/>
          <w:color w:val="000000"/>
        </w:rPr>
        <w:t>"Жилье АО "Фонд недвижимости "Самрук-Қазына"</w:t>
      </w:r>
    </w:p>
    <w:p>
      <w:pPr>
        <w:spacing w:after="0"/>
        <w:ind w:left="0"/>
        <w:jc w:val="both"/>
      </w:pPr>
      <w:r>
        <w:rPr>
          <w:rFonts w:ascii="Times New Roman"/>
          <w:b w:val="false"/>
          <w:i w:val="false"/>
          <w:color w:val="000000"/>
          <w:sz w:val="28"/>
        </w:rPr>
        <w:t>
      Реализация жилья и коммерческих (нежилых) помещений Фондом недвижимости осуществляется путем аренды, аренды с выкупом и прямой продажи в следующем порядке:</w:t>
      </w:r>
    </w:p>
    <w:p>
      <w:pPr>
        <w:spacing w:after="0"/>
        <w:ind w:left="0"/>
        <w:jc w:val="both"/>
      </w:pPr>
      <w:r>
        <w:rPr>
          <w:rFonts w:ascii="Times New Roman"/>
          <w:b w:val="false"/>
          <w:i w:val="false"/>
          <w:color w:val="000000"/>
          <w:sz w:val="28"/>
        </w:rPr>
        <w:t>
      1. Реализация жилья Фонд недвижимости через МИО:</w:t>
      </w:r>
    </w:p>
    <w:p>
      <w:pPr>
        <w:spacing w:after="0"/>
        <w:ind w:left="0"/>
        <w:jc w:val="both"/>
      </w:pPr>
      <w:r>
        <w:rPr>
          <w:rFonts w:ascii="Times New Roman"/>
          <w:b w:val="false"/>
          <w:i w:val="false"/>
          <w:color w:val="000000"/>
          <w:sz w:val="28"/>
        </w:rPr>
        <w:t>
      1) подписание с МИО типового соглашения о сотрудничестве по распределению жилья;</w:t>
      </w:r>
    </w:p>
    <w:p>
      <w:pPr>
        <w:spacing w:after="0"/>
        <w:ind w:left="0"/>
        <w:jc w:val="both"/>
      </w:pPr>
      <w:r>
        <w:rPr>
          <w:rFonts w:ascii="Times New Roman"/>
          <w:b w:val="false"/>
          <w:i w:val="false"/>
          <w:color w:val="000000"/>
          <w:sz w:val="28"/>
        </w:rPr>
        <w:t>
      2) направление в МИО списков жилых помещений, определенных к реализации через МИО, в соответствии с внутренними документами Фонда недвижимости, с информацией о характеристиках по реализации (количество и площади, размеры ежемесячных арендных платежей, цены продажи, а также способы реализации по каждому типу квартир) не менее чем за 6 (шесть) месяцев до даты завершения строительства;</w:t>
      </w:r>
    </w:p>
    <w:p>
      <w:pPr>
        <w:spacing w:after="0"/>
        <w:ind w:left="0"/>
        <w:jc w:val="both"/>
      </w:pPr>
      <w:r>
        <w:rPr>
          <w:rFonts w:ascii="Times New Roman"/>
          <w:b w:val="false"/>
          <w:i w:val="false"/>
          <w:color w:val="000000"/>
          <w:sz w:val="28"/>
        </w:rPr>
        <w:t xml:space="preserve">
      3) направление соответствующим финансовым институтам методики расчета максимальной суммы арендных платежей, определяемой внутренними правилами Фонда недвижимости; </w:t>
      </w:r>
    </w:p>
    <w:p>
      <w:pPr>
        <w:spacing w:after="0"/>
        <w:ind w:left="0"/>
        <w:jc w:val="both"/>
      </w:pPr>
      <w:r>
        <w:rPr>
          <w:rFonts w:ascii="Times New Roman"/>
          <w:b w:val="false"/>
          <w:i w:val="false"/>
          <w:color w:val="000000"/>
          <w:sz w:val="28"/>
        </w:rPr>
        <w:t xml:space="preserve">
      4) получение от МИО утвержденных списков отобранных претендентов Программы в сроки и порядке, предусмотренном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5) предоставление, в том числе аффилиированной компанией, претендентам возможности выбора квартир согласно очередности определяемой порядковым номером в предоставленных списках МИО, закрепление за ними жилья и заключение договоров аренды с выкупом или купли-продажи, условия которых определяются внутренними правилами Фонд недвижимости.</w:t>
      </w:r>
    </w:p>
    <w:p>
      <w:pPr>
        <w:spacing w:after="0"/>
        <w:ind w:left="0"/>
        <w:jc w:val="both"/>
      </w:pPr>
      <w:r>
        <w:rPr>
          <w:rFonts w:ascii="Times New Roman"/>
          <w:b w:val="false"/>
          <w:i w:val="false"/>
          <w:color w:val="000000"/>
          <w:sz w:val="28"/>
        </w:rPr>
        <w:t>
      2. Фонд недвижимости (аффилиированная компания) имеет право отказать физическому лицу из пула МИО в распределении жилого помещения в случаях:</w:t>
      </w:r>
    </w:p>
    <w:p>
      <w:pPr>
        <w:spacing w:after="0"/>
        <w:ind w:left="0"/>
        <w:jc w:val="both"/>
      </w:pPr>
      <w:r>
        <w:rPr>
          <w:rFonts w:ascii="Times New Roman"/>
          <w:b w:val="false"/>
          <w:i w:val="false"/>
          <w:color w:val="000000"/>
          <w:sz w:val="28"/>
        </w:rPr>
        <w:t>
      1) недостаточности платежеспособности для оплаты ежемесячных арендных платежей;</w:t>
      </w:r>
    </w:p>
    <w:p>
      <w:pPr>
        <w:spacing w:after="0"/>
        <w:ind w:left="0"/>
        <w:jc w:val="both"/>
      </w:pPr>
      <w:r>
        <w:rPr>
          <w:rFonts w:ascii="Times New Roman"/>
          <w:b w:val="false"/>
          <w:i w:val="false"/>
          <w:color w:val="000000"/>
          <w:sz w:val="28"/>
        </w:rPr>
        <w:t>
      2) неоплаты необходимой суммы гарантийного взноса при заключении договора аренды с выкупом или суммы средств, необходимой для заключения договора купли-продажи;</w:t>
      </w:r>
    </w:p>
    <w:p>
      <w:pPr>
        <w:spacing w:after="0"/>
        <w:ind w:left="0"/>
        <w:jc w:val="both"/>
      </w:pPr>
      <w:r>
        <w:rPr>
          <w:rFonts w:ascii="Times New Roman"/>
          <w:b w:val="false"/>
          <w:i w:val="false"/>
          <w:color w:val="000000"/>
          <w:sz w:val="28"/>
        </w:rPr>
        <w:t>
      3) непредставления требуемых документов в срок 40 (сорок) календарных дней, со дня утверждения списка МИО.</w:t>
      </w:r>
    </w:p>
    <w:p>
      <w:pPr>
        <w:spacing w:after="0"/>
        <w:ind w:left="0"/>
        <w:jc w:val="both"/>
      </w:pPr>
      <w:r>
        <w:rPr>
          <w:rFonts w:ascii="Times New Roman"/>
          <w:b w:val="false"/>
          <w:i w:val="false"/>
          <w:color w:val="000000"/>
          <w:sz w:val="28"/>
        </w:rPr>
        <w:t>
      Фонд недвижимости направляет в МИО соответствующую информацию о лицах, которым отказано в заключение договоров купли-продажи или аренды.</w:t>
      </w:r>
    </w:p>
    <w:p>
      <w:pPr>
        <w:spacing w:after="0"/>
        <w:ind w:left="0"/>
        <w:jc w:val="both"/>
      </w:pPr>
      <w:r>
        <w:rPr>
          <w:rFonts w:ascii="Times New Roman"/>
          <w:b w:val="false"/>
          <w:i w:val="false"/>
          <w:color w:val="000000"/>
          <w:sz w:val="28"/>
        </w:rPr>
        <w:t>
      3. Жилье Фонда недвижимости, не определенное к реализации через МИО, а также жилье, не распределенное в соответствии с подпунктом 1 настоящего подраздела, и коммерческие (нежилые) помещения подлежат реализации в соответствии с внутренними правилами Фонда недвижимости.</w:t>
      </w:r>
    </w:p>
    <w:p>
      <w:pPr>
        <w:spacing w:after="0"/>
        <w:ind w:left="0"/>
        <w:jc w:val="both"/>
      </w:pPr>
      <w:r>
        <w:rPr>
          <w:rFonts w:ascii="Times New Roman"/>
          <w:b w:val="false"/>
          <w:i w:val="false"/>
          <w:color w:val="000000"/>
          <w:sz w:val="28"/>
        </w:rPr>
        <w:t>
      Распределение жилья в аренду с выкупом производится с соблюдением принципа предоставления приоритетности лицам, не имеющим жилья или нуждающимся в улучшении жилищных условий.</w:t>
      </w:r>
    </w:p>
    <w:p>
      <w:pPr>
        <w:spacing w:after="0"/>
        <w:ind w:left="0"/>
        <w:jc w:val="both"/>
      </w:pPr>
      <w:r>
        <w:rPr>
          <w:rFonts w:ascii="Times New Roman"/>
          <w:b w:val="false"/>
          <w:i w:val="false"/>
          <w:color w:val="000000"/>
          <w:sz w:val="28"/>
        </w:rPr>
        <w:t xml:space="preserve">
      4. Размер арендной платы определяется, исходя из принципов возвратности выделенных средств на финансирование строительства и финансовой устойчивости Фонда недвижимости. </w:t>
      </w:r>
    </w:p>
    <w:p>
      <w:pPr>
        <w:spacing w:after="0"/>
        <w:ind w:left="0"/>
        <w:jc w:val="both"/>
      </w:pPr>
      <w:r>
        <w:rPr>
          <w:rFonts w:ascii="Times New Roman"/>
          <w:b w:val="false"/>
          <w:i w:val="false"/>
          <w:color w:val="000000"/>
          <w:sz w:val="28"/>
        </w:rPr>
        <w:t xml:space="preserve">
      Между Фондом недвижимости (аффилиированной компанией Фонда недвижимости) и арендатором заключается договор аренды с выкупом. При этом, договором аренды с выкупом может быть предусмотрено право на досрочное приобретение жилых помещений в собственность арендатором. </w:t>
      </w:r>
    </w:p>
    <w:p>
      <w:pPr>
        <w:spacing w:after="0"/>
        <w:ind w:left="0"/>
        <w:jc w:val="both"/>
      </w:pPr>
      <w:r>
        <w:rPr>
          <w:rFonts w:ascii="Times New Roman"/>
          <w:b w:val="false"/>
          <w:i w:val="false"/>
          <w:color w:val="000000"/>
          <w:sz w:val="28"/>
        </w:rPr>
        <w:t>
      Физические лица могут реализовать свое право на приобретение жилых помещений, в том числе на условиях аренды с выкупом не более одного раза.</w:t>
      </w:r>
    </w:p>
    <w:p>
      <w:pPr>
        <w:spacing w:after="0"/>
        <w:ind w:left="0"/>
        <w:jc w:val="both"/>
      </w:pPr>
      <w:r>
        <w:rPr>
          <w:rFonts w:ascii="Times New Roman"/>
          <w:b w:val="false"/>
          <w:i w:val="false"/>
          <w:color w:val="000000"/>
          <w:sz w:val="28"/>
        </w:rPr>
        <w:t>
      Реализация жилых помещений Фондом недвижимости в аренду с выкупом будет осуществляться до 15 лет.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w:t>
      </w:r>
    </w:p>
    <w:p>
      <w:pPr>
        <w:spacing w:after="0"/>
        <w:ind w:left="0"/>
        <w:jc w:val="left"/>
      </w:pPr>
      <w:r>
        <w:rPr>
          <w:rFonts w:ascii="Times New Roman"/>
          <w:b/>
          <w:i w:val="false"/>
          <w:color w:val="000000"/>
        </w:rPr>
        <w:t xml:space="preserve"> 3. Механизмы жилищного строительства</w:t>
      </w:r>
      <w:r>
        <w:br/>
      </w:r>
      <w:r>
        <w:rPr>
          <w:rFonts w:ascii="Times New Roman"/>
          <w:b/>
          <w:i w:val="false"/>
          <w:color w:val="000000"/>
        </w:rPr>
        <w:t>1. Механизмы строительства МИО жилья по направлениям "Жилье для очередников МИО" и "Жилье по линии ЖССБК"</w:t>
      </w:r>
    </w:p>
    <w:p>
      <w:pPr>
        <w:spacing w:after="0"/>
        <w:ind w:left="0"/>
        <w:jc w:val="both"/>
      </w:pPr>
      <w:r>
        <w:rPr>
          <w:rFonts w:ascii="Times New Roman"/>
          <w:b w:val="false"/>
          <w:i w:val="false"/>
          <w:color w:val="000000"/>
          <w:sz w:val="28"/>
        </w:rPr>
        <w:t>
      1. Условия финансирования строительства жилья.</w:t>
      </w:r>
    </w:p>
    <w:p>
      <w:pPr>
        <w:spacing w:after="0"/>
        <w:ind w:left="0"/>
        <w:jc w:val="both"/>
      </w:pPr>
      <w:r>
        <w:rPr>
          <w:rFonts w:ascii="Times New Roman"/>
          <w:b w:val="false"/>
          <w:i w:val="false"/>
          <w:color w:val="000000"/>
          <w:sz w:val="28"/>
        </w:rPr>
        <w:t>
      1) Правительство Республики Казахстан выделяет из республиканского бюджета МИО:</w:t>
      </w:r>
    </w:p>
    <w:p>
      <w:pPr>
        <w:spacing w:after="0"/>
        <w:ind w:left="0"/>
        <w:jc w:val="both"/>
      </w:pPr>
      <w:r>
        <w:rPr>
          <w:rFonts w:ascii="Times New Roman"/>
          <w:b w:val="false"/>
          <w:i w:val="false"/>
          <w:color w:val="000000"/>
          <w:sz w:val="28"/>
        </w:rPr>
        <w:t>
      кредиты для реализации направления "Жилье для всех категорий населения" по линии ЖССБК по ставке 0,01 % годовых;</w:t>
      </w:r>
    </w:p>
    <w:p>
      <w:pPr>
        <w:spacing w:after="0"/>
        <w:ind w:left="0"/>
        <w:jc w:val="both"/>
      </w:pPr>
      <w:r>
        <w:rPr>
          <w:rFonts w:ascii="Times New Roman"/>
          <w:b w:val="false"/>
          <w:i w:val="false"/>
          <w:color w:val="000000"/>
          <w:sz w:val="28"/>
        </w:rPr>
        <w:t>
      целевые трансферты для реализации направлений "Жилье для очередников МИО" и "Жилье для молодых семей" по линии ЖССБК;</w:t>
      </w:r>
    </w:p>
    <w:p>
      <w:pPr>
        <w:spacing w:after="0"/>
        <w:ind w:left="0"/>
        <w:jc w:val="both"/>
      </w:pPr>
      <w:r>
        <w:rPr>
          <w:rFonts w:ascii="Times New Roman"/>
          <w:b w:val="false"/>
          <w:i w:val="false"/>
          <w:color w:val="000000"/>
          <w:sz w:val="28"/>
        </w:rPr>
        <w:t>
      целевые трансферты для проектирования, развития, обустройства и приобретения инженерно–коммуникационной инфраструктуры.</w:t>
      </w:r>
    </w:p>
    <w:p>
      <w:pPr>
        <w:spacing w:after="0"/>
        <w:ind w:left="0"/>
        <w:jc w:val="both"/>
      </w:pPr>
      <w:r>
        <w:rPr>
          <w:rFonts w:ascii="Times New Roman"/>
          <w:b w:val="false"/>
          <w:i w:val="false"/>
          <w:color w:val="000000"/>
          <w:sz w:val="28"/>
        </w:rPr>
        <w:t>
      2) Погашение МИО бюджетного кредита по направлению "Жилье для всех категорий населения" согласно условиям кредитования.</w:t>
      </w:r>
    </w:p>
    <w:p>
      <w:pPr>
        <w:spacing w:after="0"/>
        <w:ind w:left="0"/>
        <w:jc w:val="both"/>
      </w:pPr>
      <w:r>
        <w:rPr>
          <w:rFonts w:ascii="Times New Roman"/>
          <w:b w:val="false"/>
          <w:i w:val="false"/>
          <w:color w:val="000000"/>
          <w:sz w:val="28"/>
        </w:rPr>
        <w:t>
      3) При строительстве жилья и ИКИ МИО могут привлекать социально-предпринимательские корпорации (далее – СПК). В случае реализации проектов через СПК, МИО выделяет соответственно в зависимости от направлений бюджетный кредит или целевой трансферт СПК для осуществления строительства жилья.</w:t>
      </w:r>
    </w:p>
    <w:p>
      <w:pPr>
        <w:spacing w:after="0"/>
        <w:ind w:left="0"/>
        <w:jc w:val="both"/>
      </w:pPr>
      <w:r>
        <w:rPr>
          <w:rFonts w:ascii="Times New Roman"/>
          <w:b w:val="false"/>
          <w:i w:val="false"/>
          <w:color w:val="000000"/>
          <w:sz w:val="28"/>
        </w:rPr>
        <w:t>
      2. Механизм строительства МИО жилья:</w:t>
      </w:r>
    </w:p>
    <w:p>
      <w:pPr>
        <w:spacing w:after="0"/>
        <w:ind w:left="0"/>
        <w:jc w:val="both"/>
      </w:pPr>
      <w:r>
        <w:rPr>
          <w:rFonts w:ascii="Times New Roman"/>
          <w:b w:val="false"/>
          <w:i w:val="false"/>
          <w:color w:val="000000"/>
          <w:sz w:val="28"/>
        </w:rPr>
        <w:t xml:space="preserve">
      проектирование, строительство, реконструкция и (или) приобретение готового жилья у частных застройщиков по направлению "Жилье для очередников МИО"; </w:t>
      </w:r>
    </w:p>
    <w:p>
      <w:pPr>
        <w:spacing w:after="0"/>
        <w:ind w:left="0"/>
        <w:jc w:val="both"/>
      </w:pPr>
      <w:r>
        <w:rPr>
          <w:rFonts w:ascii="Times New Roman"/>
          <w:b w:val="false"/>
          <w:i w:val="false"/>
          <w:color w:val="000000"/>
          <w:sz w:val="28"/>
        </w:rPr>
        <w:t xml:space="preserve">
      проектирование, строительство и (или) приобретение готового жилья у частных застройщиков по направлению "Жилье по линии ЖССБК" в рамках заключенных соглашений о намерениях по сотрудничеству. Порядок взаимодействия МИО и ЖССБК указан в пункте 1 </w:t>
      </w:r>
      <w:r>
        <w:rPr>
          <w:rFonts w:ascii="Times New Roman"/>
          <w:b w:val="false"/>
          <w:i w:val="false"/>
          <w:color w:val="000000"/>
          <w:sz w:val="28"/>
        </w:rPr>
        <w:t>подраздела 2</w:t>
      </w:r>
      <w:r>
        <w:rPr>
          <w:rFonts w:ascii="Times New Roman"/>
          <w:b w:val="false"/>
          <w:i w:val="false"/>
          <w:color w:val="000000"/>
          <w:sz w:val="28"/>
        </w:rPr>
        <w:t xml:space="preserve"> настоящего раздела;</w:t>
      </w:r>
    </w:p>
    <w:p>
      <w:pPr>
        <w:spacing w:after="0"/>
        <w:ind w:left="0"/>
        <w:jc w:val="both"/>
      </w:pPr>
      <w:r>
        <w:rPr>
          <w:rFonts w:ascii="Times New Roman"/>
          <w:b w:val="false"/>
          <w:i w:val="false"/>
          <w:color w:val="000000"/>
          <w:sz w:val="28"/>
        </w:rPr>
        <w:t xml:space="preserve">
      проектирование, развитие и обустройство ИКИ, а также приобретение у частных застройщиков ИКИ (за исключением внутренних сетей жилого объекта до точек подключения к наружным, внутриквартальным и магистральным сетям, благоустройства внутридворовых территорий); </w:t>
      </w:r>
    </w:p>
    <w:p>
      <w:pPr>
        <w:spacing w:after="0"/>
        <w:ind w:left="0"/>
        <w:jc w:val="both"/>
      </w:pPr>
      <w:r>
        <w:rPr>
          <w:rFonts w:ascii="Times New Roman"/>
          <w:b w:val="false"/>
          <w:i w:val="false"/>
          <w:color w:val="000000"/>
          <w:sz w:val="28"/>
        </w:rPr>
        <w:t>
      определение земельных участков под строительство и подведение к ним ИКИ в соответствии с утвержденными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3. Требования к проектам и ценовые ориентиры.</w:t>
      </w:r>
    </w:p>
    <w:p>
      <w:pPr>
        <w:spacing w:after="0"/>
        <w:ind w:left="0"/>
        <w:jc w:val="both"/>
      </w:pPr>
      <w:r>
        <w:rPr>
          <w:rFonts w:ascii="Times New Roman"/>
          <w:b w:val="false"/>
          <w:i w:val="false"/>
          <w:color w:val="000000"/>
          <w:sz w:val="28"/>
        </w:rPr>
        <w:t>
      1) Жилье по уровню комфортности должно быть:</w:t>
      </w:r>
    </w:p>
    <w:p>
      <w:pPr>
        <w:spacing w:after="0"/>
        <w:ind w:left="0"/>
        <w:jc w:val="both"/>
      </w:pPr>
      <w:r>
        <w:rPr>
          <w:rFonts w:ascii="Times New Roman"/>
          <w:b w:val="false"/>
          <w:i w:val="false"/>
          <w:color w:val="000000"/>
          <w:sz w:val="28"/>
        </w:rPr>
        <w:t>
      по направлению "Жилье для очередников МИО" – 4-го класса;</w:t>
      </w:r>
    </w:p>
    <w:p>
      <w:pPr>
        <w:spacing w:after="0"/>
        <w:ind w:left="0"/>
        <w:jc w:val="both"/>
      </w:pPr>
      <w:r>
        <w:rPr>
          <w:rFonts w:ascii="Times New Roman"/>
          <w:b w:val="false"/>
          <w:i w:val="false"/>
          <w:color w:val="000000"/>
          <w:sz w:val="28"/>
        </w:rPr>
        <w:t xml:space="preserve">
      по направлению "Жилье по линии ЖССБК" – 3-го и 4-го классов. </w:t>
      </w:r>
    </w:p>
    <w:p>
      <w:pPr>
        <w:spacing w:after="0"/>
        <w:ind w:left="0"/>
        <w:jc w:val="both"/>
      </w:pPr>
      <w:r>
        <w:rPr>
          <w:rFonts w:ascii="Times New Roman"/>
          <w:b w:val="false"/>
          <w:i w:val="false"/>
          <w:color w:val="000000"/>
          <w:sz w:val="28"/>
        </w:rPr>
        <w:t>
      Площадь жилищ должна составлять от 35 до 75 кв. метров.</w:t>
      </w:r>
    </w:p>
    <w:p>
      <w:pPr>
        <w:spacing w:after="0"/>
        <w:ind w:left="0"/>
        <w:jc w:val="both"/>
      </w:pPr>
      <w:r>
        <w:rPr>
          <w:rFonts w:ascii="Times New Roman"/>
          <w:b w:val="false"/>
          <w:i w:val="false"/>
          <w:color w:val="000000"/>
          <w:sz w:val="28"/>
        </w:rPr>
        <w:t>
      2) Ценовые параметры строительства.</w:t>
      </w:r>
    </w:p>
    <w:p>
      <w:pPr>
        <w:spacing w:after="0"/>
        <w:ind w:left="0"/>
        <w:jc w:val="both"/>
      </w:pPr>
      <w:r>
        <w:rPr>
          <w:rFonts w:ascii="Times New Roman"/>
          <w:b w:val="false"/>
          <w:i w:val="false"/>
          <w:color w:val="000000"/>
          <w:sz w:val="28"/>
        </w:rPr>
        <w:t>
      Стоимость строительства и (или) приобретения у частных застройщиков 1 квадратного метра жилища 4 класса комфортности по направлению "Жилье для очередников МИО" не будет превышать 90 тыс. тенге в регионах (без стоимости инженерных сетей и учета сейсмичности региона) и в городах Астане и Алматы – до 120 тыс. тенге (без стоимости инженерных сетей).</w:t>
      </w:r>
    </w:p>
    <w:p>
      <w:pPr>
        <w:spacing w:after="0"/>
        <w:ind w:left="0"/>
        <w:jc w:val="both"/>
      </w:pPr>
      <w:r>
        <w:rPr>
          <w:rFonts w:ascii="Times New Roman"/>
          <w:b w:val="false"/>
          <w:i w:val="false"/>
          <w:color w:val="000000"/>
          <w:sz w:val="28"/>
        </w:rPr>
        <w:t>
      Цена реализации жилища за 1 квадратный метр в чистовой отделке по направлению "Жилье по линии ЖССБК" будет составлять:</w:t>
      </w:r>
    </w:p>
    <w:p>
      <w:pPr>
        <w:spacing w:after="0"/>
        <w:ind w:left="0"/>
        <w:jc w:val="both"/>
      </w:pPr>
      <w:r>
        <w:rPr>
          <w:rFonts w:ascii="Times New Roman"/>
          <w:b w:val="false"/>
          <w:i w:val="false"/>
          <w:color w:val="000000"/>
          <w:sz w:val="28"/>
        </w:rPr>
        <w:t>
      4 класса комфортности – до 120 тыс. тенге в городах Астане и Алматы (без стоимости инженерных сетей), до 110 тыс. тенге – в городах Атырау, Усть-Каменогорск и Актау (без стоимости инженерных сетей), до 90 тыс. тенге – в остальных регионах (без стоимости инженерных сетей и учета сейсмичности региона);</w:t>
      </w:r>
    </w:p>
    <w:p>
      <w:pPr>
        <w:spacing w:after="0"/>
        <w:ind w:left="0"/>
        <w:jc w:val="both"/>
      </w:pPr>
      <w:r>
        <w:rPr>
          <w:rFonts w:ascii="Times New Roman"/>
          <w:b w:val="false"/>
          <w:i w:val="false"/>
          <w:color w:val="000000"/>
          <w:sz w:val="28"/>
        </w:rPr>
        <w:t>
      3 класса комфортности – до 142,5 тыс. тенге в городах Астане и Алматы (без стоимости инженерных сетей), до 115 тыс. тенге – в городах Атырау, Усть-Каменогорск и Актау (без стоимости инженерных сетей), до 100 тыс. тенге – в остальных регионах (без стоимости инженерных сетей и учета сейсмичности региона);</w:t>
      </w:r>
    </w:p>
    <w:p>
      <w:pPr>
        <w:spacing w:after="0"/>
        <w:ind w:left="0"/>
        <w:jc w:val="both"/>
      </w:pPr>
      <w:r>
        <w:rPr>
          <w:rFonts w:ascii="Times New Roman"/>
          <w:b w:val="false"/>
          <w:i w:val="false"/>
          <w:color w:val="000000"/>
          <w:sz w:val="28"/>
        </w:rPr>
        <w:t xml:space="preserve">
      в зоне особого градостроительного регулирования, прилегающих к границе города Алматы территориях Алматинской области, цена реализации за 1 квадратный метр в чистовой отделке предусматривается аналогичной ценам жилья 3-го и 4-го классов комфортности по городу Алматы. Зона особого градостроительного регулирования определена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октября 2010 года № 1097 "О Генеральном плане пригородной зоны города Алматы (Комплексная схема градостроительного планирования территорий)".</w:t>
      </w:r>
    </w:p>
    <w:p>
      <w:pPr>
        <w:spacing w:after="0"/>
        <w:ind w:left="0"/>
        <w:jc w:val="both"/>
      </w:pPr>
      <w:r>
        <w:rPr>
          <w:rFonts w:ascii="Times New Roman"/>
          <w:b w:val="false"/>
          <w:i w:val="false"/>
          <w:color w:val="000000"/>
          <w:sz w:val="28"/>
        </w:rPr>
        <w:t>
      Для районов с повышенной сейсмичностью допускаются поправочные коэффициенты к стоимости строительства одного квадратного метра жилища:</w:t>
      </w:r>
    </w:p>
    <w:p>
      <w:pPr>
        <w:spacing w:after="0"/>
        <w:ind w:left="0"/>
        <w:jc w:val="both"/>
      </w:pPr>
      <w:r>
        <w:rPr>
          <w:rFonts w:ascii="Times New Roman"/>
          <w:b w:val="false"/>
          <w:i w:val="false"/>
          <w:color w:val="000000"/>
          <w:sz w:val="28"/>
        </w:rPr>
        <w:t>
      10 баллов – 1,27;</w:t>
      </w:r>
    </w:p>
    <w:p>
      <w:pPr>
        <w:spacing w:after="0"/>
        <w:ind w:left="0"/>
        <w:jc w:val="both"/>
      </w:pPr>
      <w:r>
        <w:rPr>
          <w:rFonts w:ascii="Times New Roman"/>
          <w:b w:val="false"/>
          <w:i w:val="false"/>
          <w:color w:val="000000"/>
          <w:sz w:val="28"/>
        </w:rPr>
        <w:t>
      9 баллов – 1,22;</w:t>
      </w:r>
    </w:p>
    <w:p>
      <w:pPr>
        <w:spacing w:after="0"/>
        <w:ind w:left="0"/>
        <w:jc w:val="both"/>
      </w:pPr>
      <w:r>
        <w:rPr>
          <w:rFonts w:ascii="Times New Roman"/>
          <w:b w:val="false"/>
          <w:i w:val="false"/>
          <w:color w:val="000000"/>
          <w:sz w:val="28"/>
        </w:rPr>
        <w:t>
      8 баллов – 1,16;</w:t>
      </w:r>
    </w:p>
    <w:p>
      <w:pPr>
        <w:spacing w:after="0"/>
        <w:ind w:left="0"/>
        <w:jc w:val="both"/>
      </w:pPr>
      <w:r>
        <w:rPr>
          <w:rFonts w:ascii="Times New Roman"/>
          <w:b w:val="false"/>
          <w:i w:val="false"/>
          <w:color w:val="000000"/>
          <w:sz w:val="28"/>
        </w:rPr>
        <w:t>
      7 баллов – 1,1.</w:t>
      </w:r>
    </w:p>
    <w:p>
      <w:pPr>
        <w:spacing w:after="0"/>
        <w:ind w:left="0"/>
        <w:jc w:val="both"/>
      </w:pPr>
      <w:r>
        <w:rPr>
          <w:rFonts w:ascii="Times New Roman"/>
          <w:b w:val="false"/>
          <w:i w:val="false"/>
          <w:color w:val="000000"/>
          <w:sz w:val="28"/>
        </w:rPr>
        <w:t>
      Сейсмичность района жилищного строительства определяется в соответствии со СНиП Республики Казахстан 2.03-30-2006 "Строительство в сейсмических районах".</w:t>
      </w:r>
    </w:p>
    <w:p>
      <w:pPr>
        <w:spacing w:after="0"/>
        <w:ind w:left="0"/>
        <w:jc w:val="both"/>
      </w:pPr>
      <w:r>
        <w:rPr>
          <w:rFonts w:ascii="Times New Roman"/>
          <w:b w:val="false"/>
          <w:i w:val="false"/>
          <w:color w:val="000000"/>
          <w:sz w:val="28"/>
        </w:rPr>
        <w:t>
      Окончательная стоимость строительства одного квадратного метра общей площади жилища по регионам определяется на основе положительного заключения государственной экспертизы на проектно-сметную документацию (далее – ПСД) жилых домов.</w:t>
      </w:r>
    </w:p>
    <w:p>
      <w:pPr>
        <w:spacing w:after="0"/>
        <w:ind w:left="0"/>
        <w:jc w:val="both"/>
      </w:pPr>
      <w:r>
        <w:rPr>
          <w:rFonts w:ascii="Times New Roman"/>
          <w:b w:val="false"/>
          <w:i w:val="false"/>
          <w:color w:val="000000"/>
          <w:sz w:val="28"/>
        </w:rPr>
        <w:t>
      Окончательная стоимость реализации одного квадратного метра общей площади жилища по регионам не может превышать ценовых параметров, указанных в данном подразделе, с учетом поправочных коэффициентов на сейсмичность.</w:t>
      </w:r>
    </w:p>
    <w:p>
      <w:pPr>
        <w:spacing w:after="0"/>
        <w:ind w:left="0"/>
        <w:jc w:val="both"/>
      </w:pPr>
      <w:r>
        <w:rPr>
          <w:rFonts w:ascii="Times New Roman"/>
          <w:b w:val="false"/>
          <w:i w:val="false"/>
          <w:color w:val="000000"/>
          <w:sz w:val="28"/>
        </w:rPr>
        <w:t>
      Затраты, превышающие стоимость строительства жилья, могут быть произведены за счет средств местного бюджета. Предусматривается, начиная с 2015 года, выделять средства на строительство жилья с учетом применения коэффициента инфляции к стоимости строительства.</w:t>
      </w:r>
    </w:p>
    <w:p>
      <w:pPr>
        <w:spacing w:after="0"/>
        <w:ind w:left="0"/>
        <w:jc w:val="both"/>
      </w:pPr>
      <w:r>
        <w:rPr>
          <w:rFonts w:ascii="Times New Roman"/>
          <w:b w:val="false"/>
          <w:i w:val="false"/>
          <w:color w:val="000000"/>
          <w:sz w:val="28"/>
        </w:rPr>
        <w:t>
      3) Реконструкция жилья осуществляется в пределах средств, определяемых ПСД на основании положительного заключения государственной экспертизы. В случае реконструкции жилья, стоимость 1 квадратного метра должна быть не выше 60 % стоимости строительства нового жилого дома в рамках Программы.</w:t>
      </w:r>
    </w:p>
    <w:p>
      <w:pPr>
        <w:spacing w:after="0"/>
        <w:ind w:left="0"/>
        <w:jc w:val="both"/>
      </w:pPr>
      <w:r>
        <w:rPr>
          <w:rFonts w:ascii="Times New Roman"/>
          <w:b w:val="false"/>
          <w:i w:val="false"/>
          <w:color w:val="000000"/>
          <w:sz w:val="28"/>
        </w:rPr>
        <w:t>
      4) В целях сохранения ценового параметра строительства 1 квадратного метра жилья по Программе и увеличения объемов строительства жилья допускается использование принципов государственно-частного партнерства с подрядными строительными организациями.</w:t>
      </w:r>
    </w:p>
    <w:p>
      <w:pPr>
        <w:spacing w:after="0"/>
        <w:ind w:left="0"/>
        <w:jc w:val="both"/>
      </w:pPr>
      <w:r>
        <w:rPr>
          <w:rFonts w:ascii="Times New Roman"/>
          <w:b w:val="false"/>
          <w:i w:val="false"/>
          <w:color w:val="000000"/>
          <w:sz w:val="28"/>
        </w:rPr>
        <w:t xml:space="preserve">
      В связи с чем, МИО могут предусмотреть при проектировании объектов встроенные торговые и офисные площади и/или дополнительные этажи, финансирование строительства которых подрядные строительные организации осуществляют самостоятельно и вправе в дальнейшем реализовывать. </w:t>
      </w:r>
    </w:p>
    <w:p>
      <w:pPr>
        <w:spacing w:after="0"/>
        <w:ind w:left="0"/>
        <w:jc w:val="both"/>
      </w:pPr>
      <w:r>
        <w:rPr>
          <w:rFonts w:ascii="Times New Roman"/>
          <w:b w:val="false"/>
          <w:i w:val="false"/>
          <w:color w:val="000000"/>
          <w:sz w:val="28"/>
        </w:rPr>
        <w:t>
      При реализации принципа государственно-частного партнерства МИО оформляют заключения государственной экспертизы с разделением площадей и стоимости помещений, строящихся за счет государственных или частных средств, а также предусматривают в условиях конкурса возмещение подрядными строительными организациями затрат на проектирование в части торговых и офисных площадей, дополнительных этажей и раздельный ввод в эксплуатацию жилых, торговых и офисных площадей.</w:t>
      </w:r>
    </w:p>
    <w:p>
      <w:pPr>
        <w:spacing w:after="0"/>
        <w:ind w:left="0"/>
        <w:jc w:val="both"/>
      </w:pPr>
      <w:r>
        <w:rPr>
          <w:rFonts w:ascii="Times New Roman"/>
          <w:b w:val="false"/>
          <w:i w:val="false"/>
          <w:color w:val="000000"/>
          <w:sz w:val="28"/>
        </w:rPr>
        <w:t>
      При этом МИО и подрядные строительные организации осуществляют финансирование строительства в соответствии с утвержденным и согласованным графиком производства работ.</w:t>
      </w:r>
    </w:p>
    <w:p>
      <w:pPr>
        <w:spacing w:after="0"/>
        <w:ind w:left="0"/>
        <w:jc w:val="left"/>
      </w:pPr>
      <w:r>
        <w:rPr>
          <w:rFonts w:ascii="Times New Roman"/>
          <w:b/>
          <w:i w:val="false"/>
          <w:color w:val="000000"/>
        </w:rPr>
        <w:t xml:space="preserve"> 2. Жилье по линии ЖССБК</w:t>
      </w:r>
    </w:p>
    <w:p>
      <w:pPr>
        <w:spacing w:after="0"/>
        <w:ind w:left="0"/>
        <w:jc w:val="both"/>
      </w:pPr>
      <w:r>
        <w:rPr>
          <w:rFonts w:ascii="Times New Roman"/>
          <w:b w:val="false"/>
          <w:i w:val="false"/>
          <w:color w:val="000000"/>
          <w:sz w:val="28"/>
        </w:rPr>
        <w:t>
      1. Порядок взаимодействия между МИО и ЖССБК.</w:t>
      </w:r>
    </w:p>
    <w:p>
      <w:pPr>
        <w:spacing w:after="0"/>
        <w:ind w:left="0"/>
        <w:jc w:val="both"/>
      </w:pPr>
      <w:r>
        <w:rPr>
          <w:rFonts w:ascii="Times New Roman"/>
          <w:b w:val="false"/>
          <w:i w:val="false"/>
          <w:color w:val="000000"/>
          <w:sz w:val="28"/>
        </w:rPr>
        <w:t>
      1) МИО и ЖССБК подписывают договор о сотрудничестве по каждому объекту строительства и направления Программы, в том числе касательно формирования пулов по направлению "Жилье для всех категорий населения", а именно по:</w:t>
      </w:r>
    </w:p>
    <w:p>
      <w:pPr>
        <w:spacing w:after="0"/>
        <w:ind w:left="0"/>
        <w:jc w:val="both"/>
      </w:pPr>
      <w:r>
        <w:rPr>
          <w:rFonts w:ascii="Times New Roman"/>
          <w:b w:val="false"/>
          <w:i w:val="false"/>
          <w:color w:val="000000"/>
          <w:sz w:val="28"/>
        </w:rPr>
        <w:t>
      срокам предоставления списков заявителей группы I – не позднее 3 (три) месяцев до завершения строительства;</w:t>
      </w:r>
    </w:p>
    <w:p>
      <w:pPr>
        <w:spacing w:after="0"/>
        <w:ind w:left="0"/>
        <w:jc w:val="both"/>
      </w:pPr>
      <w:r>
        <w:rPr>
          <w:rFonts w:ascii="Times New Roman"/>
          <w:b w:val="false"/>
          <w:i w:val="false"/>
          <w:color w:val="000000"/>
          <w:sz w:val="28"/>
        </w:rPr>
        <w:t>
      процедурам предоставления последующих заявителей из предварительных списков и срокам проведения оценки платежеспособности претендентов;</w:t>
      </w:r>
    </w:p>
    <w:p>
      <w:pPr>
        <w:spacing w:after="0"/>
        <w:ind w:left="0"/>
        <w:jc w:val="both"/>
      </w:pPr>
      <w:r>
        <w:rPr>
          <w:rFonts w:ascii="Times New Roman"/>
          <w:b w:val="false"/>
          <w:i w:val="false"/>
          <w:color w:val="000000"/>
          <w:sz w:val="28"/>
        </w:rPr>
        <w:t>
      порядку передачи нераспределенных квартир в объекте строительства;</w:t>
      </w:r>
    </w:p>
    <w:p>
      <w:pPr>
        <w:spacing w:after="0"/>
        <w:ind w:left="0"/>
        <w:jc w:val="both"/>
      </w:pPr>
      <w:r>
        <w:rPr>
          <w:rFonts w:ascii="Times New Roman"/>
          <w:b w:val="false"/>
          <w:i w:val="false"/>
          <w:color w:val="000000"/>
          <w:sz w:val="28"/>
        </w:rPr>
        <w:t>
      получения и обмена информацией по участникам, включенным в списки иных направлений Программы;</w:t>
      </w:r>
    </w:p>
    <w:p>
      <w:pPr>
        <w:spacing w:after="0"/>
        <w:ind w:left="0"/>
        <w:jc w:val="both"/>
      </w:pPr>
      <w:r>
        <w:rPr>
          <w:rFonts w:ascii="Times New Roman"/>
          <w:b w:val="false"/>
          <w:i w:val="false"/>
          <w:color w:val="000000"/>
          <w:sz w:val="28"/>
        </w:rPr>
        <w:t>
      согласования типовых форм договоров купли-продажи и аренды жилья с выкупом;</w:t>
      </w:r>
    </w:p>
    <w:p>
      <w:pPr>
        <w:spacing w:after="0"/>
        <w:ind w:left="0"/>
        <w:jc w:val="both"/>
      </w:pPr>
      <w:r>
        <w:rPr>
          <w:rFonts w:ascii="Times New Roman"/>
          <w:b w:val="false"/>
          <w:i w:val="false"/>
          <w:color w:val="000000"/>
          <w:sz w:val="28"/>
        </w:rPr>
        <w:t>
      мониторинга ЖССБК за ходом строительства объектов;</w:t>
      </w:r>
    </w:p>
    <w:p>
      <w:pPr>
        <w:spacing w:after="0"/>
        <w:ind w:left="0"/>
        <w:jc w:val="both"/>
      </w:pPr>
      <w:r>
        <w:rPr>
          <w:rFonts w:ascii="Times New Roman"/>
          <w:b w:val="false"/>
          <w:i w:val="false"/>
          <w:color w:val="000000"/>
          <w:sz w:val="28"/>
        </w:rPr>
        <w:t>
      обеспечения МИО ввода жилья в эксплуатацию;</w:t>
      </w:r>
    </w:p>
    <w:p>
      <w:pPr>
        <w:spacing w:after="0"/>
        <w:ind w:left="0"/>
        <w:jc w:val="both"/>
      </w:pPr>
      <w:r>
        <w:rPr>
          <w:rFonts w:ascii="Times New Roman"/>
          <w:b w:val="false"/>
          <w:i w:val="false"/>
          <w:color w:val="000000"/>
          <w:sz w:val="28"/>
        </w:rPr>
        <w:t xml:space="preserve">
      уведомления ЖССБК о готовности объекта строительства жилья к вводу в эксплуатацию и принятия участия ЖССБК в приеме построенного объекта жилья в эксплуатацию. </w:t>
      </w:r>
    </w:p>
    <w:p>
      <w:pPr>
        <w:spacing w:after="0"/>
        <w:ind w:left="0"/>
        <w:jc w:val="both"/>
      </w:pPr>
      <w:r>
        <w:rPr>
          <w:rFonts w:ascii="Times New Roman"/>
          <w:b w:val="false"/>
          <w:i w:val="false"/>
          <w:color w:val="000000"/>
          <w:sz w:val="28"/>
        </w:rPr>
        <w:t>
      2) ЖССБК формирует пулы покупателей и арендаторов на получение жилья среди участников группы II, МИО формирует пулы покупателей и арендаторов на получение жилья среди участников группы I и III;</w:t>
      </w:r>
    </w:p>
    <w:p>
      <w:pPr>
        <w:spacing w:after="0"/>
        <w:ind w:left="0"/>
        <w:jc w:val="both"/>
      </w:pPr>
      <w:r>
        <w:rPr>
          <w:rFonts w:ascii="Times New Roman"/>
          <w:b w:val="false"/>
          <w:i w:val="false"/>
          <w:color w:val="000000"/>
          <w:sz w:val="28"/>
        </w:rPr>
        <w:t>
      3) МИО обеспечивают строительство и ввод жилья в эксплуатацию;</w:t>
      </w:r>
    </w:p>
    <w:p>
      <w:pPr>
        <w:spacing w:after="0"/>
        <w:ind w:left="0"/>
        <w:jc w:val="both"/>
      </w:pPr>
      <w:r>
        <w:rPr>
          <w:rFonts w:ascii="Times New Roman"/>
          <w:b w:val="false"/>
          <w:i w:val="false"/>
          <w:color w:val="000000"/>
          <w:sz w:val="28"/>
        </w:rPr>
        <w:t>
      4) ЖССБК осуществляет перечисление в МИО сумм займов, накоплений и/или собственных средств участников Программы из групп I, II и III в счет оплаты приобретаемых квартир.</w:t>
      </w:r>
    </w:p>
    <w:p>
      <w:pPr>
        <w:spacing w:after="0"/>
        <w:ind w:left="0"/>
        <w:jc w:val="both"/>
      </w:pPr>
      <w:r>
        <w:rPr>
          <w:rFonts w:ascii="Times New Roman"/>
          <w:b w:val="false"/>
          <w:i w:val="false"/>
          <w:color w:val="000000"/>
          <w:sz w:val="28"/>
        </w:rPr>
        <w:t>
      2. Использование ЖССБК средств для предоставления займов участникам Программы.</w:t>
      </w:r>
    </w:p>
    <w:p>
      <w:pPr>
        <w:spacing w:after="0"/>
        <w:ind w:left="0"/>
        <w:jc w:val="both"/>
      </w:pPr>
      <w:r>
        <w:rPr>
          <w:rFonts w:ascii="Times New Roman"/>
          <w:b w:val="false"/>
          <w:i w:val="false"/>
          <w:color w:val="000000"/>
          <w:sz w:val="28"/>
        </w:rPr>
        <w:t xml:space="preserve">
      В 2011 году уставный капитал ЖССБК был увеличен на сумму 57 млрд. тенге, перераспределенные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мая 2012 года № 672 на следующие направления:</w:t>
      </w:r>
    </w:p>
    <w:p>
      <w:pPr>
        <w:spacing w:after="0"/>
        <w:ind w:left="0"/>
        <w:jc w:val="both"/>
      </w:pPr>
      <w:r>
        <w:rPr>
          <w:rFonts w:ascii="Times New Roman"/>
          <w:b w:val="false"/>
          <w:i w:val="false"/>
          <w:color w:val="000000"/>
          <w:sz w:val="28"/>
        </w:rPr>
        <w:t>
      1) 6 млрд. тенге – на размещение обусловленных депозитов в банках втрого уровня (далее – БВУ);</w:t>
      </w:r>
    </w:p>
    <w:p>
      <w:pPr>
        <w:spacing w:after="0"/>
        <w:ind w:left="0"/>
        <w:jc w:val="both"/>
      </w:pPr>
      <w:r>
        <w:rPr>
          <w:rFonts w:ascii="Times New Roman"/>
          <w:b w:val="false"/>
          <w:i w:val="false"/>
          <w:color w:val="000000"/>
          <w:sz w:val="28"/>
        </w:rPr>
        <w:t>
      2) 26 млрд. тенге – на предоставление предварительных и промежуточных жилищных займов по ставке вознаграждения 4 % годовых для выкупа жилья участниками Госпрограммы 2008 – 2010 годов;</w:t>
      </w:r>
    </w:p>
    <w:p>
      <w:pPr>
        <w:spacing w:after="0"/>
        <w:ind w:left="0"/>
        <w:jc w:val="both"/>
      </w:pPr>
      <w:r>
        <w:rPr>
          <w:rFonts w:ascii="Times New Roman"/>
          <w:b w:val="false"/>
          <w:i w:val="false"/>
          <w:color w:val="000000"/>
          <w:sz w:val="28"/>
        </w:rPr>
        <w:t>
      3) 25 млрд. тенге – на снижение ставок вознаграждения по предварительным и промежуточным жилищным займам.</w:t>
      </w:r>
    </w:p>
    <w:p>
      <w:pPr>
        <w:spacing w:after="0"/>
        <w:ind w:left="0"/>
        <w:jc w:val="both"/>
      </w:pPr>
      <w:r>
        <w:rPr>
          <w:rFonts w:ascii="Times New Roman"/>
          <w:b w:val="false"/>
          <w:i w:val="false"/>
          <w:color w:val="000000"/>
          <w:sz w:val="28"/>
        </w:rPr>
        <w:t>
      Также в 2012 году ЖССБК выделен бюджетный кредит в сумме 12,2 млрд. тенге для предоставления предварительных и промежуточных жилищных займов участникам Программы направления "Жилье для всех категорий населения".</w:t>
      </w:r>
    </w:p>
    <w:p>
      <w:pPr>
        <w:spacing w:after="0"/>
        <w:ind w:left="0"/>
        <w:jc w:val="both"/>
      </w:pPr>
      <w:r>
        <w:rPr>
          <w:rFonts w:ascii="Times New Roman"/>
          <w:b w:val="false"/>
          <w:i w:val="false"/>
          <w:color w:val="000000"/>
          <w:sz w:val="28"/>
        </w:rPr>
        <w:t>
      3. Реализация проектов жилищного строительства через обусловленный депозит.</w:t>
      </w:r>
    </w:p>
    <w:p>
      <w:pPr>
        <w:spacing w:after="0"/>
        <w:ind w:left="0"/>
        <w:jc w:val="both"/>
      </w:pPr>
      <w:r>
        <w:rPr>
          <w:rFonts w:ascii="Times New Roman"/>
          <w:b w:val="false"/>
          <w:i w:val="false"/>
          <w:color w:val="000000"/>
          <w:sz w:val="28"/>
        </w:rPr>
        <w:t>
      В целях стимулирования привлечения частных инвестиций в жилищное строительство будет осуществлено фондирование БВУ для последующего кредитования застройщиков путем размещения обусловленных депозитов сроком до 5 лет по ставке вознаграждения 3 % годовых в размере до 100 % от стоимости строительства, подтвержденного заключением государственной экспертизы, с условием, что эффективная ставка вознаграждения для конечного заемщика не будет превышать 7 % годовых.</w:t>
      </w:r>
    </w:p>
    <w:p>
      <w:pPr>
        <w:spacing w:after="0"/>
        <w:ind w:left="0"/>
        <w:jc w:val="both"/>
      </w:pPr>
      <w:r>
        <w:rPr>
          <w:rFonts w:ascii="Times New Roman"/>
          <w:b w:val="false"/>
          <w:i w:val="false"/>
          <w:color w:val="000000"/>
          <w:sz w:val="28"/>
        </w:rPr>
        <w:t xml:space="preserve">
      Для реализации данного механизма планируется направить средства ЖССБК в размере до 20 млрд. тенге, при условии наличия свободных средств, в том числе возможное использование средств уставного капитала, предназначенные для финансирования мероприятий,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мая 2012 года № 672. Для реализации данного механизма необходимо перераспределение средств уставного капитала ЖССБК в установленном порядке.</w:t>
      </w:r>
    </w:p>
    <w:p>
      <w:pPr>
        <w:spacing w:after="0"/>
        <w:ind w:left="0"/>
        <w:jc w:val="both"/>
      </w:pPr>
      <w:r>
        <w:rPr>
          <w:rFonts w:ascii="Times New Roman"/>
          <w:b w:val="false"/>
          <w:i w:val="false"/>
          <w:color w:val="000000"/>
          <w:sz w:val="28"/>
        </w:rPr>
        <w:t>
      Механизм, условия и порядок реализации проектов жилищного строительства путем размещения обусловленных депозитов регламентируется внутренними документами ЖССБК.</w:t>
      </w:r>
    </w:p>
    <w:p>
      <w:pPr>
        <w:spacing w:after="0"/>
        <w:ind w:left="0"/>
        <w:jc w:val="left"/>
      </w:pPr>
      <w:r>
        <w:rPr>
          <w:rFonts w:ascii="Times New Roman"/>
          <w:b/>
          <w:i w:val="false"/>
          <w:color w:val="000000"/>
        </w:rPr>
        <w:t xml:space="preserve"> 3. Жилье АО "ИО "КИК"</w:t>
      </w:r>
    </w:p>
    <w:p>
      <w:pPr>
        <w:spacing w:after="0"/>
        <w:ind w:left="0"/>
        <w:jc w:val="both"/>
      </w:pPr>
      <w:r>
        <w:rPr>
          <w:rFonts w:ascii="Times New Roman"/>
          <w:b w:val="false"/>
          <w:i w:val="false"/>
          <w:color w:val="000000"/>
          <w:sz w:val="28"/>
        </w:rPr>
        <w:t xml:space="preserve">
      АО "ИО "КИК" осуществляет организацию строительства арендного жилья и/или приобретает (выкупает) у третьих лиц объекты жилищного строительства (строящиеся, незавершенные, построенные и не введенные в эксплуатацию, построенные и введенные в эксплуатацию (готовое жилье) объекты жилья). </w:t>
      </w:r>
    </w:p>
    <w:p>
      <w:pPr>
        <w:spacing w:after="0"/>
        <w:ind w:left="0"/>
        <w:jc w:val="both"/>
      </w:pPr>
      <w:r>
        <w:rPr>
          <w:rFonts w:ascii="Times New Roman"/>
          <w:b w:val="false"/>
          <w:i w:val="false"/>
          <w:color w:val="000000"/>
          <w:sz w:val="28"/>
        </w:rPr>
        <w:t>
      АО "ИО "КИК" осуществляет реализацию арендного жилья по двум направлениям:</w:t>
      </w:r>
    </w:p>
    <w:p>
      <w:pPr>
        <w:spacing w:after="0"/>
        <w:ind w:left="0"/>
        <w:jc w:val="both"/>
      </w:pPr>
      <w:r>
        <w:rPr>
          <w:rFonts w:ascii="Times New Roman"/>
          <w:b w:val="false"/>
          <w:i w:val="false"/>
          <w:color w:val="000000"/>
          <w:sz w:val="28"/>
        </w:rPr>
        <w:t>
      1) арендное жилье с выкупом;</w:t>
      </w:r>
    </w:p>
    <w:p>
      <w:pPr>
        <w:spacing w:after="0"/>
        <w:ind w:left="0"/>
        <w:jc w:val="both"/>
      </w:pPr>
      <w:r>
        <w:rPr>
          <w:rFonts w:ascii="Times New Roman"/>
          <w:b w:val="false"/>
          <w:i w:val="false"/>
          <w:color w:val="000000"/>
          <w:sz w:val="28"/>
        </w:rPr>
        <w:t>
      2) арендное жилье без выкупа.</w:t>
      </w:r>
    </w:p>
    <w:p>
      <w:pPr>
        <w:spacing w:after="0"/>
        <w:ind w:left="0"/>
        <w:jc w:val="both"/>
      </w:pPr>
      <w:r>
        <w:rPr>
          <w:rFonts w:ascii="Times New Roman"/>
          <w:b w:val="false"/>
          <w:i w:val="false"/>
          <w:color w:val="000000"/>
          <w:sz w:val="28"/>
        </w:rPr>
        <w:t>
      1. Механизм финансирования строительства.</w:t>
      </w:r>
    </w:p>
    <w:p>
      <w:pPr>
        <w:spacing w:after="0"/>
        <w:ind w:left="0"/>
        <w:jc w:val="both"/>
      </w:pPr>
      <w:r>
        <w:rPr>
          <w:rFonts w:ascii="Times New Roman"/>
          <w:b w:val="false"/>
          <w:i w:val="false"/>
          <w:color w:val="000000"/>
          <w:sz w:val="28"/>
        </w:rPr>
        <w:t>
      Финансирование строительства (приобретения) арендного жилья осуществляется за счет средств Национального фонда Республики Казахстан, собственных средств АО "ИО "КИК" и других источников в следующем порядке:</w:t>
      </w:r>
    </w:p>
    <w:p>
      <w:pPr>
        <w:spacing w:after="0"/>
        <w:ind w:left="0"/>
        <w:jc w:val="both"/>
      </w:pPr>
      <w:r>
        <w:rPr>
          <w:rFonts w:ascii="Times New Roman"/>
          <w:b w:val="false"/>
          <w:i w:val="false"/>
          <w:color w:val="000000"/>
          <w:sz w:val="28"/>
        </w:rPr>
        <w:t>
      1) Правительство Республики Казахстан выделяет:</w:t>
      </w:r>
    </w:p>
    <w:p>
      <w:pPr>
        <w:spacing w:after="0"/>
        <w:ind w:left="0"/>
        <w:jc w:val="both"/>
      </w:pPr>
      <w:r>
        <w:rPr>
          <w:rFonts w:ascii="Times New Roman"/>
          <w:b w:val="false"/>
          <w:i w:val="false"/>
          <w:color w:val="000000"/>
          <w:sz w:val="28"/>
        </w:rPr>
        <w:t>
      целевые трансферты из Национального фонда Республики Казахстан на развитие областным бюджетам, бюджетам городов Астаны и Алматы на проектирование, развитие и (или) обустройство ИКИ в районах застройки (приобретения) арендного жилья АО "ИО "КИК" в размере 35 млрд. тенге, в том числе 17,5 млрд. тенге в 2015 году и 17,5 млрд. тенге в 2016 году;</w:t>
      </w:r>
    </w:p>
    <w:p>
      <w:pPr>
        <w:spacing w:after="0"/>
        <w:ind w:left="0"/>
        <w:jc w:val="both"/>
      </w:pPr>
      <w:r>
        <w:rPr>
          <w:rFonts w:ascii="Times New Roman"/>
          <w:b w:val="false"/>
          <w:i w:val="false"/>
          <w:color w:val="000000"/>
          <w:sz w:val="28"/>
        </w:rPr>
        <w:t>
      облигационный заем из средств Национального фонда Республики Казахстан АО "НУХ "Байтерек" на сумму 145 млрд. тенге для финансирования строительства (приобретения) арендного жилья.</w:t>
      </w:r>
    </w:p>
    <w:p>
      <w:pPr>
        <w:spacing w:after="0"/>
        <w:ind w:left="0"/>
        <w:jc w:val="both"/>
      </w:pPr>
      <w:r>
        <w:rPr>
          <w:rFonts w:ascii="Times New Roman"/>
          <w:b w:val="false"/>
          <w:i w:val="false"/>
          <w:color w:val="000000"/>
          <w:sz w:val="28"/>
        </w:rPr>
        <w:t>
      2) АО "НУХ "Байтерек" предоставляет заемные средства АО "ИО "КИК" в размере 145 млрд. тенге, в том числе 92,5 млрд. тенге в 2015 году и 52,5 млрд. тенге в 2016 году.</w:t>
      </w:r>
    </w:p>
    <w:p>
      <w:pPr>
        <w:spacing w:after="0"/>
        <w:ind w:left="0"/>
        <w:jc w:val="both"/>
      </w:pPr>
      <w:r>
        <w:rPr>
          <w:rFonts w:ascii="Times New Roman"/>
          <w:b w:val="false"/>
          <w:i w:val="false"/>
          <w:color w:val="000000"/>
          <w:sz w:val="28"/>
        </w:rPr>
        <w:t>
      В целом для финансирования строительства (приобретения) арендного жилья планируется направить до 250 млрд. тенге, в том числе:</w:t>
      </w:r>
    </w:p>
    <w:p>
      <w:pPr>
        <w:spacing w:after="0"/>
        <w:ind w:left="0"/>
        <w:jc w:val="both"/>
      </w:pPr>
      <w:r>
        <w:rPr>
          <w:rFonts w:ascii="Times New Roman"/>
          <w:b w:val="false"/>
          <w:i w:val="false"/>
          <w:color w:val="000000"/>
          <w:sz w:val="28"/>
        </w:rPr>
        <w:t>
      1) средства Национального Фонда Республики Казахстан в размере 145 млрд. тенге;</w:t>
      </w:r>
    </w:p>
    <w:p>
      <w:pPr>
        <w:spacing w:after="0"/>
        <w:ind w:left="0"/>
        <w:jc w:val="both"/>
      </w:pPr>
      <w:r>
        <w:rPr>
          <w:rFonts w:ascii="Times New Roman"/>
          <w:b w:val="false"/>
          <w:i w:val="false"/>
          <w:color w:val="000000"/>
          <w:sz w:val="28"/>
        </w:rPr>
        <w:t>
      2) средства АО "ИО "КИК", привлеченные от размещения облигаций в 2017 - 2019 годах, – до 50 млрд. тенге;</w:t>
      </w:r>
    </w:p>
    <w:p>
      <w:pPr>
        <w:spacing w:after="0"/>
        <w:ind w:left="0"/>
        <w:jc w:val="both"/>
      </w:pPr>
      <w:r>
        <w:rPr>
          <w:rFonts w:ascii="Times New Roman"/>
          <w:b w:val="false"/>
          <w:i w:val="false"/>
          <w:color w:val="000000"/>
          <w:sz w:val="28"/>
        </w:rPr>
        <w:t>
      3) другие источники, в том числе повторное использование в 2017 - 2019 годах выделенных средств, в размере 25,8 млрд. тенге, а также средств, полученных от погашения арендной платы и иных источников финансирования;</w:t>
      </w:r>
    </w:p>
    <w:p>
      <w:pPr>
        <w:spacing w:after="0"/>
        <w:ind w:left="0"/>
        <w:jc w:val="both"/>
      </w:pPr>
      <w:r>
        <w:rPr>
          <w:rFonts w:ascii="Times New Roman"/>
          <w:b w:val="false"/>
          <w:i w:val="false"/>
          <w:color w:val="000000"/>
          <w:sz w:val="28"/>
        </w:rPr>
        <w:t xml:space="preserve">
      4) средства, выделенные из республиканского бюджета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в размере 29,2 млрд. тенге.</w:t>
      </w:r>
    </w:p>
    <w:p>
      <w:pPr>
        <w:spacing w:after="0"/>
        <w:ind w:left="0"/>
        <w:jc w:val="both"/>
      </w:pPr>
      <w:r>
        <w:rPr>
          <w:rFonts w:ascii="Times New Roman"/>
          <w:b w:val="false"/>
          <w:i w:val="false"/>
          <w:color w:val="000000"/>
          <w:sz w:val="28"/>
        </w:rPr>
        <w:t>
      Строительство и реализация жилья, построенного (строящегося) в рамках Программы "Доступное жилье 2020", будет осуществляться АО "ИО "КИК" в порядке и на условиях, предусмотренных настоящей Программой. В этих целях будут внесены соответствующие корректировки в финансово-экономическое обоснование увеличения уставного капитала АО "ИО "КИК".</w:t>
      </w:r>
    </w:p>
    <w:p>
      <w:pPr>
        <w:spacing w:after="0"/>
        <w:ind w:left="0"/>
        <w:jc w:val="both"/>
      </w:pPr>
      <w:r>
        <w:rPr>
          <w:rFonts w:ascii="Times New Roman"/>
          <w:b w:val="false"/>
          <w:i w:val="false"/>
          <w:color w:val="000000"/>
          <w:sz w:val="28"/>
        </w:rPr>
        <w:t>
      На строительство (приобретение) арендного жилья направляются средства в следующем порядке:</w:t>
      </w:r>
    </w:p>
    <w:p>
      <w:pPr>
        <w:spacing w:after="0"/>
        <w:ind w:left="0"/>
        <w:jc w:val="both"/>
      </w:pPr>
      <w:r>
        <w:rPr>
          <w:rFonts w:ascii="Times New Roman"/>
          <w:b w:val="false"/>
          <w:i w:val="false"/>
          <w:color w:val="000000"/>
          <w:sz w:val="28"/>
        </w:rPr>
        <w:t>
      1) на арендное жилье с выкупом до 210 млрд. тенге, из них:</w:t>
      </w:r>
    </w:p>
    <w:p>
      <w:pPr>
        <w:spacing w:after="0"/>
        <w:ind w:left="0"/>
        <w:jc w:val="both"/>
      </w:pPr>
      <w:r>
        <w:rPr>
          <w:rFonts w:ascii="Times New Roman"/>
          <w:b w:val="false"/>
          <w:i w:val="false"/>
          <w:color w:val="000000"/>
          <w:sz w:val="28"/>
        </w:rPr>
        <w:t>
      до 45 млрд. тенге в рамках соглашений/меморандумов с государственными и негосударственными юридическими лицами, из которых:</w:t>
      </w:r>
    </w:p>
    <w:p>
      <w:pPr>
        <w:spacing w:after="0"/>
        <w:ind w:left="0"/>
        <w:jc w:val="both"/>
      </w:pPr>
      <w:r>
        <w:rPr>
          <w:rFonts w:ascii="Times New Roman"/>
          <w:b w:val="false"/>
          <w:i w:val="false"/>
          <w:color w:val="000000"/>
          <w:sz w:val="28"/>
        </w:rPr>
        <w:t>
      до 8 млрд. тенге инвестируются в моногорода,</w:t>
      </w:r>
    </w:p>
    <w:p>
      <w:pPr>
        <w:spacing w:after="0"/>
        <w:ind w:left="0"/>
        <w:jc w:val="both"/>
      </w:pPr>
      <w:r>
        <w:rPr>
          <w:rFonts w:ascii="Times New Roman"/>
          <w:b w:val="false"/>
          <w:i w:val="false"/>
          <w:color w:val="000000"/>
          <w:sz w:val="28"/>
        </w:rPr>
        <w:t>
      до 2 млрд. тенге в сельские населенные пункты;</w:t>
      </w:r>
    </w:p>
    <w:p>
      <w:pPr>
        <w:spacing w:after="0"/>
        <w:ind w:left="0"/>
        <w:jc w:val="both"/>
      </w:pPr>
      <w:r>
        <w:rPr>
          <w:rFonts w:ascii="Times New Roman"/>
          <w:b w:val="false"/>
          <w:i w:val="false"/>
          <w:color w:val="000000"/>
          <w:sz w:val="28"/>
        </w:rPr>
        <w:t>
      2) на арендное жилье без выкупа до 40 млрд. тенге в случае наличия согласия МИО, закрепленного отдельными соглашениями/меморандумами.</w:t>
      </w:r>
    </w:p>
    <w:p>
      <w:pPr>
        <w:spacing w:after="0"/>
        <w:ind w:left="0"/>
        <w:jc w:val="both"/>
      </w:pPr>
      <w:r>
        <w:rPr>
          <w:rFonts w:ascii="Times New Roman"/>
          <w:b w:val="false"/>
          <w:i w:val="false"/>
          <w:color w:val="000000"/>
          <w:sz w:val="28"/>
        </w:rPr>
        <w:t xml:space="preserve">
      В процессе реализации Программы допускается перераспределение выделенных средств, направляемых на строительство (приобретение) арендного жилья, в зависимости от наличия земельных участков, ПСД, ИКИ и с учетом предложений о реализации объектов готового жилья. </w:t>
      </w:r>
    </w:p>
    <w:p>
      <w:pPr>
        <w:spacing w:after="0"/>
        <w:ind w:left="0"/>
        <w:jc w:val="both"/>
      </w:pPr>
      <w:r>
        <w:rPr>
          <w:rFonts w:ascii="Times New Roman"/>
          <w:b w:val="false"/>
          <w:i w:val="false"/>
          <w:color w:val="000000"/>
          <w:sz w:val="28"/>
        </w:rPr>
        <w:t>
      2. Условия и требования к строительству жилья на земельных участках МИО:</w:t>
      </w:r>
    </w:p>
    <w:p>
      <w:pPr>
        <w:spacing w:after="0"/>
        <w:ind w:left="0"/>
        <w:jc w:val="both"/>
      </w:pPr>
      <w:r>
        <w:rPr>
          <w:rFonts w:ascii="Times New Roman"/>
          <w:b w:val="false"/>
          <w:i w:val="false"/>
          <w:color w:val="000000"/>
          <w:sz w:val="28"/>
        </w:rPr>
        <w:t>
      1) МИО предоставляют АО "ИО "КИК" земельные участки для строительства арендного жилья с ИКИ, а также ПСД (при наличии) для повторного применения;</w:t>
      </w:r>
    </w:p>
    <w:p>
      <w:pPr>
        <w:spacing w:after="0"/>
        <w:ind w:left="0"/>
        <w:jc w:val="both"/>
      </w:pPr>
      <w:r>
        <w:rPr>
          <w:rFonts w:ascii="Times New Roman"/>
          <w:b w:val="false"/>
          <w:i w:val="false"/>
          <w:color w:val="000000"/>
          <w:sz w:val="28"/>
        </w:rPr>
        <w:t>
      2) АО "ИО "КИК" заключает с МИО отдельные соглашения о сотрудничестве по каждому объекту строительства, с указанием сроков подведения и обустройства ИКИ, условий отбора и учета участников Программы, механизма предоставления арендного жилья (с выкупом или без выкупа).</w:t>
      </w:r>
    </w:p>
    <w:p>
      <w:pPr>
        <w:spacing w:after="0"/>
        <w:ind w:left="0"/>
        <w:jc w:val="both"/>
      </w:pPr>
      <w:r>
        <w:rPr>
          <w:rFonts w:ascii="Times New Roman"/>
          <w:b w:val="false"/>
          <w:i w:val="false"/>
          <w:color w:val="000000"/>
          <w:sz w:val="28"/>
        </w:rPr>
        <w:t>
      3. АО "ИО "КИК" организует строительство жилых объектов, соответствующих требованиям пункта 5 настоящего подраздела и требованиям, установленным внутренними документами АО "ИО "КИК", в том числе:</w:t>
      </w:r>
    </w:p>
    <w:p>
      <w:pPr>
        <w:spacing w:after="0"/>
        <w:ind w:left="0"/>
        <w:jc w:val="both"/>
      </w:pPr>
      <w:r>
        <w:rPr>
          <w:rFonts w:ascii="Times New Roman"/>
          <w:b w:val="false"/>
          <w:i w:val="false"/>
          <w:color w:val="000000"/>
          <w:sz w:val="28"/>
        </w:rPr>
        <w:t>
      1) проводит тендер на разработку ПСД и обеспечивает проведение государственной экспертизы;</w:t>
      </w:r>
    </w:p>
    <w:p>
      <w:pPr>
        <w:spacing w:after="0"/>
        <w:ind w:left="0"/>
        <w:jc w:val="both"/>
      </w:pPr>
      <w:r>
        <w:rPr>
          <w:rFonts w:ascii="Times New Roman"/>
          <w:b w:val="false"/>
          <w:i w:val="false"/>
          <w:color w:val="000000"/>
          <w:sz w:val="28"/>
        </w:rPr>
        <w:t>
      2) проводит тендер на проведение строительно-монтажных работ, определение подрядной строительно-монтажной организации (далее – подрядчики);</w:t>
      </w:r>
    </w:p>
    <w:p>
      <w:pPr>
        <w:spacing w:after="0"/>
        <w:ind w:left="0"/>
        <w:jc w:val="both"/>
      </w:pPr>
      <w:r>
        <w:rPr>
          <w:rFonts w:ascii="Times New Roman"/>
          <w:b w:val="false"/>
          <w:i w:val="false"/>
          <w:color w:val="000000"/>
          <w:sz w:val="28"/>
        </w:rPr>
        <w:t>
      3) по итогам проведенных тендеров заключает с подрядчиками соответствующие договоры;</w:t>
      </w:r>
    </w:p>
    <w:p>
      <w:pPr>
        <w:spacing w:after="0"/>
        <w:ind w:left="0"/>
        <w:jc w:val="both"/>
      </w:pPr>
      <w:r>
        <w:rPr>
          <w:rFonts w:ascii="Times New Roman"/>
          <w:b w:val="false"/>
          <w:i w:val="false"/>
          <w:color w:val="000000"/>
          <w:sz w:val="28"/>
        </w:rPr>
        <w:t>
      4) финансирует строительство жилья, подлежащего передаче в аренду;</w:t>
      </w:r>
    </w:p>
    <w:p>
      <w:pPr>
        <w:spacing w:after="0"/>
        <w:ind w:left="0"/>
        <w:jc w:val="both"/>
      </w:pPr>
      <w:r>
        <w:rPr>
          <w:rFonts w:ascii="Times New Roman"/>
          <w:b w:val="false"/>
          <w:i w:val="false"/>
          <w:color w:val="000000"/>
          <w:sz w:val="28"/>
        </w:rPr>
        <w:t>
      5) контролирует процесс и этапы строительства жилья, подлежащего передаче в аренду;</w:t>
      </w:r>
    </w:p>
    <w:p>
      <w:pPr>
        <w:spacing w:after="0"/>
        <w:ind w:left="0"/>
        <w:jc w:val="both"/>
      </w:pPr>
      <w:r>
        <w:rPr>
          <w:rFonts w:ascii="Times New Roman"/>
          <w:b w:val="false"/>
          <w:i w:val="false"/>
          <w:color w:val="000000"/>
          <w:sz w:val="28"/>
        </w:rPr>
        <w:t xml:space="preserve">
      6) обеспечивает технический надзор на всех этапах строительства; </w:t>
      </w:r>
    </w:p>
    <w:p>
      <w:pPr>
        <w:spacing w:after="0"/>
        <w:ind w:left="0"/>
        <w:jc w:val="both"/>
      </w:pPr>
      <w:r>
        <w:rPr>
          <w:rFonts w:ascii="Times New Roman"/>
          <w:b w:val="false"/>
          <w:i w:val="false"/>
          <w:color w:val="000000"/>
          <w:sz w:val="28"/>
        </w:rPr>
        <w:t>
      7) обеспечивает приемку введенных в эксплуатацию подрядчиками объектов по завершении строительства жилья, подлежащего передаче в аренду и оформление правоустанавливающих документов в установленном порядке;</w:t>
      </w:r>
    </w:p>
    <w:p>
      <w:pPr>
        <w:spacing w:after="0"/>
        <w:ind w:left="0"/>
        <w:jc w:val="both"/>
      </w:pPr>
      <w:r>
        <w:rPr>
          <w:rFonts w:ascii="Times New Roman"/>
          <w:b w:val="false"/>
          <w:i w:val="false"/>
          <w:color w:val="000000"/>
          <w:sz w:val="28"/>
        </w:rPr>
        <w:t>
      8) осуществляет иные мероприятия, возникающие в ходе реализации Программы.</w:t>
      </w:r>
    </w:p>
    <w:p>
      <w:pPr>
        <w:spacing w:after="0"/>
        <w:ind w:left="0"/>
        <w:jc w:val="both"/>
      </w:pPr>
      <w:r>
        <w:rPr>
          <w:rFonts w:ascii="Times New Roman"/>
          <w:b w:val="false"/>
          <w:i w:val="false"/>
          <w:color w:val="000000"/>
          <w:sz w:val="28"/>
        </w:rPr>
        <w:t>
      В целях успешной реализации Программы АО "ИО "КИК" вправе передавать дочерним организациям АО "НУХ "Байтерек" функции по организации строительства и/или приобретения объектов жилищного строительства (строящихся, незавершенных, построенных и не введенных в эксплуатацию, построенных и введенных в эксплуатацию (готовое жилье) объекты жилья), в том числе организации разработки и корректировки ПСД, организации проведения строительно-монтажных работ, технического надзора на всех этапах строительства, приемки и ввода в эксплуатацию арендного жилья, передаче жилья в собственность АО "ИО "КИК".</w:t>
      </w:r>
    </w:p>
    <w:p>
      <w:pPr>
        <w:spacing w:after="0"/>
        <w:ind w:left="0"/>
        <w:jc w:val="both"/>
      </w:pPr>
      <w:r>
        <w:rPr>
          <w:rFonts w:ascii="Times New Roman"/>
          <w:b w:val="false"/>
          <w:i w:val="false"/>
          <w:color w:val="000000"/>
          <w:sz w:val="28"/>
        </w:rPr>
        <w:t>
      АО "ИО "КИК" вправе совместно с частными инвесторами принимать участие в строительстве жилья (софинансировании), соответствующего требованиям Программы, в том числе на принципах государственно-частного партнерства в соответствии с законодательством Республики Казахстан и внутренними документами АО "ИО "КИК", а также путем финансирования через размещение обусловленного депозита в банках второго уровня.</w:t>
      </w:r>
    </w:p>
    <w:p>
      <w:pPr>
        <w:spacing w:after="0"/>
        <w:ind w:left="0"/>
        <w:jc w:val="both"/>
      </w:pPr>
      <w:r>
        <w:rPr>
          <w:rFonts w:ascii="Times New Roman"/>
          <w:b w:val="false"/>
          <w:i w:val="false"/>
          <w:color w:val="000000"/>
          <w:sz w:val="28"/>
        </w:rPr>
        <w:t xml:space="preserve">
      4. АО "ИО "КИК" вправе приобретать (выкупать) у третьих лиц, в том числе в рамках инвестиционных стратегических проектов (стратегических проектов), объекты жилищного строительства (строящиеся, незавершенные, построенные и не введенные в эксплуатацию, построенные и введенные в эксплуатацию (готовое жилье) объекты жилья, в том числе со встроенными коммерческими площадями и дополнительными этажами), соответствующие требованиям к проектам, установленным пунктом 5 настоящего подраздела, и требованиям, установленным внутренними документами АО "ИО "КИК". </w:t>
      </w:r>
    </w:p>
    <w:p>
      <w:pPr>
        <w:spacing w:after="0"/>
        <w:ind w:left="0"/>
        <w:jc w:val="both"/>
      </w:pPr>
      <w:r>
        <w:rPr>
          <w:rFonts w:ascii="Times New Roman"/>
          <w:b w:val="false"/>
          <w:i w:val="false"/>
          <w:color w:val="000000"/>
          <w:sz w:val="28"/>
        </w:rPr>
        <w:t>
      5. Проекты должны соответствовать следующим требованиям:</w:t>
      </w:r>
    </w:p>
    <w:p>
      <w:pPr>
        <w:spacing w:after="0"/>
        <w:ind w:left="0"/>
        <w:jc w:val="both"/>
      </w:pPr>
      <w:r>
        <w:rPr>
          <w:rFonts w:ascii="Times New Roman"/>
          <w:b w:val="false"/>
          <w:i w:val="false"/>
          <w:color w:val="000000"/>
          <w:sz w:val="28"/>
        </w:rPr>
        <w:t>
      1) общая площадь жилища (квартиры и (или) индивидуального одноэтажного жилого дома) в аренду с выкупом не должна превышать 80 квадратных метров с допустимым отклонением не более 5 %.</w:t>
      </w:r>
    </w:p>
    <w:p>
      <w:pPr>
        <w:spacing w:after="0"/>
        <w:ind w:left="0"/>
        <w:jc w:val="both"/>
      </w:pPr>
      <w:r>
        <w:rPr>
          <w:rFonts w:ascii="Times New Roman"/>
          <w:b w:val="false"/>
          <w:i w:val="false"/>
          <w:color w:val="000000"/>
          <w:sz w:val="28"/>
        </w:rPr>
        <w:t>
      Общая площадь жилища в аренду без выкупа с допустимым отклонением не более 10 % не должна превышать по:</w:t>
      </w:r>
    </w:p>
    <w:p>
      <w:pPr>
        <w:spacing w:after="0"/>
        <w:ind w:left="0"/>
        <w:jc w:val="both"/>
      </w:pPr>
      <w:r>
        <w:rPr>
          <w:rFonts w:ascii="Times New Roman"/>
          <w:b w:val="false"/>
          <w:i w:val="false"/>
          <w:color w:val="000000"/>
          <w:sz w:val="28"/>
        </w:rPr>
        <w:t>
      1 комнатной квартире 20 квадратных метров;</w:t>
      </w:r>
    </w:p>
    <w:p>
      <w:pPr>
        <w:spacing w:after="0"/>
        <w:ind w:left="0"/>
        <w:jc w:val="both"/>
      </w:pPr>
      <w:r>
        <w:rPr>
          <w:rFonts w:ascii="Times New Roman"/>
          <w:b w:val="false"/>
          <w:i w:val="false"/>
          <w:color w:val="000000"/>
          <w:sz w:val="28"/>
        </w:rPr>
        <w:t>
      2-х комнатной квартире 30 квадратных метров;</w:t>
      </w:r>
    </w:p>
    <w:p>
      <w:pPr>
        <w:spacing w:after="0"/>
        <w:ind w:left="0"/>
        <w:jc w:val="both"/>
      </w:pPr>
      <w:r>
        <w:rPr>
          <w:rFonts w:ascii="Times New Roman"/>
          <w:b w:val="false"/>
          <w:i w:val="false"/>
          <w:color w:val="000000"/>
          <w:sz w:val="28"/>
        </w:rPr>
        <w:t>
      3-х комнатной квартире 45 квадратных метров.</w:t>
      </w:r>
    </w:p>
    <w:p>
      <w:pPr>
        <w:spacing w:after="0"/>
        <w:ind w:left="0"/>
        <w:jc w:val="both"/>
      </w:pPr>
      <w:r>
        <w:rPr>
          <w:rFonts w:ascii="Times New Roman"/>
          <w:b w:val="false"/>
          <w:i w:val="false"/>
          <w:color w:val="000000"/>
          <w:sz w:val="28"/>
        </w:rPr>
        <w:t>
      В 2015 году на приобретение АО "ИО "КИК" строящихся, незавершенных, построенных и не введенных в эксплуатацию, построенных и введенных в эксплуатацию (готовое жилье) объектов жилья для аренды с выкупом с допустимым отклонением от общей площади не более 20 % от установленных пределов направляется не более чем 30 % средств из выделяемых с Национального фонда;</w:t>
      </w:r>
    </w:p>
    <w:p>
      <w:pPr>
        <w:spacing w:after="0"/>
        <w:ind w:left="0"/>
        <w:jc w:val="both"/>
      </w:pPr>
      <w:r>
        <w:rPr>
          <w:rFonts w:ascii="Times New Roman"/>
          <w:b w:val="false"/>
          <w:i w:val="false"/>
          <w:color w:val="000000"/>
          <w:sz w:val="28"/>
        </w:rPr>
        <w:t>
      2) ценовые параметры строительства и (или) приобретения жилья в чистовой отделке.</w:t>
      </w:r>
    </w:p>
    <w:p>
      <w:pPr>
        <w:spacing w:after="0"/>
        <w:ind w:left="0"/>
        <w:jc w:val="both"/>
      </w:pPr>
      <w:r>
        <w:rPr>
          <w:rFonts w:ascii="Times New Roman"/>
          <w:b w:val="false"/>
          <w:i w:val="false"/>
          <w:color w:val="000000"/>
          <w:sz w:val="28"/>
        </w:rPr>
        <w:t>
      Базовая стоимость строительства 1 квадратного метра общей площади жилища (квартиры и (или) индивидуального одноэтажного жилого дома) в чистовой отделке в городах Астане и Алматы составляет до 185 тыс. тенге (без стоимости ИКИ), в остальных регионах составляет до 150 тыс. тенге (без стоимости ИКИ), с ежегодной корректировкой цен, начиная с 2015 года, в соответствии с коэффициентом инфляции и (или) изменением индекса цен в строительстве.</w:t>
      </w:r>
    </w:p>
    <w:p>
      <w:pPr>
        <w:spacing w:after="0"/>
        <w:ind w:left="0"/>
        <w:jc w:val="both"/>
      </w:pPr>
      <w:r>
        <w:rPr>
          <w:rFonts w:ascii="Times New Roman"/>
          <w:b w:val="false"/>
          <w:i w:val="false"/>
          <w:color w:val="000000"/>
          <w:sz w:val="28"/>
        </w:rPr>
        <w:t>
      Стоимость строительства жилища (квартиры и (или) индивидуального одноэтажного жилого дома) в чистовой отделке будет определяться на основе положительного заключения государственной экспертизы на ПСД жилых домов и (или) заключений экспертов, имеющих соответствующий аттестат.</w:t>
      </w:r>
    </w:p>
    <w:p>
      <w:pPr>
        <w:spacing w:after="0"/>
        <w:ind w:left="0"/>
        <w:jc w:val="both"/>
      </w:pPr>
      <w:r>
        <w:rPr>
          <w:rFonts w:ascii="Times New Roman"/>
          <w:b w:val="false"/>
          <w:i w:val="false"/>
          <w:color w:val="000000"/>
          <w:sz w:val="28"/>
        </w:rPr>
        <w:t>
      Базовая цена приобретаемого (выкупаемого) 1 квадратного метра общей площади жилища (квартиры и (или) индивидуального одноэтажного жилого дома) в чистовой отделке в городах Астане и Алматы составляет до 200 тыс. тенге (без стоимости ИКИ), в остальных регионах составляет до 165 тыс. тенге (без стоимости ИКИ), с ежегодной корректировкой цен, начиная с 2015 года, в соответствии с коэффициентом инфляции и (или) изменением индекса цен в строительстве.</w:t>
      </w:r>
    </w:p>
    <w:p>
      <w:pPr>
        <w:spacing w:after="0"/>
        <w:ind w:left="0"/>
        <w:jc w:val="both"/>
      </w:pPr>
      <w:r>
        <w:rPr>
          <w:rFonts w:ascii="Times New Roman"/>
          <w:b w:val="false"/>
          <w:i w:val="false"/>
          <w:color w:val="000000"/>
          <w:sz w:val="28"/>
        </w:rPr>
        <w:t>
      Базовая цена строительства и/или приобретаемого (выкупаемого) 1 квадратного метра жилища (квартиры и (или) индивидуального одноэтажного жилого дома) в чистовой отделке в селе Кощи, как города-спутника города Астаны, устанавливается аналогично ценам жилья по городу Астане.</w:t>
      </w:r>
    </w:p>
    <w:p>
      <w:pPr>
        <w:spacing w:after="0"/>
        <w:ind w:left="0"/>
        <w:jc w:val="both"/>
      </w:pPr>
      <w:r>
        <w:rPr>
          <w:rFonts w:ascii="Times New Roman"/>
          <w:b w:val="false"/>
          <w:i w:val="false"/>
          <w:color w:val="000000"/>
          <w:sz w:val="28"/>
        </w:rPr>
        <w:t xml:space="preserve">
      В зоне особого градостроительного регулирования, прилегающих к границе города Алматы территориях Алматинской области, стоимость строительства или цена приобретения жилища (квартиры и (или) индивидуального одноэтажного жилого дома) в чистовой отделке за 1 квадратный метр определяется аналогично ценам на жилье по городу Алматы. Зона особого градостроительного регулирования определена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октября 2010 года № 1097 "О Генеральном плане пригородной зоны города Алматы (Комплексная схема градостроительного планирования территорий)".</w:t>
      </w:r>
    </w:p>
    <w:p>
      <w:pPr>
        <w:spacing w:after="0"/>
        <w:ind w:left="0"/>
        <w:jc w:val="both"/>
      </w:pPr>
      <w:r>
        <w:rPr>
          <w:rFonts w:ascii="Times New Roman"/>
          <w:b w:val="false"/>
          <w:i w:val="false"/>
          <w:color w:val="000000"/>
          <w:sz w:val="28"/>
        </w:rPr>
        <w:t>
      6. АО "ИО "КИК" для реализации задач, поставленных в рамках Программы, вправе создавать дочерние организации. При этом взаимоотношения между АО "ИО "КИК" и его дочерними организациями регламентируются отдельными соглашениями/договорами.</w:t>
      </w:r>
    </w:p>
    <w:p>
      <w:pPr>
        <w:spacing w:after="0"/>
        <w:ind w:left="0"/>
        <w:jc w:val="left"/>
      </w:pPr>
      <w:r>
        <w:rPr>
          <w:rFonts w:ascii="Times New Roman"/>
          <w:b/>
          <w:i w:val="false"/>
          <w:color w:val="000000"/>
        </w:rPr>
        <w:t xml:space="preserve"> 4. Жилье АО "Фонд недвижимости "Самрук-Қазына"</w:t>
      </w:r>
    </w:p>
    <w:p>
      <w:pPr>
        <w:spacing w:after="0"/>
        <w:ind w:left="0"/>
        <w:jc w:val="both"/>
      </w:pPr>
      <w:r>
        <w:rPr>
          <w:rFonts w:ascii="Times New Roman"/>
          <w:b w:val="false"/>
          <w:i w:val="false"/>
          <w:color w:val="000000"/>
          <w:sz w:val="28"/>
        </w:rPr>
        <w:t>
      Для осуществления строительства жилья по данному направлению будут использоваться собственные средства АО "ФНБ "Самрук-Қазына", средства Национального фонда Республики Казахстан.</w:t>
      </w:r>
    </w:p>
    <w:p>
      <w:pPr>
        <w:spacing w:after="0"/>
        <w:ind w:left="0"/>
        <w:jc w:val="both"/>
      </w:pPr>
      <w:r>
        <w:rPr>
          <w:rFonts w:ascii="Times New Roman"/>
          <w:b w:val="false"/>
          <w:i w:val="false"/>
          <w:color w:val="000000"/>
          <w:sz w:val="28"/>
        </w:rPr>
        <w:t>
      Механизмы строительства жилых объектов:</w:t>
      </w:r>
    </w:p>
    <w:p>
      <w:pPr>
        <w:spacing w:after="0"/>
        <w:ind w:left="0"/>
        <w:jc w:val="both"/>
      </w:pPr>
      <w:r>
        <w:rPr>
          <w:rFonts w:ascii="Times New Roman"/>
          <w:b w:val="false"/>
          <w:i w:val="false"/>
          <w:color w:val="000000"/>
          <w:sz w:val="28"/>
        </w:rPr>
        <w:t>
      1. Организация строительства по инвестиционным заявкам частных застройщиков (инвесторов).</w:t>
      </w:r>
    </w:p>
    <w:p>
      <w:pPr>
        <w:spacing w:after="0"/>
        <w:ind w:left="0"/>
        <w:jc w:val="both"/>
      </w:pPr>
      <w:r>
        <w:rPr>
          <w:rFonts w:ascii="Times New Roman"/>
          <w:b w:val="false"/>
          <w:i w:val="false"/>
          <w:color w:val="000000"/>
          <w:sz w:val="28"/>
        </w:rPr>
        <w:t>
      В соответствии с внутренними процедурами Фонд недвижимости проводит отбор и рассмотрение проектов по строительству жилых объектов (далее – проекты), представленных частными застройщиками (инвесторами).</w:t>
      </w:r>
    </w:p>
    <w:p>
      <w:pPr>
        <w:spacing w:after="0"/>
        <w:ind w:left="0"/>
        <w:jc w:val="both"/>
      </w:pPr>
      <w:r>
        <w:rPr>
          <w:rFonts w:ascii="Times New Roman"/>
          <w:b w:val="false"/>
          <w:i w:val="false"/>
          <w:color w:val="000000"/>
          <w:sz w:val="28"/>
        </w:rPr>
        <w:t>
      Проекты должны соответствовать следующим требованиям:</w:t>
      </w:r>
    </w:p>
    <w:p>
      <w:pPr>
        <w:spacing w:after="0"/>
        <w:ind w:left="0"/>
        <w:jc w:val="both"/>
      </w:pPr>
      <w:r>
        <w:rPr>
          <w:rFonts w:ascii="Times New Roman"/>
          <w:b w:val="false"/>
          <w:i w:val="false"/>
          <w:color w:val="000000"/>
          <w:sz w:val="28"/>
        </w:rPr>
        <w:t>
      1) наличие земельного участка, свободного от обременений, обеспеченного или запланированного МИО к обеспечению соответствующей ИКИ в соответствии с планами развития инфраструктуры;</w:t>
      </w:r>
    </w:p>
    <w:p>
      <w:pPr>
        <w:spacing w:after="0"/>
        <w:ind w:left="0"/>
        <w:jc w:val="both"/>
      </w:pPr>
      <w:r>
        <w:rPr>
          <w:rFonts w:ascii="Times New Roman"/>
          <w:b w:val="false"/>
          <w:i w:val="false"/>
          <w:color w:val="000000"/>
          <w:sz w:val="28"/>
        </w:rPr>
        <w:t>
      2) наличие ПСД с заключением государственной экспертизы;</w:t>
      </w:r>
    </w:p>
    <w:p>
      <w:pPr>
        <w:spacing w:after="0"/>
        <w:ind w:left="0"/>
        <w:jc w:val="both"/>
      </w:pPr>
      <w:r>
        <w:rPr>
          <w:rFonts w:ascii="Times New Roman"/>
          <w:b w:val="false"/>
          <w:i w:val="false"/>
          <w:color w:val="000000"/>
          <w:sz w:val="28"/>
        </w:rPr>
        <w:t>
      3) класс комфортности жилья – не выше 3 класса по СНиП Республики Казахстан 3.02-43-2007 "Жилые здания". Общая площадь одной квартиры Фонда недвижимости не должна превышать 120 кв. метров и/или одноквартирного малоэтажного дома (коттеджа) – не более 200 кв. метров, наличие коммерческих помещений и машиномест в соответствии с требованиями СНиП Республики Казахстан. Базовая стоимость строительства 1 кв. метра общей площади жилища (квартиры) должна составлять в ценах 2012 года не более 150 тыс. тенге в городах Астане, Алматы, Атырау, Актау и их пригородных зонах, не более 120 тыс. тенге – в других регионах Республики Казахстан. В последующие годы стоимость строительства 1 кв. метра общей площади жилища (квартиры) будет скорректирована с учетом изменения индекса цен в строительстве;</w:t>
      </w:r>
    </w:p>
    <w:p>
      <w:pPr>
        <w:spacing w:after="0"/>
        <w:ind w:left="0"/>
        <w:jc w:val="both"/>
      </w:pPr>
      <w:r>
        <w:rPr>
          <w:rFonts w:ascii="Times New Roman"/>
          <w:b w:val="false"/>
          <w:i w:val="false"/>
          <w:color w:val="000000"/>
          <w:sz w:val="28"/>
        </w:rPr>
        <w:t>
      4) доля участия застройщика (инвестора) в проекте должна быть не менее 20 % от стоимости проекта, включая затраты на приобретение земельного участка (по кадастровой стоимости), разработку ПСД и проведение государственной экспертизы, и/или денежные средства, обеспеченные соответствующими гарантиями либо наличием подтвержденных источников финансирования на срок до завершения строительства объекта, и/или незавершенное строительство, подтвержденное заключением технического аудита по выполненному объему строительно-монтажных работ в объекте до момента начала реализации проекта с участием Фонда недвижимости.</w:t>
      </w:r>
    </w:p>
    <w:p>
      <w:pPr>
        <w:spacing w:after="0"/>
        <w:ind w:left="0"/>
        <w:jc w:val="both"/>
      </w:pPr>
      <w:r>
        <w:rPr>
          <w:rFonts w:ascii="Times New Roman"/>
          <w:b w:val="false"/>
          <w:i w:val="false"/>
          <w:color w:val="000000"/>
          <w:sz w:val="28"/>
        </w:rPr>
        <w:t>
      При отборе приоритет отдается тем проектам, в которых доля участия застройщика (инвестора) в финансировании больше.</w:t>
      </w:r>
    </w:p>
    <w:p>
      <w:pPr>
        <w:spacing w:after="0"/>
        <w:ind w:left="0"/>
        <w:jc w:val="both"/>
      </w:pPr>
      <w:r>
        <w:rPr>
          <w:rFonts w:ascii="Times New Roman"/>
          <w:b w:val="false"/>
          <w:i w:val="false"/>
          <w:color w:val="000000"/>
          <w:sz w:val="28"/>
        </w:rPr>
        <w:t>
      2. Реализация проектов Фондом недвижимости на земельных участках МИО.</w:t>
      </w:r>
    </w:p>
    <w:p>
      <w:pPr>
        <w:spacing w:after="0"/>
        <w:ind w:left="0"/>
        <w:jc w:val="both"/>
      </w:pPr>
      <w:r>
        <w:rPr>
          <w:rFonts w:ascii="Times New Roman"/>
          <w:b w:val="false"/>
          <w:i w:val="false"/>
          <w:color w:val="000000"/>
          <w:sz w:val="28"/>
        </w:rPr>
        <w:t>
      В случае предоставления МИО Фонду недвижимости земельных участков, обеспеченных или запланированных к обеспечению соответствующей инженерно-коммуникационной инфраструктурой, Фонд недвижимости организует строительство жилья, соответствующего требованиям, указанным в подпункте 3) пункта 1 данного раздела, с привлечением строительных компаний (инвесторов) для участия в реализации проектов. При этом строительные компании могут привлекаться Фондом недвижимости в качестве инвесторов и/или генеральных подрядчиков по проектам.</w:t>
      </w:r>
    </w:p>
    <w:p>
      <w:pPr>
        <w:spacing w:after="0"/>
        <w:ind w:left="0"/>
        <w:jc w:val="both"/>
      </w:pPr>
      <w:r>
        <w:rPr>
          <w:rFonts w:ascii="Times New Roman"/>
          <w:b w:val="false"/>
          <w:i w:val="false"/>
          <w:color w:val="000000"/>
          <w:sz w:val="28"/>
        </w:rPr>
        <w:t>
      3. Реализация проектов через целевой депозит.</w:t>
      </w:r>
    </w:p>
    <w:p>
      <w:pPr>
        <w:spacing w:after="0"/>
        <w:ind w:left="0"/>
        <w:jc w:val="both"/>
      </w:pPr>
      <w:r>
        <w:rPr>
          <w:rFonts w:ascii="Times New Roman"/>
          <w:b w:val="false"/>
          <w:i w:val="false"/>
          <w:color w:val="000000"/>
          <w:sz w:val="28"/>
        </w:rPr>
        <w:t>
      Для финансирования строительства жилья Фонд недвижимости размещает целевые депозиты в банках второго уровня путем заключения договора о целевом срочном банковском вкладе, в соответствии с которыми банки второго уровня за счет средств целевого вклада осуществляют кредитование застройщиков для строительства жилых объектов.</w:t>
      </w:r>
    </w:p>
    <w:p>
      <w:pPr>
        <w:spacing w:after="0"/>
        <w:ind w:left="0"/>
        <w:jc w:val="both"/>
      </w:pPr>
      <w:r>
        <w:rPr>
          <w:rFonts w:ascii="Times New Roman"/>
          <w:b w:val="false"/>
          <w:i w:val="false"/>
          <w:color w:val="000000"/>
          <w:sz w:val="28"/>
        </w:rPr>
        <w:t>
      Жилье, передаваемое в собственность Фонд недвижимости в счет возмещения суммы целевого депозита, должно соответствовать требованиям, указанным в подпункте 3) пункта 1 данного раздела.</w:t>
      </w:r>
    </w:p>
    <w:p>
      <w:pPr>
        <w:spacing w:after="0"/>
        <w:ind w:left="0"/>
        <w:jc w:val="both"/>
      </w:pPr>
      <w:r>
        <w:rPr>
          <w:rFonts w:ascii="Times New Roman"/>
          <w:b w:val="false"/>
          <w:i w:val="false"/>
          <w:color w:val="000000"/>
          <w:sz w:val="28"/>
        </w:rPr>
        <w:t>
      Условия и порядок размещения Фондом недвижимости целевых депозитов в банках второго уровня регламентируется внутренней документацией Фонда недвижимости.</w:t>
      </w:r>
    </w:p>
    <w:p>
      <w:pPr>
        <w:spacing w:after="0"/>
        <w:ind w:left="0"/>
        <w:jc w:val="both"/>
      </w:pPr>
      <w:r>
        <w:rPr>
          <w:rFonts w:ascii="Times New Roman"/>
          <w:b w:val="false"/>
          <w:i w:val="false"/>
          <w:color w:val="000000"/>
          <w:sz w:val="28"/>
        </w:rPr>
        <w:t>
      4. Фонд недвижимости имеет право осуществлять выкуп жилых и нежилых помещений, соответствующих требованиям, указанным в подпунктах 1-3) пункта 1 данного раздела, в строящихся объектах недвижимости.</w:t>
      </w:r>
    </w:p>
    <w:p>
      <w:pPr>
        <w:spacing w:after="0"/>
        <w:ind w:left="0"/>
        <w:jc w:val="both"/>
      </w:pPr>
      <w:r>
        <w:rPr>
          <w:rFonts w:ascii="Times New Roman"/>
          <w:b w:val="false"/>
          <w:i w:val="false"/>
          <w:color w:val="000000"/>
          <w:sz w:val="28"/>
        </w:rPr>
        <w:t>
      5. После завершения строительства и ввода объекта в эксплуатацию помещения распределяются согласно долям участия в проекте.</w:t>
      </w:r>
    </w:p>
    <w:p>
      <w:pPr>
        <w:spacing w:after="0"/>
        <w:ind w:left="0"/>
        <w:jc w:val="both"/>
      </w:pPr>
      <w:r>
        <w:rPr>
          <w:rFonts w:ascii="Times New Roman"/>
          <w:b w:val="false"/>
          <w:i w:val="false"/>
          <w:color w:val="000000"/>
          <w:sz w:val="28"/>
        </w:rPr>
        <w:t>
      Вместе с тем, застройщику (инвестору) может быть предоставлено право реализации профинансированных Фондом недвижимости помещений по свободной цене, но не более 50 % от общей площади с выплатой Фонду недвижимости стоимости помещения и вознаграждения в размере не менее действующей ставки рефинансирования, установленной Национальным Банком Республики Казахстан на момент заключения соответствующего договора.</w:t>
      </w:r>
    </w:p>
    <w:p>
      <w:pPr>
        <w:spacing w:after="0"/>
        <w:ind w:left="0"/>
        <w:jc w:val="both"/>
      </w:pPr>
      <w:r>
        <w:rPr>
          <w:rFonts w:ascii="Times New Roman"/>
          <w:b w:val="false"/>
          <w:i w:val="false"/>
          <w:color w:val="000000"/>
          <w:sz w:val="28"/>
        </w:rPr>
        <w:t>
      Фонд недвижимости, руководствуясь принципами сохранности и возвратности вложенных инвестиций, осуществляет постоянный мониторинг за ходом строительства объекта.</w:t>
      </w:r>
    </w:p>
    <w:p>
      <w:pPr>
        <w:spacing w:after="0"/>
        <w:ind w:left="0"/>
        <w:jc w:val="both"/>
      </w:pPr>
      <w:r>
        <w:rPr>
          <w:rFonts w:ascii="Times New Roman"/>
          <w:b w:val="false"/>
          <w:i w:val="false"/>
          <w:color w:val="000000"/>
          <w:sz w:val="28"/>
        </w:rPr>
        <w:t>
      6. Базовая цена прямой продажи 1 кв. метра общей площади жилища (квартиры) в первый год реализации Фондом недвижимости составит не более 180 тыс. тенге в городах Астане, Алматы, Атырау, Актау и их пригородных зонах, не более 144 тыс. тенге – в других регионах Республики Казахстан. В последующие годы цена прямой продажи будет уточнена с учетом изменения стоимости строительства 1 кв. метра жилища (квартиры).</w:t>
      </w:r>
    </w:p>
    <w:p>
      <w:pPr>
        <w:spacing w:after="0"/>
        <w:ind w:left="0"/>
        <w:jc w:val="left"/>
      </w:pPr>
      <w:r>
        <w:rPr>
          <w:rFonts w:ascii="Times New Roman"/>
          <w:b/>
          <w:i w:val="false"/>
          <w:color w:val="000000"/>
        </w:rPr>
        <w:t xml:space="preserve"> 5. Жилье в рамках пилотного проекта по сносу аварийного жилья</w:t>
      </w:r>
      <w:r>
        <w:br/>
      </w:r>
      <w:r>
        <w:rPr>
          <w:rFonts w:ascii="Times New Roman"/>
          <w:b/>
          <w:i w:val="false"/>
          <w:color w:val="000000"/>
        </w:rPr>
        <w:t>в городе Астане</w:t>
      </w:r>
    </w:p>
    <w:p>
      <w:pPr>
        <w:spacing w:after="0"/>
        <w:ind w:left="0"/>
        <w:jc w:val="both"/>
      </w:pPr>
      <w:r>
        <w:rPr>
          <w:rFonts w:ascii="Times New Roman"/>
          <w:b w:val="false"/>
          <w:i w:val="false"/>
          <w:color w:val="000000"/>
          <w:sz w:val="28"/>
        </w:rPr>
        <w:t>
      1. Общее описание пилотного проекта по городу Астане.</w:t>
      </w:r>
    </w:p>
    <w:p>
      <w:pPr>
        <w:spacing w:after="0"/>
        <w:ind w:left="0"/>
        <w:jc w:val="both"/>
      </w:pPr>
      <w:r>
        <w:rPr>
          <w:rFonts w:ascii="Times New Roman"/>
          <w:b w:val="false"/>
          <w:i w:val="false"/>
          <w:color w:val="000000"/>
          <w:sz w:val="28"/>
        </w:rPr>
        <w:t>
      При разработке данного направления был применен опыт города Анкары по реализации Программы регенерации городской среды с участием государственного предприятия "ТOKI", заключающейся в строительстве социального жилья со сносом аварийного и ветхого жилья.</w:t>
      </w:r>
    </w:p>
    <w:p>
      <w:pPr>
        <w:spacing w:after="0"/>
        <w:ind w:left="0"/>
        <w:jc w:val="both"/>
      </w:pPr>
      <w:r>
        <w:rPr>
          <w:rFonts w:ascii="Times New Roman"/>
          <w:b w:val="false"/>
          <w:i w:val="false"/>
          <w:color w:val="000000"/>
          <w:sz w:val="28"/>
        </w:rPr>
        <w:t>
      В сложившейся части города Астаны подлежат реконструкции и сносу 2 978 домов, площадью 588 тыс. кв. метров или 11 264 квартиры, которые разделены на 42 района реконструкции, на территории – 315,6 га. Из них:</w:t>
      </w:r>
    </w:p>
    <w:p>
      <w:pPr>
        <w:spacing w:after="0"/>
        <w:ind w:left="0"/>
        <w:jc w:val="both"/>
      </w:pPr>
      <w:r>
        <w:rPr>
          <w:rFonts w:ascii="Times New Roman"/>
          <w:b w:val="false"/>
          <w:i w:val="false"/>
          <w:color w:val="000000"/>
          <w:sz w:val="28"/>
        </w:rPr>
        <w:t>
      1) 5-ти этажные – 66 домов;</w:t>
      </w:r>
    </w:p>
    <w:p>
      <w:pPr>
        <w:spacing w:after="0"/>
        <w:ind w:left="0"/>
        <w:jc w:val="both"/>
      </w:pPr>
      <w:r>
        <w:rPr>
          <w:rFonts w:ascii="Times New Roman"/>
          <w:b w:val="false"/>
          <w:i w:val="false"/>
          <w:color w:val="000000"/>
          <w:sz w:val="28"/>
        </w:rPr>
        <w:t>
      2) 4-х этажные – 13 домов;</w:t>
      </w:r>
    </w:p>
    <w:p>
      <w:pPr>
        <w:spacing w:after="0"/>
        <w:ind w:left="0"/>
        <w:jc w:val="both"/>
      </w:pPr>
      <w:r>
        <w:rPr>
          <w:rFonts w:ascii="Times New Roman"/>
          <w:b w:val="false"/>
          <w:i w:val="false"/>
          <w:color w:val="000000"/>
          <w:sz w:val="28"/>
        </w:rPr>
        <w:t>
      3) 3-х этажные – 19 домов;</w:t>
      </w:r>
    </w:p>
    <w:p>
      <w:pPr>
        <w:spacing w:after="0"/>
        <w:ind w:left="0"/>
        <w:jc w:val="both"/>
      </w:pPr>
      <w:r>
        <w:rPr>
          <w:rFonts w:ascii="Times New Roman"/>
          <w:b w:val="false"/>
          <w:i w:val="false"/>
          <w:color w:val="000000"/>
          <w:sz w:val="28"/>
        </w:rPr>
        <w:t>
      4) 2-х этажные – 174 дома;</w:t>
      </w:r>
    </w:p>
    <w:p>
      <w:pPr>
        <w:spacing w:after="0"/>
        <w:ind w:left="0"/>
        <w:jc w:val="both"/>
      </w:pPr>
      <w:r>
        <w:rPr>
          <w:rFonts w:ascii="Times New Roman"/>
          <w:b w:val="false"/>
          <w:i w:val="false"/>
          <w:color w:val="000000"/>
          <w:sz w:val="28"/>
        </w:rPr>
        <w:t>
      5) 1-этажные (бараки) – 127 домов;</w:t>
      </w:r>
    </w:p>
    <w:p>
      <w:pPr>
        <w:spacing w:after="0"/>
        <w:ind w:left="0"/>
        <w:jc w:val="both"/>
      </w:pPr>
      <w:r>
        <w:rPr>
          <w:rFonts w:ascii="Times New Roman"/>
          <w:b w:val="false"/>
          <w:i w:val="false"/>
          <w:color w:val="000000"/>
          <w:sz w:val="28"/>
        </w:rPr>
        <w:t>
      6) дома усадебного типа – 2 579 домов.</w:t>
      </w:r>
    </w:p>
    <w:p>
      <w:pPr>
        <w:spacing w:after="0"/>
        <w:ind w:left="0"/>
        <w:jc w:val="both"/>
      </w:pPr>
      <w:r>
        <w:rPr>
          <w:rFonts w:ascii="Times New Roman"/>
          <w:b w:val="false"/>
          <w:i w:val="false"/>
          <w:color w:val="000000"/>
          <w:sz w:val="28"/>
        </w:rPr>
        <w:t>
      Площадь проектируемого жилья взамен сносимого составит 3,1 млн. кв. метров.</w:t>
      </w:r>
    </w:p>
    <w:p>
      <w:pPr>
        <w:spacing w:after="0"/>
        <w:ind w:left="0"/>
        <w:jc w:val="both"/>
      </w:pPr>
      <w:r>
        <w:rPr>
          <w:rFonts w:ascii="Times New Roman"/>
          <w:b w:val="false"/>
          <w:i w:val="false"/>
          <w:color w:val="000000"/>
          <w:sz w:val="28"/>
        </w:rPr>
        <w:t>
      2. Реализация пилотного проекта обеспечит:</w:t>
      </w:r>
    </w:p>
    <w:p>
      <w:pPr>
        <w:spacing w:after="0"/>
        <w:ind w:left="0"/>
        <w:jc w:val="both"/>
      </w:pPr>
      <w:r>
        <w:rPr>
          <w:rFonts w:ascii="Times New Roman"/>
          <w:b w:val="false"/>
          <w:i w:val="false"/>
          <w:color w:val="000000"/>
          <w:sz w:val="28"/>
        </w:rPr>
        <w:t xml:space="preserve">
      1) выполнение к концу 2017 года мероприятий по сносу 228 аварийных домов площадью 150,0 тыс. кв. метров и переселение 3 519 семей; </w:t>
      </w:r>
    </w:p>
    <w:p>
      <w:pPr>
        <w:spacing w:after="0"/>
        <w:ind w:left="0"/>
        <w:jc w:val="both"/>
      </w:pPr>
      <w:r>
        <w:rPr>
          <w:rFonts w:ascii="Times New Roman"/>
          <w:b w:val="false"/>
          <w:i w:val="false"/>
          <w:color w:val="000000"/>
          <w:sz w:val="28"/>
        </w:rPr>
        <w:t>
      2) снижение нагрузки на местный бюджет по строительству жилья для переселения собственников аварийных домостроений за счет реинвестируемых средств от продажи жилых и нежилых помещений по рыночным ценам и предоставления сопутствующих услуг в ходе реализации проекта;</w:t>
      </w:r>
    </w:p>
    <w:p>
      <w:pPr>
        <w:spacing w:after="0"/>
        <w:ind w:left="0"/>
        <w:jc w:val="both"/>
      </w:pPr>
      <w:r>
        <w:rPr>
          <w:rFonts w:ascii="Times New Roman"/>
          <w:b w:val="false"/>
          <w:i w:val="false"/>
          <w:color w:val="000000"/>
          <w:sz w:val="28"/>
        </w:rPr>
        <w:t>
      3) пополнение коммунального жилого фонда, начиная с 2018 года в пропорции 10 % от реализуемого проекта в коммунальный жилой фонд и 90 % – на реализацию в частную собственность;</w:t>
      </w:r>
    </w:p>
    <w:p>
      <w:pPr>
        <w:spacing w:after="0"/>
        <w:ind w:left="0"/>
        <w:jc w:val="both"/>
      </w:pPr>
      <w:r>
        <w:rPr>
          <w:rFonts w:ascii="Times New Roman"/>
          <w:b w:val="false"/>
          <w:i w:val="false"/>
          <w:color w:val="000000"/>
          <w:sz w:val="28"/>
        </w:rPr>
        <w:t>
      4) комплексную реконструкцию "старых" кварталов столицы с созданием современного архитектурного облика, соответствующего статусу столицы.</w:t>
      </w:r>
    </w:p>
    <w:p>
      <w:pPr>
        <w:spacing w:after="0"/>
        <w:ind w:left="0"/>
        <w:jc w:val="both"/>
      </w:pPr>
      <w:r>
        <w:rPr>
          <w:rFonts w:ascii="Times New Roman"/>
          <w:b w:val="false"/>
          <w:i w:val="false"/>
          <w:color w:val="000000"/>
          <w:sz w:val="28"/>
        </w:rPr>
        <w:t>
      3. Реализация механизма сноса аварийного жилья и переселения граждан.</w:t>
      </w:r>
    </w:p>
    <w:p>
      <w:pPr>
        <w:spacing w:after="0"/>
        <w:ind w:left="0"/>
        <w:jc w:val="both"/>
      </w:pPr>
      <w:r>
        <w:rPr>
          <w:rFonts w:ascii="Times New Roman"/>
          <w:b w:val="false"/>
          <w:i w:val="false"/>
          <w:color w:val="000000"/>
          <w:sz w:val="28"/>
        </w:rPr>
        <w:t>
      Акимат города Астаны:</w:t>
      </w:r>
    </w:p>
    <w:p>
      <w:pPr>
        <w:spacing w:after="0"/>
        <w:ind w:left="0"/>
        <w:jc w:val="both"/>
      </w:pPr>
      <w:r>
        <w:rPr>
          <w:rFonts w:ascii="Times New Roman"/>
          <w:b w:val="false"/>
          <w:i w:val="false"/>
          <w:color w:val="000000"/>
          <w:sz w:val="28"/>
        </w:rPr>
        <w:t xml:space="preserve">
      1) создает уполномоченную организацию для реализации проекта реконструкции городской среды, сноса аварийного жилья и строительства жилого фонда города Астаны; </w:t>
      </w:r>
    </w:p>
    <w:p>
      <w:pPr>
        <w:spacing w:after="0"/>
        <w:ind w:left="0"/>
        <w:jc w:val="both"/>
      </w:pPr>
      <w:r>
        <w:rPr>
          <w:rFonts w:ascii="Times New Roman"/>
          <w:b w:val="false"/>
          <w:i w:val="false"/>
          <w:color w:val="000000"/>
          <w:sz w:val="28"/>
        </w:rPr>
        <w:t>
      2) проводит комиссионные обследования домостроений, по результатам которых будут составлены акты технических обследований с указанием их физического износа и установления оснований для признания жилья аварийным;</w:t>
      </w:r>
    </w:p>
    <w:p>
      <w:pPr>
        <w:spacing w:after="0"/>
        <w:ind w:left="0"/>
        <w:jc w:val="both"/>
      </w:pPr>
      <w:r>
        <w:rPr>
          <w:rFonts w:ascii="Times New Roman"/>
          <w:b w:val="false"/>
          <w:i w:val="false"/>
          <w:color w:val="000000"/>
          <w:sz w:val="28"/>
        </w:rPr>
        <w:t>
      3) в установленном законодательством порядке в рамках чрезвычайной ситуации местного масштаба производит изъятие и освобождение земельных участков;</w:t>
      </w:r>
    </w:p>
    <w:p>
      <w:pPr>
        <w:spacing w:after="0"/>
        <w:ind w:left="0"/>
        <w:jc w:val="both"/>
      </w:pPr>
      <w:r>
        <w:rPr>
          <w:rFonts w:ascii="Times New Roman"/>
          <w:b w:val="false"/>
          <w:i w:val="false"/>
          <w:color w:val="000000"/>
          <w:sz w:val="28"/>
        </w:rPr>
        <w:t>
      4) определяет районы реконструкции, производит отвод земельных участков для осуществления строительства;</w:t>
      </w:r>
    </w:p>
    <w:p>
      <w:pPr>
        <w:spacing w:after="0"/>
        <w:ind w:left="0"/>
        <w:jc w:val="both"/>
      </w:pPr>
      <w:r>
        <w:rPr>
          <w:rFonts w:ascii="Times New Roman"/>
          <w:b w:val="false"/>
          <w:i w:val="false"/>
          <w:color w:val="000000"/>
          <w:sz w:val="28"/>
        </w:rPr>
        <w:t>
      5) обеспечивает строительство инженерных сетей и благоустройство;</w:t>
      </w:r>
    </w:p>
    <w:p>
      <w:pPr>
        <w:spacing w:after="0"/>
        <w:ind w:left="0"/>
        <w:jc w:val="both"/>
      </w:pPr>
      <w:r>
        <w:rPr>
          <w:rFonts w:ascii="Times New Roman"/>
          <w:b w:val="false"/>
          <w:i w:val="false"/>
          <w:color w:val="000000"/>
          <w:sz w:val="28"/>
        </w:rPr>
        <w:t>
      6) в соответствии с законодательством Республики Казахстан обеспечивает жильем собственников аварийных домостроений из существующего и формируемого в дальнейшем за счет передаваемых уполномоченной организацией долей коммунального жилого фонда;</w:t>
      </w:r>
    </w:p>
    <w:p>
      <w:pPr>
        <w:spacing w:after="0"/>
        <w:ind w:left="0"/>
        <w:jc w:val="both"/>
      </w:pPr>
      <w:r>
        <w:rPr>
          <w:rFonts w:ascii="Times New Roman"/>
          <w:b w:val="false"/>
          <w:i w:val="false"/>
          <w:color w:val="000000"/>
          <w:sz w:val="28"/>
        </w:rPr>
        <w:t>
      7) предоставляет собственникам аварийного жилья новые квартиры в равнозначных по площади размерах взамен сносимого жилья, но не менее однокомнатной квартиры;</w:t>
      </w:r>
    </w:p>
    <w:p>
      <w:pPr>
        <w:spacing w:after="0"/>
        <w:ind w:left="0"/>
        <w:jc w:val="both"/>
      </w:pPr>
      <w:r>
        <w:rPr>
          <w:rFonts w:ascii="Times New Roman"/>
          <w:b w:val="false"/>
          <w:i w:val="false"/>
          <w:color w:val="000000"/>
          <w:sz w:val="28"/>
        </w:rPr>
        <w:t>
      8) организует возмещение стоимости за реквизируемое имущество собственникам нежилых помещений в аварийных домах. В случае согласия собственника нежилого помещения, находящегося в аварийном доме, возмещение за реквизируемое имущество может быть обеспечено путем предоставления равнозначных по площади нежилых помещений в строящихся объектах по данному направлению Программы.</w:t>
      </w:r>
    </w:p>
    <w:p>
      <w:pPr>
        <w:spacing w:after="0"/>
        <w:ind w:left="0"/>
        <w:jc w:val="both"/>
      </w:pPr>
      <w:r>
        <w:rPr>
          <w:rFonts w:ascii="Times New Roman"/>
          <w:b w:val="false"/>
          <w:i w:val="false"/>
          <w:color w:val="000000"/>
          <w:sz w:val="28"/>
        </w:rPr>
        <w:t>
      Уполномоченная организация (со 100 % участием акимата города Астаны):</w:t>
      </w:r>
    </w:p>
    <w:p>
      <w:pPr>
        <w:spacing w:after="0"/>
        <w:ind w:left="0"/>
        <w:jc w:val="both"/>
      </w:pPr>
      <w:r>
        <w:rPr>
          <w:rFonts w:ascii="Times New Roman"/>
          <w:b w:val="false"/>
          <w:i w:val="false"/>
          <w:color w:val="000000"/>
          <w:sz w:val="28"/>
        </w:rPr>
        <w:t xml:space="preserve">
      1) проектирует и осуществляет строительство жилых домов; </w:t>
      </w:r>
    </w:p>
    <w:p>
      <w:pPr>
        <w:spacing w:after="0"/>
        <w:ind w:left="0"/>
        <w:jc w:val="both"/>
      </w:pPr>
      <w:r>
        <w:rPr>
          <w:rFonts w:ascii="Times New Roman"/>
          <w:b w:val="false"/>
          <w:i w:val="false"/>
          <w:color w:val="000000"/>
          <w:sz w:val="28"/>
        </w:rPr>
        <w:t>
      2) обеспечивает передачу доли построенного жилья в коммунальный жилой фонд для переселения собственников аварийных домостроений;</w:t>
      </w:r>
    </w:p>
    <w:p>
      <w:pPr>
        <w:spacing w:after="0"/>
        <w:ind w:left="0"/>
        <w:jc w:val="both"/>
      </w:pPr>
      <w:r>
        <w:rPr>
          <w:rFonts w:ascii="Times New Roman"/>
          <w:b w:val="false"/>
          <w:i w:val="false"/>
          <w:color w:val="000000"/>
          <w:sz w:val="28"/>
        </w:rPr>
        <w:t>
      3) реализует на рынке часть жилых и нежилых помещений;</w:t>
      </w:r>
    </w:p>
    <w:p>
      <w:pPr>
        <w:spacing w:after="0"/>
        <w:ind w:left="0"/>
        <w:jc w:val="both"/>
      </w:pPr>
      <w:r>
        <w:rPr>
          <w:rFonts w:ascii="Times New Roman"/>
          <w:b w:val="false"/>
          <w:i w:val="false"/>
          <w:color w:val="000000"/>
          <w:sz w:val="28"/>
        </w:rPr>
        <w:t>
      4) за счет реинвестирования полученных доходов от продажи жилых и нежилых помещений и предоставления сопутствующих услуг в ходе реализации проекта организует дальнейшее строительство.</w:t>
      </w:r>
    </w:p>
    <w:p>
      <w:pPr>
        <w:spacing w:after="0"/>
        <w:ind w:left="0"/>
        <w:jc w:val="both"/>
      </w:pPr>
      <w:r>
        <w:rPr>
          <w:rFonts w:ascii="Times New Roman"/>
          <w:b w:val="false"/>
          <w:i w:val="false"/>
          <w:color w:val="000000"/>
          <w:sz w:val="28"/>
        </w:rPr>
        <w:t>
      В рамках пилотного проекта предусмотрено строительство жилья 3 – 4 классов комфортности и коммерческого жилья с офисными помещениями и паркингами элитного и бизнес-класса для реализации на рынке в целях реинвестирования проекта.</w:t>
      </w:r>
    </w:p>
    <w:p>
      <w:pPr>
        <w:spacing w:after="0"/>
        <w:ind w:left="0"/>
        <w:jc w:val="both"/>
      </w:pPr>
      <w:r>
        <w:rPr>
          <w:rFonts w:ascii="Times New Roman"/>
          <w:b w:val="false"/>
          <w:i w:val="false"/>
          <w:color w:val="000000"/>
          <w:sz w:val="28"/>
        </w:rPr>
        <w:t>
      Стоимость строительства 1 кв. метра общей площади жилища определяется на основе положительного заключения государственной экспертизы на ПСД жилых домов.</w:t>
      </w:r>
    </w:p>
    <w:p>
      <w:pPr>
        <w:spacing w:after="0"/>
        <w:ind w:left="0"/>
        <w:jc w:val="both"/>
      </w:pPr>
      <w:r>
        <w:rPr>
          <w:rFonts w:ascii="Times New Roman"/>
          <w:b w:val="false"/>
          <w:i w:val="false"/>
          <w:color w:val="000000"/>
          <w:sz w:val="28"/>
        </w:rPr>
        <w:t>
      Стоимость реализации 1 кв. метра общей площади жилища будет предусмотрена не ниже 192 400 тенге, при этом цена продажи будет зависеть от уровня комфортности строящегося жилья и сложившейся конъюнктуры рынка недвижимости на момент реализации.</w:t>
      </w:r>
    </w:p>
    <w:p>
      <w:pPr>
        <w:spacing w:after="0"/>
        <w:ind w:left="0"/>
        <w:jc w:val="both"/>
      </w:pPr>
      <w:r>
        <w:rPr>
          <w:rFonts w:ascii="Times New Roman"/>
          <w:b w:val="false"/>
          <w:i w:val="false"/>
          <w:color w:val="000000"/>
          <w:sz w:val="28"/>
        </w:rPr>
        <w:t>
      4. Реализация механизма финансирования:</w:t>
      </w:r>
    </w:p>
    <w:p>
      <w:pPr>
        <w:spacing w:after="0"/>
        <w:ind w:left="0"/>
        <w:jc w:val="both"/>
      </w:pPr>
      <w:r>
        <w:rPr>
          <w:rFonts w:ascii="Times New Roman"/>
          <w:b w:val="false"/>
          <w:i w:val="false"/>
          <w:color w:val="000000"/>
          <w:sz w:val="28"/>
        </w:rPr>
        <w:t xml:space="preserve">
      1) АО "ФНБ "Самрук-Қазына"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предоставляет уполномоченной организации акимата города Астаны кредитные средства в размере 40 млрд. тенге, в том числе в 2012 году – 20 млрд. тенге, в 2014 году – 20 млрд. тенге;</w:t>
      </w:r>
    </w:p>
    <w:p>
      <w:pPr>
        <w:spacing w:after="0"/>
        <w:ind w:left="0"/>
        <w:jc w:val="both"/>
      </w:pPr>
      <w:r>
        <w:rPr>
          <w:rFonts w:ascii="Times New Roman"/>
          <w:b w:val="false"/>
          <w:i w:val="false"/>
          <w:color w:val="000000"/>
          <w:sz w:val="28"/>
        </w:rPr>
        <w:t>
      2) Правительство Республики Казахстан выделяет из республиканского бюджета целевые текущие трансферты на погашение ранее принятых обязательств уполномоченной организацией акимата города Астаны перед АО "ФНБ "Самрук-Қазына" в размере 40 млрд. тенге, в том числе в 2013 году – 20 млрд. тенге, в 2015 году – 20 млрд. тенге;</w:t>
      </w:r>
    </w:p>
    <w:p>
      <w:pPr>
        <w:spacing w:after="0"/>
        <w:ind w:left="0"/>
        <w:jc w:val="both"/>
      </w:pPr>
      <w:r>
        <w:rPr>
          <w:rFonts w:ascii="Times New Roman"/>
          <w:b w:val="false"/>
          <w:i w:val="false"/>
          <w:color w:val="000000"/>
          <w:sz w:val="28"/>
        </w:rPr>
        <w:t>
      3) В дальнейшем финансирование проекта осуществляется за счет иных источников: привлечение частных инвестиций, займы БВУ, целевые трансферты из республиканского и местного бюджета на пополнение уставного капитала уполномоченной организации, доходы от продажи жилых и нежилых помещений и предоставления сопутствующих услуг в ходе реализации проекта.</w:t>
      </w:r>
    </w:p>
    <w:p>
      <w:pPr>
        <w:spacing w:after="0"/>
        <w:ind w:left="0"/>
        <w:jc w:val="left"/>
      </w:pPr>
      <w:r>
        <w:rPr>
          <w:rFonts w:ascii="Times New Roman"/>
          <w:b/>
          <w:i w:val="false"/>
          <w:color w:val="000000"/>
        </w:rPr>
        <w:t xml:space="preserve"> 6. Жилье частной собственности</w:t>
      </w:r>
    </w:p>
    <w:p>
      <w:pPr>
        <w:spacing w:after="0"/>
        <w:ind w:left="0"/>
        <w:jc w:val="both"/>
      </w:pPr>
      <w:r>
        <w:rPr>
          <w:rFonts w:ascii="Times New Roman"/>
          <w:b w:val="false"/>
          <w:i w:val="false"/>
          <w:color w:val="000000"/>
          <w:sz w:val="28"/>
        </w:rPr>
        <w:t>
      Основную долю (до 50 % – 60 %) в общем объеме жилищного строительства в Казахстане занимает индивидуальное жилищное строительство (далее – ИЖС).</w:t>
      </w:r>
    </w:p>
    <w:p>
      <w:pPr>
        <w:spacing w:after="0"/>
        <w:ind w:left="0"/>
        <w:jc w:val="both"/>
      </w:pPr>
      <w:r>
        <w:rPr>
          <w:rFonts w:ascii="Times New Roman"/>
          <w:b w:val="false"/>
          <w:i w:val="false"/>
          <w:color w:val="000000"/>
          <w:sz w:val="28"/>
        </w:rPr>
        <w:t>
      Для стимулирования ИЖС необходимо предусмотреть:</w:t>
      </w:r>
    </w:p>
    <w:p>
      <w:pPr>
        <w:spacing w:after="0"/>
        <w:ind w:left="0"/>
        <w:jc w:val="both"/>
      </w:pPr>
      <w:r>
        <w:rPr>
          <w:rFonts w:ascii="Times New Roman"/>
          <w:b w:val="false"/>
          <w:i w:val="false"/>
          <w:color w:val="000000"/>
          <w:sz w:val="28"/>
        </w:rPr>
        <w:t>
      1) организацию работы МИО по распространению типовых проектов строительства малоэтажных жилых домов. Данные проекты должны предоставляться гражданам бесплатно;</w:t>
      </w:r>
    </w:p>
    <w:p>
      <w:pPr>
        <w:spacing w:after="0"/>
        <w:ind w:left="0"/>
        <w:jc w:val="both"/>
      </w:pPr>
      <w:r>
        <w:rPr>
          <w:rFonts w:ascii="Times New Roman"/>
          <w:b w:val="false"/>
          <w:i w:val="false"/>
          <w:color w:val="000000"/>
          <w:sz w:val="28"/>
        </w:rPr>
        <w:t>
      2) площадки под ИЖС МИО должны отводиться массивами в соответствии с утвержденными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3) отведенные под ИЖС массивы до начала строительства жилых домов должны быть обеспечены инженерно-коммуникационной инфраструктурой;</w:t>
      </w:r>
    </w:p>
    <w:p>
      <w:pPr>
        <w:spacing w:after="0"/>
        <w:ind w:left="0"/>
        <w:jc w:val="both"/>
      </w:pPr>
      <w:r>
        <w:rPr>
          <w:rFonts w:ascii="Times New Roman"/>
          <w:b w:val="false"/>
          <w:i w:val="false"/>
          <w:color w:val="000000"/>
          <w:sz w:val="28"/>
        </w:rPr>
        <w:t>
      4) предоставление МИО гражданам земельных участков в установленном законодательством порядке.</w:t>
      </w:r>
    </w:p>
    <w:p>
      <w:pPr>
        <w:spacing w:after="0"/>
        <w:ind w:left="0"/>
        <w:jc w:val="both"/>
      </w:pPr>
      <w:r>
        <w:rPr>
          <w:rFonts w:ascii="Times New Roman"/>
          <w:b w:val="false"/>
          <w:i w:val="false"/>
          <w:color w:val="000000"/>
          <w:sz w:val="28"/>
        </w:rPr>
        <w:t xml:space="preserve">
      Наряду с вышеуказанным комплексом мер по повышению уровня доступности жилья и созданию дополнительных стимулов для увеличения объемов жилищного строительства, МИО оказывают содействие инициативам граждан по самостоятельному решению жилищных проблем. </w:t>
      </w:r>
    </w:p>
    <w:p>
      <w:pPr>
        <w:spacing w:after="0"/>
        <w:ind w:left="0"/>
        <w:jc w:val="both"/>
      </w:pPr>
      <w:r>
        <w:rPr>
          <w:rFonts w:ascii="Times New Roman"/>
          <w:b w:val="false"/>
          <w:i w:val="false"/>
          <w:color w:val="000000"/>
          <w:sz w:val="28"/>
        </w:rPr>
        <w:t>
      В этом направлении положительно зарекомендовали себя жилищно-строительные кооперативы (далее – ЖСК), степень риска в которых намного меньше, чем при долевом строительстве. Обязательным условием создания ЖСК должно быть выделение под застройку земельного участка, находящегося в государственной собственности и не предоставленного в землепользование. При этом к участку застройки МИО должны подвести необходимые инженерные сети и коммуникации. Оформление в собственность ЖСК земельного участка должно осуществляться после введения в эксплуатацию жилого дома.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p>
      <w:pPr>
        <w:spacing w:after="0"/>
        <w:ind w:left="0"/>
        <w:jc w:val="left"/>
      </w:pPr>
      <w:r>
        <w:rPr>
          <w:rFonts w:ascii="Times New Roman"/>
          <w:b/>
          <w:i w:val="false"/>
          <w:color w:val="000000"/>
        </w:rPr>
        <w:t xml:space="preserve"> Механизм модернизации жилищного фонда</w:t>
      </w:r>
    </w:p>
    <w:p>
      <w:pPr>
        <w:spacing w:after="0"/>
        <w:ind w:left="0"/>
        <w:jc w:val="both"/>
      </w:pPr>
      <w:r>
        <w:rPr>
          <w:rFonts w:ascii="Times New Roman"/>
          <w:b w:val="false"/>
          <w:i w:val="false"/>
          <w:color w:val="000000"/>
          <w:sz w:val="28"/>
        </w:rPr>
        <w:t>
      В рамках Программы будет осуществляться только капитальный ремонт (далее – ремонт) общего имущества объектов кондоминиума.</w:t>
      </w:r>
    </w:p>
    <w:p>
      <w:pPr>
        <w:spacing w:after="0"/>
        <w:ind w:left="0"/>
        <w:jc w:val="both"/>
      </w:pPr>
      <w:r>
        <w:rPr>
          <w:rFonts w:ascii="Times New Roman"/>
          <w:b w:val="false"/>
          <w:i w:val="false"/>
          <w:color w:val="000000"/>
          <w:sz w:val="28"/>
        </w:rPr>
        <w:t>
      В результате проведения капитального ремонта с элементами термомодернизации достигается экономия теплопотребления до 30 процентов.</w:t>
      </w:r>
    </w:p>
    <w:p>
      <w:pPr>
        <w:spacing w:after="0"/>
        <w:ind w:left="0"/>
        <w:jc w:val="both"/>
      </w:pPr>
      <w:r>
        <w:rPr>
          <w:rFonts w:ascii="Times New Roman"/>
          <w:b w:val="false"/>
          <w:i w:val="false"/>
          <w:color w:val="000000"/>
          <w:sz w:val="28"/>
        </w:rPr>
        <w:t>
      Проведение текущего ремонта допустимо за счет возвратных средств собственников помещений (квартир).</w:t>
      </w:r>
    </w:p>
    <w:p>
      <w:pPr>
        <w:spacing w:after="0"/>
        <w:ind w:left="0"/>
        <w:jc w:val="both"/>
      </w:pPr>
      <w:r>
        <w:rPr>
          <w:rFonts w:ascii="Times New Roman"/>
          <w:b w:val="false"/>
          <w:i w:val="false"/>
          <w:color w:val="000000"/>
          <w:sz w:val="28"/>
        </w:rPr>
        <w:t>
      Капитальный ремонт здания (объекта) – это ремонт здания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w:t>
      </w:r>
    </w:p>
    <w:p>
      <w:pPr>
        <w:spacing w:after="0"/>
        <w:ind w:left="0"/>
        <w:jc w:val="both"/>
      </w:pPr>
      <w:r>
        <w:rPr>
          <w:rFonts w:ascii="Times New Roman"/>
          <w:b w:val="false"/>
          <w:i w:val="false"/>
          <w:color w:val="000000"/>
          <w:sz w:val="28"/>
        </w:rPr>
        <w:t>
      Капитальный ремонт жилых зданий должен осуществляться в соответствии с организационно-технологической проектной документацией – проектом (рабочим проектом), проектом организации капитального ремонта и проектами производства работ.</w:t>
      </w:r>
    </w:p>
    <w:p>
      <w:pPr>
        <w:spacing w:after="0"/>
        <w:ind w:left="0"/>
        <w:jc w:val="both"/>
      </w:pPr>
      <w:r>
        <w:rPr>
          <w:rFonts w:ascii="Times New Roman"/>
          <w:b w:val="false"/>
          <w:i w:val="false"/>
          <w:color w:val="000000"/>
          <w:sz w:val="28"/>
        </w:rPr>
        <w:t>
      Одним из основополагающих факторов для проведения ремонта в многоквартирном жилом доме будет являться наличие согласий собственников помещений (квартир) и подписанных договоров со всеми собственниками помещений (квартир), принявших решение о проведении ремонта.</w:t>
      </w:r>
    </w:p>
    <w:p>
      <w:pPr>
        <w:spacing w:after="0"/>
        <w:ind w:left="0"/>
        <w:jc w:val="both"/>
      </w:pPr>
      <w:r>
        <w:rPr>
          <w:rFonts w:ascii="Times New Roman"/>
          <w:b w:val="false"/>
          <w:i w:val="false"/>
          <w:color w:val="000000"/>
          <w:sz w:val="28"/>
        </w:rPr>
        <w:t>
      Работы по ремонту общего имущества предусматривают:</w:t>
      </w:r>
    </w:p>
    <w:p>
      <w:pPr>
        <w:spacing w:after="0"/>
        <w:ind w:left="0"/>
        <w:jc w:val="both"/>
      </w:pPr>
      <w:r>
        <w:rPr>
          <w:rFonts w:ascii="Times New Roman"/>
          <w:b w:val="false"/>
          <w:i w:val="false"/>
          <w:color w:val="000000"/>
          <w:sz w:val="28"/>
        </w:rPr>
        <w:t>
      1) минимальный вид работ – это ремонт (утепление) кровли, подъезда и подвала жилого дома (при этом возможна замена одного элемента на другой элемент, предусмотренный в максимальном виде работ) ;</w:t>
      </w:r>
    </w:p>
    <w:p>
      <w:pPr>
        <w:spacing w:after="0"/>
        <w:ind w:left="0"/>
        <w:jc w:val="both"/>
      </w:pPr>
      <w:r>
        <w:rPr>
          <w:rFonts w:ascii="Times New Roman"/>
          <w:b w:val="false"/>
          <w:i w:val="false"/>
          <w:color w:val="000000"/>
          <w:sz w:val="28"/>
        </w:rPr>
        <w:t xml:space="preserve">
      2) максимальный вид работ – это ремонт (утепление) кровли, подъезда, подвала, фасада, ремонта лифта (при наличии). </w:t>
      </w:r>
    </w:p>
    <w:p>
      <w:pPr>
        <w:spacing w:after="0"/>
        <w:ind w:left="0"/>
        <w:jc w:val="both"/>
      </w:pPr>
      <w:r>
        <w:rPr>
          <w:rFonts w:ascii="Times New Roman"/>
          <w:b w:val="false"/>
          <w:i w:val="false"/>
          <w:color w:val="000000"/>
          <w:sz w:val="28"/>
        </w:rPr>
        <w:t>
      Исключением из вышеизложенного является проведение ремонта подвала (включая инженерные сети) при условии, что проведение ремонта кровли, фасада и подъезда дома не требуется.</w:t>
      </w:r>
    </w:p>
    <w:p>
      <w:pPr>
        <w:spacing w:after="0"/>
        <w:ind w:left="0"/>
        <w:jc w:val="both"/>
      </w:pPr>
      <w:r>
        <w:rPr>
          <w:rFonts w:ascii="Times New Roman"/>
          <w:b w:val="false"/>
          <w:i w:val="false"/>
          <w:color w:val="000000"/>
          <w:sz w:val="28"/>
        </w:rPr>
        <w:t>
      При комплексе работ по термомодернизации здания устанавливаются автоматизированные системы регулирования теплопотребления (подключенного к централизованной системе теплоснабжения) и общедомовые приборы учета тепловой энергии, финансирование которых будет производиться за счет средств республиканского бюджета.</w:t>
      </w:r>
    </w:p>
    <w:p>
      <w:pPr>
        <w:spacing w:after="0"/>
        <w:ind w:left="0"/>
        <w:jc w:val="both"/>
      </w:pPr>
      <w:r>
        <w:rPr>
          <w:rFonts w:ascii="Times New Roman"/>
          <w:b w:val="false"/>
          <w:i w:val="false"/>
          <w:color w:val="000000"/>
          <w:sz w:val="28"/>
        </w:rPr>
        <w:t>
      Механизм проведения ремонта общего имущества объектов кондоминиума предусматривает выделение из республиканского бюджета целевых трансфертов бюджетам местных исполнительных органов (далее –МИО), которые будут направлены на капитализацию специализированных уполномоченных организаций с участием государства в уставном капитале.</w:t>
      </w:r>
    </w:p>
    <w:p>
      <w:pPr>
        <w:spacing w:after="0"/>
        <w:ind w:left="0"/>
        <w:jc w:val="both"/>
      </w:pPr>
      <w:r>
        <w:rPr>
          <w:rFonts w:ascii="Times New Roman"/>
          <w:b w:val="false"/>
          <w:i w:val="false"/>
          <w:color w:val="000000"/>
          <w:sz w:val="28"/>
        </w:rPr>
        <w:t>
      Формирование бюджетной заявки для капитализации специализированной уполномоченной организации производится на основании финансово-экономического обоснования (далее – ФЭО) с приложением заключения экономической экспертизы и актов технического обследования общего имущества объектов кондоминиума.</w:t>
      </w:r>
    </w:p>
    <w:p>
      <w:pPr>
        <w:spacing w:after="0"/>
        <w:ind w:left="0"/>
        <w:jc w:val="both"/>
      </w:pPr>
      <w:r>
        <w:rPr>
          <w:rFonts w:ascii="Times New Roman"/>
          <w:b w:val="false"/>
          <w:i w:val="false"/>
          <w:color w:val="000000"/>
          <w:sz w:val="28"/>
        </w:rPr>
        <w:t xml:space="preserve">
      При распределении финансовых средств на ремонт общего имущества объектов кондоминиума будут учитываться доли многоквартирных жилых домов, требующих проведения капитального ремонта в общем жилищном фонде регионов в отдельности. </w:t>
      </w:r>
    </w:p>
    <w:p>
      <w:pPr>
        <w:spacing w:after="0"/>
        <w:ind w:left="0"/>
        <w:jc w:val="both"/>
      </w:pPr>
      <w:r>
        <w:rPr>
          <w:rFonts w:ascii="Times New Roman"/>
          <w:b w:val="false"/>
          <w:i w:val="false"/>
          <w:color w:val="000000"/>
          <w:sz w:val="28"/>
        </w:rPr>
        <w:t>
      МИО при необходимости используют средства местного бюджета для реализации указанного механизма.</w:t>
      </w:r>
    </w:p>
    <w:p>
      <w:pPr>
        <w:spacing w:after="0"/>
        <w:ind w:left="0"/>
        <w:jc w:val="both"/>
      </w:pPr>
      <w:r>
        <w:rPr>
          <w:rFonts w:ascii="Times New Roman"/>
          <w:b w:val="false"/>
          <w:i w:val="false"/>
          <w:color w:val="000000"/>
          <w:sz w:val="28"/>
        </w:rPr>
        <w:t>
      Между органом управления объектом кондоминиума, специализированной уполномоченной организацией, которая является оператором (генподрядчиком), и собственниками помещений (квартир) заключается договор на проведение ремонта общего имущества объектов кондоминиума.</w:t>
      </w:r>
    </w:p>
    <w:p>
      <w:pPr>
        <w:spacing w:after="0"/>
        <w:ind w:left="0"/>
        <w:jc w:val="both"/>
      </w:pPr>
      <w:r>
        <w:rPr>
          <w:rFonts w:ascii="Times New Roman"/>
          <w:b w:val="false"/>
          <w:i w:val="false"/>
          <w:color w:val="000000"/>
          <w:sz w:val="28"/>
        </w:rPr>
        <w:t>
      Специализированная уполномоченная организация производит ремонт общего имущества с возможностью привлечения субподрядчиков.</w:t>
      </w:r>
    </w:p>
    <w:p>
      <w:pPr>
        <w:spacing w:after="0"/>
        <w:ind w:left="0"/>
        <w:jc w:val="both"/>
      </w:pPr>
      <w:r>
        <w:rPr>
          <w:rFonts w:ascii="Times New Roman"/>
          <w:b w:val="false"/>
          <w:i w:val="false"/>
          <w:color w:val="000000"/>
          <w:sz w:val="28"/>
        </w:rPr>
        <w:t>
      Орган управления объектом кондоминиума имеет открытый на каждый объект кондоминиума сберегательный счет в банках второго уровня (далее – БВУ).</w:t>
      </w:r>
    </w:p>
    <w:p>
      <w:pPr>
        <w:spacing w:after="0"/>
        <w:ind w:left="0"/>
        <w:jc w:val="both"/>
      </w:pPr>
      <w:r>
        <w:rPr>
          <w:rFonts w:ascii="Times New Roman"/>
          <w:b w:val="false"/>
          <w:i w:val="false"/>
          <w:color w:val="000000"/>
          <w:sz w:val="28"/>
        </w:rPr>
        <w:t>
      В течение срока, установленного договором, собственники помещений (квартир) производят ежемесячные взносы на сберегательный счет в БВУ.</w:t>
      </w:r>
    </w:p>
    <w:p>
      <w:pPr>
        <w:spacing w:after="0"/>
        <w:ind w:left="0"/>
        <w:jc w:val="both"/>
      </w:pPr>
      <w:r>
        <w:rPr>
          <w:rFonts w:ascii="Times New Roman"/>
          <w:b w:val="false"/>
          <w:i w:val="false"/>
          <w:color w:val="000000"/>
          <w:sz w:val="28"/>
        </w:rPr>
        <w:t>
      Накопленные средства со счета в БВУ перечисляются в специализированную уполномоченную организацию в качестве оплаты выполненных работ в рассрочку.</w:t>
      </w:r>
    </w:p>
    <w:p>
      <w:pPr>
        <w:spacing w:after="0"/>
        <w:ind w:left="0"/>
        <w:jc w:val="both"/>
      </w:pPr>
      <w:r>
        <w:rPr>
          <w:rFonts w:ascii="Times New Roman"/>
          <w:b w:val="false"/>
          <w:i w:val="false"/>
          <w:color w:val="000000"/>
          <w:sz w:val="28"/>
        </w:rPr>
        <w:t>
      Суммы, возвращенные жителями, специализированная уполномоченная организация использует на ремонт других объектов кондоминиума.</w:t>
      </w:r>
    </w:p>
    <w:p>
      <w:pPr>
        <w:spacing w:after="0"/>
        <w:ind w:left="0"/>
        <w:jc w:val="both"/>
      </w:pPr>
      <w:r>
        <w:rPr>
          <w:rFonts w:ascii="Times New Roman"/>
          <w:b w:val="false"/>
          <w:i w:val="false"/>
          <w:color w:val="000000"/>
          <w:sz w:val="28"/>
        </w:rPr>
        <w:t>
      Для реализации данного механизма его участники выполняют следующие действия.</w:t>
      </w:r>
    </w:p>
    <w:p>
      <w:pPr>
        <w:spacing w:after="0"/>
        <w:ind w:left="0"/>
        <w:jc w:val="both"/>
      </w:pPr>
      <w:r>
        <w:rPr>
          <w:rFonts w:ascii="Times New Roman"/>
          <w:b w:val="false"/>
          <w:i w:val="false"/>
          <w:color w:val="000000"/>
          <w:sz w:val="28"/>
        </w:rPr>
        <w:t>
      МИО:</w:t>
      </w:r>
    </w:p>
    <w:p>
      <w:pPr>
        <w:spacing w:after="0"/>
        <w:ind w:left="0"/>
        <w:jc w:val="both"/>
      </w:pPr>
      <w:r>
        <w:rPr>
          <w:rFonts w:ascii="Times New Roman"/>
          <w:b w:val="false"/>
          <w:i w:val="false"/>
          <w:color w:val="000000"/>
          <w:sz w:val="28"/>
        </w:rPr>
        <w:t>
      1) формируют перечень домов, подлежащих ремонту по заявкам собственников помещений (квартир);</w:t>
      </w:r>
    </w:p>
    <w:p>
      <w:pPr>
        <w:spacing w:after="0"/>
        <w:ind w:left="0"/>
        <w:jc w:val="both"/>
      </w:pPr>
      <w:r>
        <w:rPr>
          <w:rFonts w:ascii="Times New Roman"/>
          <w:b w:val="false"/>
          <w:i w:val="false"/>
          <w:color w:val="000000"/>
          <w:sz w:val="28"/>
        </w:rPr>
        <w:t>
      2) организуют проведение технического обследования общего имущества объекта кондоминиума с выдачей жилищными инспекциями соответствующих актов;</w:t>
      </w:r>
    </w:p>
    <w:p>
      <w:pPr>
        <w:spacing w:after="0"/>
        <w:ind w:left="0"/>
        <w:jc w:val="both"/>
      </w:pPr>
      <w:r>
        <w:rPr>
          <w:rFonts w:ascii="Times New Roman"/>
          <w:b w:val="false"/>
          <w:i w:val="false"/>
          <w:color w:val="000000"/>
          <w:sz w:val="28"/>
        </w:rPr>
        <w:t>
      3) организуют проведение энергетического аудита жилого дома;</w:t>
      </w:r>
    </w:p>
    <w:p>
      <w:pPr>
        <w:spacing w:after="0"/>
        <w:ind w:left="0"/>
        <w:jc w:val="both"/>
      </w:pPr>
      <w:r>
        <w:rPr>
          <w:rFonts w:ascii="Times New Roman"/>
          <w:b w:val="false"/>
          <w:i w:val="false"/>
          <w:color w:val="000000"/>
          <w:sz w:val="28"/>
        </w:rPr>
        <w:t>
      4) разрабатывают ФЭО для увеличения уставного капитала специализированной уполномоченной организации;</w:t>
      </w:r>
    </w:p>
    <w:p>
      <w:pPr>
        <w:spacing w:after="0"/>
        <w:ind w:left="0"/>
        <w:jc w:val="both"/>
      </w:pPr>
      <w:r>
        <w:rPr>
          <w:rFonts w:ascii="Times New Roman"/>
          <w:b w:val="false"/>
          <w:i w:val="false"/>
          <w:color w:val="000000"/>
          <w:sz w:val="28"/>
        </w:rPr>
        <w:t>
      5) обеспечивают проведение экономической экспертизы ФЭО;</w:t>
      </w:r>
    </w:p>
    <w:p>
      <w:pPr>
        <w:spacing w:after="0"/>
        <w:ind w:left="0"/>
        <w:jc w:val="both"/>
      </w:pPr>
      <w:r>
        <w:rPr>
          <w:rFonts w:ascii="Times New Roman"/>
          <w:b w:val="false"/>
          <w:i w:val="false"/>
          <w:color w:val="000000"/>
          <w:sz w:val="28"/>
        </w:rPr>
        <w:t>
      6) направляют бюджетную заявку с подтверждающими документами в уполномоченный орган в области жилищно–коммунального хозяйства;</w:t>
      </w:r>
    </w:p>
    <w:p>
      <w:pPr>
        <w:spacing w:after="0"/>
        <w:ind w:left="0"/>
        <w:jc w:val="both"/>
      </w:pPr>
      <w:r>
        <w:rPr>
          <w:rFonts w:ascii="Times New Roman"/>
          <w:b w:val="false"/>
          <w:i w:val="false"/>
          <w:color w:val="000000"/>
          <w:sz w:val="28"/>
        </w:rPr>
        <w:t xml:space="preserve">
      7) организуют проведение ремонта с обязательной установкой общедомового прибора учета тепловой энергии и автоматизированной системы регулирования теплопотребления. В случае, если объект кондоминиума не требует проведения ремонта общего имущества, проводится только установка указанного оборудования без проведения ремонта либо с ремонтом подвального помещения, включая инженерные сети (при необходимости); </w:t>
      </w:r>
    </w:p>
    <w:p>
      <w:pPr>
        <w:spacing w:after="0"/>
        <w:ind w:left="0"/>
        <w:jc w:val="both"/>
      </w:pPr>
      <w:r>
        <w:rPr>
          <w:rFonts w:ascii="Times New Roman"/>
          <w:b w:val="false"/>
          <w:i w:val="false"/>
          <w:color w:val="000000"/>
          <w:sz w:val="28"/>
        </w:rPr>
        <w:t>
      8) обеспечивают контроль за ходом проведения ремонтных работ и мониторинг возврата средств от собственников помещений (квартир) за выполненные работы;</w:t>
      </w:r>
    </w:p>
    <w:p>
      <w:pPr>
        <w:spacing w:after="0"/>
        <w:ind w:left="0"/>
        <w:jc w:val="both"/>
      </w:pPr>
      <w:r>
        <w:rPr>
          <w:rFonts w:ascii="Times New Roman"/>
          <w:b w:val="false"/>
          <w:i w:val="false"/>
          <w:color w:val="000000"/>
          <w:sz w:val="28"/>
        </w:rPr>
        <w:t>
      9) организуют выплату жилищной помощи малообеспеченным семьям (гражданам);</w:t>
      </w:r>
    </w:p>
    <w:p>
      <w:pPr>
        <w:spacing w:after="0"/>
        <w:ind w:left="0"/>
        <w:jc w:val="both"/>
      </w:pPr>
      <w:r>
        <w:rPr>
          <w:rFonts w:ascii="Times New Roman"/>
          <w:b w:val="false"/>
          <w:i w:val="false"/>
          <w:color w:val="000000"/>
          <w:sz w:val="28"/>
        </w:rPr>
        <w:t>
      10) при заключении договоров с органами управления и собственниками помещений (квартир) объектов кондоминиума на выполнение ремонтных работ обеспечивают соблюдение срока возврата средств собственниками помещений (квартир) от 8 до 15 лет (в зависимости от видов работ капитального ремонта).</w:t>
      </w:r>
    </w:p>
    <w:p>
      <w:pPr>
        <w:spacing w:after="0"/>
        <w:ind w:left="0"/>
        <w:jc w:val="both"/>
      </w:pPr>
      <w:r>
        <w:rPr>
          <w:rFonts w:ascii="Times New Roman"/>
          <w:b w:val="false"/>
          <w:i w:val="false"/>
          <w:color w:val="000000"/>
          <w:sz w:val="28"/>
        </w:rPr>
        <w:t>
      При этом необходимо составить графики возврата средств, которые позволят прогнозировать дальнейшее их использование для ремонта.</w:t>
      </w:r>
    </w:p>
    <w:p>
      <w:pPr>
        <w:spacing w:after="0"/>
        <w:ind w:left="0"/>
        <w:jc w:val="both"/>
      </w:pPr>
      <w:r>
        <w:rPr>
          <w:rFonts w:ascii="Times New Roman"/>
          <w:b w:val="false"/>
          <w:i w:val="false"/>
          <w:color w:val="000000"/>
          <w:sz w:val="28"/>
        </w:rPr>
        <w:t>
      Специализированная уполномоченная организация осуществляет:</w:t>
      </w:r>
    </w:p>
    <w:p>
      <w:pPr>
        <w:spacing w:after="0"/>
        <w:ind w:left="0"/>
        <w:jc w:val="both"/>
      </w:pPr>
      <w:r>
        <w:rPr>
          <w:rFonts w:ascii="Times New Roman"/>
          <w:b w:val="false"/>
          <w:i w:val="false"/>
          <w:color w:val="000000"/>
          <w:sz w:val="28"/>
        </w:rPr>
        <w:t>
      1) заключение договоров с органами управления и собственниками помещений (квартир) объектов кондоминиума на выполнение ремонтных работ;</w:t>
      </w:r>
    </w:p>
    <w:p>
      <w:pPr>
        <w:spacing w:after="0"/>
        <w:ind w:left="0"/>
        <w:jc w:val="both"/>
      </w:pPr>
      <w:r>
        <w:rPr>
          <w:rFonts w:ascii="Times New Roman"/>
          <w:b w:val="false"/>
          <w:i w:val="false"/>
          <w:color w:val="000000"/>
          <w:sz w:val="28"/>
        </w:rPr>
        <w:t>
      2) выполнение ремонтных работ в соответствии с договором;</w:t>
      </w:r>
    </w:p>
    <w:p>
      <w:pPr>
        <w:spacing w:after="0"/>
        <w:ind w:left="0"/>
        <w:jc w:val="both"/>
      </w:pPr>
      <w:r>
        <w:rPr>
          <w:rFonts w:ascii="Times New Roman"/>
          <w:b w:val="false"/>
          <w:i w:val="false"/>
          <w:color w:val="000000"/>
          <w:sz w:val="28"/>
        </w:rPr>
        <w:t>
      3) при необходимости заключение договоров с субподрядными организациями;</w:t>
      </w:r>
    </w:p>
    <w:p>
      <w:pPr>
        <w:spacing w:after="0"/>
        <w:ind w:left="0"/>
        <w:jc w:val="both"/>
      </w:pPr>
      <w:r>
        <w:rPr>
          <w:rFonts w:ascii="Times New Roman"/>
          <w:b w:val="false"/>
          <w:i w:val="false"/>
          <w:color w:val="000000"/>
          <w:sz w:val="28"/>
        </w:rPr>
        <w:t>
      4) принятие мер по устранению недостатков, допущенных в ходе проведения ремонтных работ;</w:t>
      </w:r>
    </w:p>
    <w:p>
      <w:pPr>
        <w:spacing w:after="0"/>
        <w:ind w:left="0"/>
        <w:jc w:val="both"/>
      </w:pPr>
      <w:r>
        <w:rPr>
          <w:rFonts w:ascii="Times New Roman"/>
          <w:b w:val="false"/>
          <w:i w:val="false"/>
          <w:color w:val="000000"/>
          <w:sz w:val="28"/>
        </w:rPr>
        <w:t>
      5) организацию судебного взыскания задолженности с собственников помещений (квартир) – участников договора;</w:t>
      </w:r>
    </w:p>
    <w:p>
      <w:pPr>
        <w:spacing w:after="0"/>
        <w:ind w:left="0"/>
        <w:jc w:val="both"/>
      </w:pPr>
      <w:r>
        <w:rPr>
          <w:rFonts w:ascii="Times New Roman"/>
          <w:b w:val="false"/>
          <w:i w:val="false"/>
          <w:color w:val="000000"/>
          <w:sz w:val="28"/>
        </w:rPr>
        <w:t>
      6) обеспечение разработки проектно-сметной документации (далее – ПСД) и сметы расходов на проведение ремонта общего имущества объекта кондоминиума и согласование ее с собственниками помещений (квартир);</w:t>
      </w:r>
    </w:p>
    <w:p>
      <w:pPr>
        <w:spacing w:after="0"/>
        <w:ind w:left="0"/>
        <w:jc w:val="both"/>
      </w:pPr>
      <w:r>
        <w:rPr>
          <w:rFonts w:ascii="Times New Roman"/>
          <w:b w:val="false"/>
          <w:i w:val="false"/>
          <w:color w:val="000000"/>
          <w:sz w:val="28"/>
        </w:rPr>
        <w:t>
      Орган управления объектом кондоминиума:</w:t>
      </w:r>
    </w:p>
    <w:p>
      <w:pPr>
        <w:spacing w:after="0"/>
        <w:ind w:left="0"/>
        <w:jc w:val="both"/>
      </w:pPr>
      <w:r>
        <w:rPr>
          <w:rFonts w:ascii="Times New Roman"/>
          <w:b w:val="false"/>
          <w:i w:val="false"/>
          <w:color w:val="000000"/>
          <w:sz w:val="28"/>
        </w:rPr>
        <w:t>
      1) осуществляет регистрацию объекта кондоминиума;</w:t>
      </w:r>
    </w:p>
    <w:p>
      <w:pPr>
        <w:spacing w:after="0"/>
        <w:ind w:left="0"/>
        <w:jc w:val="both"/>
      </w:pPr>
      <w:r>
        <w:rPr>
          <w:rFonts w:ascii="Times New Roman"/>
          <w:b w:val="false"/>
          <w:i w:val="false"/>
          <w:color w:val="000000"/>
          <w:sz w:val="28"/>
        </w:rPr>
        <w:t>
      2) обеспечивает открытие в банках второго уровня текущего и сберегательного счетов на объект кондоминиума;</w:t>
      </w:r>
    </w:p>
    <w:p>
      <w:pPr>
        <w:spacing w:after="0"/>
        <w:ind w:left="0"/>
        <w:jc w:val="both"/>
      </w:pPr>
      <w:r>
        <w:rPr>
          <w:rFonts w:ascii="Times New Roman"/>
          <w:b w:val="false"/>
          <w:i w:val="false"/>
          <w:color w:val="000000"/>
          <w:sz w:val="28"/>
        </w:rPr>
        <w:t>
      3) организует согласование разработанных специализированной уполномоченной организацией ПСД, сметы расходов, дефектных ведомостей;</w:t>
      </w:r>
    </w:p>
    <w:p>
      <w:pPr>
        <w:spacing w:after="0"/>
        <w:ind w:left="0"/>
        <w:jc w:val="both"/>
      </w:pPr>
      <w:r>
        <w:rPr>
          <w:rFonts w:ascii="Times New Roman"/>
          <w:b w:val="false"/>
          <w:i w:val="false"/>
          <w:color w:val="000000"/>
          <w:sz w:val="28"/>
        </w:rPr>
        <w:t>
      4) обеспечивает подписание договора со специализированной уполномоченной организацией;</w:t>
      </w:r>
    </w:p>
    <w:p>
      <w:pPr>
        <w:spacing w:after="0"/>
        <w:ind w:left="0"/>
        <w:jc w:val="both"/>
      </w:pPr>
      <w:r>
        <w:rPr>
          <w:rFonts w:ascii="Times New Roman"/>
          <w:b w:val="false"/>
          <w:i w:val="false"/>
          <w:color w:val="000000"/>
          <w:sz w:val="28"/>
        </w:rPr>
        <w:t>
      5) принимает участие в приемке выполненных работ;</w:t>
      </w:r>
    </w:p>
    <w:p>
      <w:pPr>
        <w:spacing w:after="0"/>
        <w:ind w:left="0"/>
        <w:jc w:val="both"/>
      </w:pPr>
      <w:r>
        <w:rPr>
          <w:rFonts w:ascii="Times New Roman"/>
          <w:b w:val="false"/>
          <w:i w:val="false"/>
          <w:color w:val="000000"/>
          <w:sz w:val="28"/>
        </w:rPr>
        <w:t>
      6) осуществляет подачу исковых заявлений о взыскании задолженности с собственников помещений (квартир), отказавшихся от выполнения решения общего собрания и не участвующих в договоре.</w:t>
      </w:r>
    </w:p>
    <w:p>
      <w:pPr>
        <w:spacing w:after="0"/>
        <w:ind w:left="0"/>
        <w:jc w:val="both"/>
      </w:pPr>
      <w:r>
        <w:rPr>
          <w:rFonts w:ascii="Times New Roman"/>
          <w:b w:val="false"/>
          <w:i w:val="false"/>
          <w:color w:val="000000"/>
          <w:sz w:val="28"/>
        </w:rPr>
        <w:t>
      Общее собрание собственников помещений (квартир):</w:t>
      </w:r>
    </w:p>
    <w:p>
      <w:pPr>
        <w:spacing w:after="0"/>
        <w:ind w:left="0"/>
        <w:jc w:val="both"/>
      </w:pPr>
      <w:r>
        <w:rPr>
          <w:rFonts w:ascii="Times New Roman"/>
          <w:b w:val="false"/>
          <w:i w:val="false"/>
          <w:color w:val="000000"/>
          <w:sz w:val="28"/>
        </w:rPr>
        <w:t>
      1) принимает решение о проведении ремонта общего имущества объекта кондоминиума;</w:t>
      </w:r>
    </w:p>
    <w:p>
      <w:pPr>
        <w:spacing w:after="0"/>
        <w:ind w:left="0"/>
        <w:jc w:val="both"/>
      </w:pPr>
      <w:r>
        <w:rPr>
          <w:rFonts w:ascii="Times New Roman"/>
          <w:b w:val="false"/>
          <w:i w:val="false"/>
          <w:color w:val="000000"/>
          <w:sz w:val="28"/>
        </w:rPr>
        <w:t>
      2) осуществляет согласование выбора субподрядной организации (при необходимости ее привлечения);</w:t>
      </w:r>
    </w:p>
    <w:p>
      <w:pPr>
        <w:spacing w:after="0"/>
        <w:ind w:left="0"/>
        <w:jc w:val="both"/>
      </w:pPr>
      <w:r>
        <w:rPr>
          <w:rFonts w:ascii="Times New Roman"/>
          <w:b w:val="false"/>
          <w:i w:val="false"/>
          <w:color w:val="000000"/>
          <w:sz w:val="28"/>
        </w:rPr>
        <w:t>
      3) согласовывает ПСД на ремонт общего имущества объекта кондоминиума;</w:t>
      </w:r>
    </w:p>
    <w:p>
      <w:pPr>
        <w:spacing w:after="0"/>
        <w:ind w:left="0"/>
        <w:jc w:val="both"/>
      </w:pPr>
      <w:r>
        <w:rPr>
          <w:rFonts w:ascii="Times New Roman"/>
          <w:b w:val="false"/>
          <w:i w:val="false"/>
          <w:color w:val="000000"/>
          <w:sz w:val="28"/>
        </w:rPr>
        <w:t>
      4) утверждает сумму расходов на ремонт общего имущества объекта кондоминиума, возлагаемую на каждую квартиру (помещение), которая определяется отношением полезной площади жилых и (или) нежилых площадей, находящейся в индивидуальной (раздельной) собственности, к сумме полезных площадей всех жилых и нежилых помещений, находящихся в данном объекте кондоминиума;</w:t>
      </w:r>
    </w:p>
    <w:p>
      <w:pPr>
        <w:spacing w:after="0"/>
        <w:ind w:left="0"/>
        <w:jc w:val="both"/>
      </w:pPr>
      <w:r>
        <w:rPr>
          <w:rFonts w:ascii="Times New Roman"/>
          <w:b w:val="false"/>
          <w:i w:val="false"/>
          <w:color w:val="000000"/>
          <w:sz w:val="28"/>
        </w:rPr>
        <w:t>
      5) осуществляет выбор представителей из числа собственников помещений (квартир) для участия в приемке выполненных работ.</w:t>
      </w:r>
    </w:p>
    <w:p>
      <w:pPr>
        <w:spacing w:after="0"/>
        <w:ind w:left="0"/>
        <w:jc w:val="both"/>
      </w:pPr>
      <w:r>
        <w:rPr>
          <w:rFonts w:ascii="Times New Roman"/>
          <w:b w:val="false"/>
          <w:i w:val="false"/>
          <w:color w:val="000000"/>
          <w:sz w:val="28"/>
        </w:rPr>
        <w:t>
      В приемке выполненных работ принимают участие жилищные инспекции, органы управления объектом кондоминиума, представители собственников помещений (квартир) ремонтируемых объектов и органы государственного архитектурно-строительного контроля.</w:t>
      </w:r>
    </w:p>
    <w:p>
      <w:pPr>
        <w:spacing w:after="0"/>
        <w:ind w:left="0"/>
        <w:jc w:val="both"/>
      </w:pPr>
      <w:r>
        <w:rPr>
          <w:rFonts w:ascii="Times New Roman"/>
          <w:b w:val="false"/>
          <w:i w:val="false"/>
          <w:color w:val="000000"/>
          <w:sz w:val="28"/>
        </w:rPr>
        <w:t>
      Также, с 2014 года МИО выделяются трансферты на проведение энергетического аудита в тех домах, в которых в дальнейшем будут производиться ремонтные работы.</w:t>
      </w:r>
    </w:p>
    <w:p>
      <w:pPr>
        <w:spacing w:after="0"/>
        <w:ind w:left="0"/>
        <w:jc w:val="both"/>
      </w:pPr>
      <w:r>
        <w:rPr>
          <w:rFonts w:ascii="Times New Roman"/>
          <w:b w:val="false"/>
          <w:i w:val="false"/>
          <w:color w:val="000000"/>
          <w:sz w:val="28"/>
        </w:rPr>
        <w:t xml:space="preserve">
      После завершения ремонта общего имущества объектов кондоминиума и прохождения отопительного периода местные исполнительные органы проводят повторный энергетический аудит для оценки энергоэффективности данного ремонта. </w:t>
      </w:r>
    </w:p>
    <w:p>
      <w:pPr>
        <w:spacing w:after="0"/>
        <w:ind w:left="0"/>
        <w:jc w:val="both"/>
      </w:pPr>
      <w:r>
        <w:rPr>
          <w:rFonts w:ascii="Times New Roman"/>
          <w:b w:val="false"/>
          <w:i w:val="false"/>
          <w:color w:val="000000"/>
          <w:sz w:val="28"/>
        </w:rPr>
        <w:t>
      Реализация проектов по ремонту общего имущества объектов кондоминиума должна производиться в соответствии с государственными нормативными документами в области архитектуры, градостроительства и строительства.</w:t>
      </w:r>
    </w:p>
    <w:p>
      <w:pPr>
        <w:spacing w:after="0"/>
        <w:ind w:left="0"/>
        <w:jc w:val="both"/>
      </w:pPr>
      <w:r>
        <w:rPr>
          <w:rFonts w:ascii="Times New Roman"/>
          <w:b w:val="false"/>
          <w:i w:val="false"/>
          <w:color w:val="000000"/>
          <w:sz w:val="28"/>
        </w:rPr>
        <w:t>
      Для технологического развития сектора необходимо не менее одного раза в 5-10 лет пересматривать всю нормативно-техническую документацию, что подразумевает пересмотр, утверждение действующих и разработку новых нормативно-технических документов в данной сфере.</w:t>
      </w:r>
    </w:p>
    <w:p>
      <w:pPr>
        <w:spacing w:after="0"/>
        <w:ind w:left="0"/>
        <w:jc w:val="both"/>
      </w:pPr>
      <w:r>
        <w:rPr>
          <w:rFonts w:ascii="Times New Roman"/>
          <w:b w:val="false"/>
          <w:i w:val="false"/>
          <w:color w:val="000000"/>
          <w:sz w:val="28"/>
        </w:rPr>
        <w:t xml:space="preserve">
      Малообеспеченным семьям (гражданам) за счет средств местного бюджета будет оказана жилищная помощь для оплаты расходов на содержание жилого дома (жилого здания) в соответствии с Правилами предоставления жилищной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p>
    <w:p>
      <w:pPr>
        <w:spacing w:after="0"/>
        <w:ind w:left="0"/>
        <w:jc w:val="both"/>
      </w:pPr>
      <w:r>
        <w:rPr>
          <w:rFonts w:ascii="Times New Roman"/>
          <w:b w:val="false"/>
          <w:i w:val="false"/>
          <w:color w:val="000000"/>
          <w:sz w:val="28"/>
        </w:rPr>
        <w:t>
      В целях вовлечения собственников квартир (помещений) в процесс термомодернизации жилищного фонда необходимо проведение мероприятий по пропаганде энергосбережения среди населения. Будут оказаны услуги по пропаганде политики энергосбережения для широких слоев населения, органов управления объектами кондоминиума, специалистов жилищно-коммунального хозяйства (далее – ЖКХ) и обучающейся молодежи. Доля городского населения, охваченного мероприятиями по пропаганде энергосбережения, в результате проведения мероприятий будет ежегодно увеличиваться.</w:t>
      </w:r>
    </w:p>
    <w:p>
      <w:pPr>
        <w:spacing w:after="0"/>
        <w:ind w:left="0"/>
        <w:jc w:val="both"/>
      </w:pPr>
      <w:r>
        <w:rPr>
          <w:rFonts w:ascii="Times New Roman"/>
          <w:b w:val="false"/>
          <w:i w:val="false"/>
          <w:color w:val="000000"/>
          <w:sz w:val="28"/>
        </w:rPr>
        <w:t>
      Пропаганда энергосбережения среди населения является основой успешной реализации программы и включает в себя следующие основные мероприятия: тиражирование и распространение просветительской и специальной литературы, организацию в регионах семинаров, выставок и конференций, проведение общественных акций и рекламных компаний через средства массовой информации.</w:t>
      </w:r>
    </w:p>
    <w:p>
      <w:pPr>
        <w:spacing w:after="0"/>
        <w:ind w:left="0"/>
        <w:jc w:val="both"/>
      </w:pPr>
      <w:r>
        <w:rPr>
          <w:rFonts w:ascii="Times New Roman"/>
          <w:b w:val="false"/>
          <w:i w:val="false"/>
          <w:color w:val="000000"/>
          <w:sz w:val="28"/>
        </w:rPr>
        <w:t>
      В рамках кадрового обеспечения отрасли необходимо совершенствование системы подготовки кадров в организациях высшего, технического и профессионального образования путем увеличения доли практического обучения, подготовки научных кадров для сферы ЖКХ, развития системы повышения квалификации и компетенции специалистов отрасли ЖКХ.</w:t>
      </w:r>
    </w:p>
    <w:p>
      <w:pPr>
        <w:spacing w:after="0"/>
        <w:ind w:left="0"/>
        <w:jc w:val="both"/>
      </w:pPr>
      <w:r>
        <w:rPr>
          <w:rFonts w:ascii="Times New Roman"/>
          <w:b w:val="false"/>
          <w:i w:val="false"/>
          <w:color w:val="000000"/>
          <w:sz w:val="28"/>
        </w:rPr>
        <w:t xml:space="preserve">
      В результате должно быть сформировано хозяйское отношение к многоквартирному дому как к собственному жилью и бережливое отношение к энергии, в целом все эти мероприятия будут направлены на формирование эффективного собственника и снижение энергопотребления собственниками помещений (квартир). </w:t>
      </w:r>
    </w:p>
    <w:p>
      <w:pPr>
        <w:spacing w:after="0"/>
        <w:ind w:left="0"/>
        <w:jc w:val="both"/>
      </w:pPr>
      <w:r>
        <w:rPr>
          <w:rFonts w:ascii="Times New Roman"/>
          <w:b w:val="false"/>
          <w:i w:val="false"/>
          <w:color w:val="000000"/>
          <w:sz w:val="28"/>
        </w:rPr>
        <w:t>
      Термомодернизация будет направлена, в первую очередь, на обеспечение комфортных условий проживания населения этих городов.</w:t>
      </w:r>
    </w:p>
    <w:p>
      <w:pPr>
        <w:spacing w:after="0"/>
        <w:ind w:left="0"/>
        <w:jc w:val="both"/>
      </w:pPr>
      <w:r>
        <w:rPr>
          <w:rFonts w:ascii="Times New Roman"/>
          <w:b w:val="false"/>
          <w:i w:val="false"/>
          <w:color w:val="000000"/>
          <w:sz w:val="28"/>
        </w:rPr>
        <w:t xml:space="preserve">
      В рамках Программы будет осуществляться постоянный мониторинг показателей многоквартирных жилых домов, требующих капитального ремонта, где в качестве респондентов будут выступать местные исполнительные органы, а в последующем будут рассмотрены меры по привлечению в качестве респондентов органов управления объектом кондоминиума и субъектов сервисной деятельности. </w:t>
      </w:r>
    </w:p>
    <w:p>
      <w:pPr>
        <w:spacing w:after="0"/>
        <w:ind w:left="0"/>
        <w:jc w:val="both"/>
      </w:pPr>
      <w:r>
        <w:rPr>
          <w:rFonts w:ascii="Times New Roman"/>
          <w:b w:val="false"/>
          <w:i w:val="false"/>
          <w:color w:val="000000"/>
          <w:sz w:val="28"/>
        </w:rPr>
        <w:t>
      Ранее в 2011–2012 годах одним из операторов по реализации Программы являлись социально-предпринимательские корпорации (далее – СПК). Учитывая роль СПК, в которых все еще осуществляется сбор возвратных средств собственников помещений (квартир), необходимо продолжить работу по использованию возвращаемых в СПК денежных средств для проведения ремонта, а также рассмотреть механизмы использования этих средств непосредственно через специализированные уполномоченные организации.</w:t>
      </w:r>
    </w:p>
    <w:p>
      <w:pPr>
        <w:spacing w:after="0"/>
        <w:ind w:left="0"/>
        <w:jc w:val="both"/>
      </w:pPr>
      <w:r>
        <w:rPr>
          <w:rFonts w:ascii="Times New Roman"/>
          <w:b w:val="false"/>
          <w:i w:val="false"/>
          <w:color w:val="000000"/>
          <w:sz w:val="28"/>
        </w:rPr>
        <w:t>
      В перспективе роль специализированной уполномоченной организации возьмут на себя также предпринимательские структуры, а их финансирование – специализированные финансовые институты (агентства) и БВУ.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p>
      <w:pPr>
        <w:spacing w:after="0"/>
        <w:ind w:left="0"/>
        <w:jc w:val="left"/>
      </w:pPr>
      <w:r>
        <w:rPr>
          <w:rFonts w:ascii="Times New Roman"/>
          <w:b/>
          <w:i w:val="false"/>
          <w:color w:val="000000"/>
        </w:rPr>
        <w:t xml:space="preserve"> Механизм финансирования и взаимодействия участников при</w:t>
      </w:r>
      <w:r>
        <w:br/>
      </w:r>
      <w:r>
        <w:rPr>
          <w:rFonts w:ascii="Times New Roman"/>
          <w:b/>
          <w:i w:val="false"/>
          <w:color w:val="000000"/>
        </w:rPr>
        <w:t>реализации Программы по приоритету "Финансовая поддержка</w:t>
      </w:r>
      <w:r>
        <w:br/>
      </w:r>
      <w:r>
        <w:rPr>
          <w:rFonts w:ascii="Times New Roman"/>
          <w:b/>
          <w:i w:val="false"/>
          <w:color w:val="000000"/>
        </w:rPr>
        <w:t>местного самоуправления"</w:t>
      </w:r>
    </w:p>
    <w:p>
      <w:pPr>
        <w:spacing w:after="0"/>
        <w:ind w:left="0"/>
        <w:jc w:val="both"/>
      </w:pPr>
      <w:r>
        <w:rPr>
          <w:rFonts w:ascii="Times New Roman"/>
          <w:b w:val="false"/>
          <w:i w:val="false"/>
          <w:color w:val="000000"/>
          <w:sz w:val="28"/>
        </w:rPr>
        <w:t>
      1. Распределение лимита финансирования:</w:t>
      </w:r>
    </w:p>
    <w:p>
      <w:pPr>
        <w:spacing w:after="0"/>
        <w:ind w:left="0"/>
        <w:jc w:val="both"/>
      </w:pPr>
      <w:r>
        <w:rPr>
          <w:rFonts w:ascii="Times New Roman"/>
          <w:b w:val="false"/>
          <w:i w:val="false"/>
          <w:color w:val="000000"/>
          <w:sz w:val="28"/>
        </w:rPr>
        <w:t>
      1) аким области доводит лимит финансирования каждому району и городу областного значения в зависимости от численности населения, проживающего в сельских округах, а также селах и поселках, не входящих в состав сельского округа;</w:t>
      </w:r>
    </w:p>
    <w:p>
      <w:pPr>
        <w:spacing w:after="0"/>
        <w:ind w:left="0"/>
        <w:jc w:val="both"/>
      </w:pPr>
      <w:r>
        <w:rPr>
          <w:rFonts w:ascii="Times New Roman"/>
          <w:b w:val="false"/>
          <w:i w:val="false"/>
          <w:color w:val="000000"/>
          <w:sz w:val="28"/>
        </w:rPr>
        <w:t>
      2) аким района и аким города областного значения доводят лимит финансирования каждому сельскому округу в зависимости от численности населения, проживающего в сельском округе, а также селе, поселке, не входящем в состав сельского округа, имеющем высокий и средний потенциалы социально-экономического развития.</w:t>
      </w:r>
    </w:p>
    <w:p>
      <w:pPr>
        <w:spacing w:after="0"/>
        <w:ind w:left="0"/>
        <w:jc w:val="both"/>
      </w:pPr>
      <w:r>
        <w:rPr>
          <w:rFonts w:ascii="Times New Roman"/>
          <w:b w:val="false"/>
          <w:i w:val="false"/>
          <w:color w:val="000000"/>
          <w:sz w:val="28"/>
        </w:rPr>
        <w:t>
      При этом аким района и аким города областного значения при распределении лимита финансирования исключают села и поселки с низким потенциалом развития, не входящие в состав сельского округа, и перераспределяют его на сельские округа, а также села и поселки, не входящие в состав сельского округа, с высоким и средним потенциалами социально-экономического развития;</w:t>
      </w:r>
    </w:p>
    <w:p>
      <w:pPr>
        <w:spacing w:after="0"/>
        <w:ind w:left="0"/>
        <w:jc w:val="both"/>
      </w:pPr>
      <w:r>
        <w:rPr>
          <w:rFonts w:ascii="Times New Roman"/>
          <w:b w:val="false"/>
          <w:i w:val="false"/>
          <w:color w:val="000000"/>
          <w:sz w:val="28"/>
        </w:rPr>
        <w:t xml:space="preserve">
      3) акимы села, поселка, сельского округа распределяют объем средств, рассчитанный на все села, поселки и сельские округа в соответствии с решением собрания местного сообщества. </w:t>
      </w:r>
    </w:p>
    <w:p>
      <w:pPr>
        <w:spacing w:after="0"/>
        <w:ind w:left="0"/>
        <w:jc w:val="both"/>
      </w:pPr>
      <w:r>
        <w:rPr>
          <w:rFonts w:ascii="Times New Roman"/>
          <w:b w:val="false"/>
          <w:i w:val="false"/>
          <w:color w:val="000000"/>
          <w:sz w:val="28"/>
        </w:rPr>
        <w:t>
      2. Процедура отбора:</w:t>
      </w:r>
    </w:p>
    <w:p>
      <w:pPr>
        <w:spacing w:after="0"/>
        <w:ind w:left="0"/>
        <w:jc w:val="both"/>
      </w:pPr>
      <w:r>
        <w:rPr>
          <w:rFonts w:ascii="Times New Roman"/>
          <w:b w:val="false"/>
          <w:i w:val="false"/>
          <w:color w:val="000000"/>
          <w:sz w:val="28"/>
        </w:rPr>
        <w:t>
      1) на собрании местного сообщества определяются мероприятия в рамках доведенного акимом района, города областного значения объема средств и оформляются решением собрания местного сообщества;</w:t>
      </w:r>
    </w:p>
    <w:p>
      <w:pPr>
        <w:spacing w:after="0"/>
        <w:ind w:left="0"/>
        <w:jc w:val="both"/>
      </w:pPr>
      <w:r>
        <w:rPr>
          <w:rFonts w:ascii="Times New Roman"/>
          <w:b w:val="false"/>
          <w:i w:val="false"/>
          <w:color w:val="000000"/>
          <w:sz w:val="28"/>
        </w:rPr>
        <w:t>
      2) предложение (решение собрания местного сообщества) по одобренным мероприятиям поступает акиму сельского округа, а также акимам сел и поселков, не входящих в состав сельского округа;</w:t>
      </w:r>
    </w:p>
    <w:p>
      <w:pPr>
        <w:spacing w:after="0"/>
        <w:ind w:left="0"/>
        <w:jc w:val="both"/>
      </w:pPr>
      <w:r>
        <w:rPr>
          <w:rFonts w:ascii="Times New Roman"/>
          <w:b w:val="false"/>
          <w:i w:val="false"/>
          <w:color w:val="000000"/>
          <w:sz w:val="28"/>
        </w:rPr>
        <w:t>
      3) аким сельского округа, а также акимы сел, поселков, не входящих в состав сельского округа, направляют предложения (решение собрания местного сообщества) по одобренным мероприятиям в акимат района, города областного значения;</w:t>
      </w:r>
    </w:p>
    <w:p>
      <w:pPr>
        <w:spacing w:after="0"/>
        <w:ind w:left="0"/>
        <w:jc w:val="both"/>
      </w:pPr>
      <w:r>
        <w:rPr>
          <w:rFonts w:ascii="Times New Roman"/>
          <w:b w:val="false"/>
          <w:i w:val="false"/>
          <w:color w:val="000000"/>
          <w:sz w:val="28"/>
        </w:rPr>
        <w:t>
      4) акимат района, города областного значения с учетом направления формирует перечень предложенных мероприятий и направляет координатору Программы с приложением документов, разработанных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5) координатор Программы рассматривает представленную документацию по мероприятиям и формирует заключение по ним;</w:t>
      </w:r>
    </w:p>
    <w:p>
      <w:pPr>
        <w:spacing w:after="0"/>
        <w:ind w:left="0"/>
        <w:jc w:val="both"/>
      </w:pPr>
      <w:r>
        <w:rPr>
          <w:rFonts w:ascii="Times New Roman"/>
          <w:b w:val="false"/>
          <w:i w:val="false"/>
          <w:color w:val="000000"/>
          <w:sz w:val="28"/>
        </w:rPr>
        <w:t>
      6) координатор Программы направляет результаты заключений на мероприятия в акимат района, города областного значения.</w:t>
      </w:r>
    </w:p>
    <w:p>
      <w:pPr>
        <w:spacing w:after="0"/>
        <w:ind w:left="0"/>
        <w:jc w:val="both"/>
      </w:pPr>
      <w:r>
        <w:rPr>
          <w:rFonts w:ascii="Times New Roman"/>
          <w:b w:val="false"/>
          <w:i w:val="false"/>
          <w:color w:val="000000"/>
          <w:sz w:val="28"/>
        </w:rPr>
        <w:t>
      В свою очередь акимат района, города областного значения направляет заключение координатора Программы акимам сельских округов, а также сел и поселков, не входящих в состав сельского округа.</w:t>
      </w:r>
    </w:p>
    <w:p>
      <w:pPr>
        <w:spacing w:after="0"/>
        <w:ind w:left="0"/>
        <w:jc w:val="both"/>
      </w:pPr>
      <w:r>
        <w:rPr>
          <w:rFonts w:ascii="Times New Roman"/>
          <w:b w:val="false"/>
          <w:i w:val="false"/>
          <w:color w:val="000000"/>
          <w:sz w:val="28"/>
        </w:rPr>
        <w:t>
      Акимы сельских округов, а также сел, поселков, не входящих в состав сельского округа, на собраниях местного сообщества доводят информацию о поддержанных и не подержанных мероприятиях.</w:t>
      </w:r>
    </w:p>
    <w:p>
      <w:pPr>
        <w:spacing w:after="0"/>
        <w:ind w:left="0"/>
        <w:jc w:val="both"/>
      </w:pPr>
      <w:r>
        <w:rPr>
          <w:rFonts w:ascii="Times New Roman"/>
          <w:b w:val="false"/>
          <w:i w:val="false"/>
          <w:color w:val="000000"/>
          <w:sz w:val="28"/>
        </w:rPr>
        <w:t>
      3. Координатор Программы в сроки, установленные бюджетным законодательством Республики Казахстан, представляет бюджетную заявку в местный уполномоченный орган в области бюджетного планирования.</w:t>
      </w:r>
    </w:p>
    <w:p>
      <w:pPr>
        <w:spacing w:after="0"/>
        <w:ind w:left="0"/>
        <w:jc w:val="both"/>
      </w:pPr>
      <w:r>
        <w:rPr>
          <w:rFonts w:ascii="Times New Roman"/>
          <w:b w:val="false"/>
          <w:i w:val="false"/>
          <w:color w:val="000000"/>
          <w:sz w:val="28"/>
        </w:rPr>
        <w:t>
      4. Мониторинг за использованием бюджетных средств проводится в соответствии с методикой по проведению мониторинга за использованием бюджетных средств, выделенных на решение вопросов местного значения, и доходных источников местного самоуправления, утвержденной центральным уполномоченным органом по исполнению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