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2f232" w14:textId="902f2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изменений и дополнений в указы Президента Республики Казахстан от 18 июня 2009 года № 827 "О Системе государственного планирования в Республике Казахстан" и от 4 марта 2010 года № 931 "О некоторых вопросах дальнейшего функционирования Системы государственного планирования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16 января 2015 года № 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внесении изменений и дополнений в указы Президента Республики Казахстан от 18 июня 2009 года № 827 «О Системе государственного планирования в Республике Казахстан» и от 4 марта 2010 года № 931 «О некоторых вопросах дальнейшего функционирования Системы государственного планирования в Республике Казахстан».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 внесении изменений и дополнений в указы Президента</w:t>
      </w:r>
      <w:r>
        <w:br/>
      </w:r>
      <w:r>
        <w:rPr>
          <w:rFonts w:ascii="Times New Roman"/>
          <w:b/>
          <w:i w:val="false"/>
          <w:color w:val="000000"/>
        </w:rPr>
        <w:t>
Республики Казахстан от 18 июня 2009 года № 827 «О Системе</w:t>
      </w:r>
      <w:r>
        <w:br/>
      </w:r>
      <w:r>
        <w:rPr>
          <w:rFonts w:ascii="Times New Roman"/>
          <w:b/>
          <w:i w:val="false"/>
          <w:color w:val="000000"/>
        </w:rPr>
        <w:t>
государственного планирования в Республике Казахстан» и</w:t>
      </w:r>
      <w:r>
        <w:br/>
      </w:r>
      <w:r>
        <w:rPr>
          <w:rFonts w:ascii="Times New Roman"/>
          <w:b/>
          <w:i w:val="false"/>
          <w:color w:val="000000"/>
        </w:rPr>
        <w:t>
от 4 марта 2010 года № 931 «О некоторых вопросах дальнейшего</w:t>
      </w:r>
      <w:r>
        <w:br/>
      </w:r>
      <w:r>
        <w:rPr>
          <w:rFonts w:ascii="Times New Roman"/>
          <w:b/>
          <w:i w:val="false"/>
          <w:color w:val="000000"/>
        </w:rPr>
        <w:t>
функционирования Системы государственного планирования</w:t>
      </w:r>
      <w:r>
        <w:br/>
      </w:r>
      <w:r>
        <w:rPr>
          <w:rFonts w:ascii="Times New Roman"/>
          <w:b/>
          <w:i w:val="false"/>
          <w:color w:val="000000"/>
        </w:rPr>
        <w:t>
в Республике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br/>
      </w:r>
      <w:r>
        <w:rPr>
          <w:rFonts w:ascii="Times New Roman"/>
          <w:b w:val="false"/>
          <w:i w:val="false"/>
          <w:color w:val="000000"/>
          <w:sz w:val="28"/>
        </w:rPr>
        <w:t>
      Внести изменения и дополнения в следующие указы Президента Республики Казахстан:</w:t>
      </w:r>
      <w:r>
        <w:br/>
      </w:r>
      <w:r>
        <w:rPr>
          <w:rFonts w:ascii="Times New Roman"/>
          <w:b w:val="false"/>
          <w:i w:val="false"/>
          <w:color w:val="000000"/>
          <w:sz w:val="28"/>
        </w:rPr>
        <w:t>
      1)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18 июня 2009 года № 827 «О Системе государственного планирования в Республике Казахстан» (САПП Республики Казахстан, 2009 г., № 30, ст. 259; 2010 г., № 20-21, ст. 150; 2012 г., № 13, ст. 231; № 68, ст. 976; 2013 г., № 36, ст. 529; 2014 г., № 40-41, ст. 374):</w:t>
      </w:r>
      <w:r>
        <w:br/>
      </w:r>
      <w:r>
        <w:rPr>
          <w:rFonts w:ascii="Times New Roman"/>
          <w:b w:val="false"/>
          <w:i w:val="false"/>
          <w:color w:val="000000"/>
          <w:sz w:val="28"/>
        </w:rPr>
        <w:t>
      в </w:t>
      </w:r>
      <w:r>
        <w:rPr>
          <w:rFonts w:ascii="Times New Roman"/>
          <w:b w:val="false"/>
          <w:i w:val="false"/>
          <w:color w:val="000000"/>
          <w:sz w:val="28"/>
        </w:rPr>
        <w:t>Системе государственного планирования</w:t>
      </w:r>
      <w:r>
        <w:rPr>
          <w:rFonts w:ascii="Times New Roman"/>
          <w:b w:val="false"/>
          <w:i w:val="false"/>
          <w:color w:val="000000"/>
          <w:sz w:val="28"/>
        </w:rPr>
        <w:t xml:space="preserve"> в Республике Казахстан, утвержденной вышеназванным Указом:</w:t>
      </w:r>
      <w:r>
        <w:br/>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дополнить частью четвертой следующего содержания:</w:t>
      </w:r>
      <w:r>
        <w:br/>
      </w:r>
      <w:r>
        <w:rPr>
          <w:rFonts w:ascii="Times New Roman"/>
          <w:b w:val="false"/>
          <w:i w:val="false"/>
          <w:color w:val="000000"/>
          <w:sz w:val="28"/>
        </w:rPr>
        <w:t>
      «Для реализации концепции государственным органом-разработчиком разрабатывается План мероприятий по реализации концепции на весь период реализации или поэтапно на каждый среднесрочный период. План мероприятий утверждается приказом государственного органа-разработчика по согласованию с заинтересованными государственными органами в месячный срок со дня утверждения концепции или за месяц до наступления очередного этапа реализации.»;</w:t>
      </w:r>
      <w:r>
        <w:br/>
      </w:r>
      <w:r>
        <w:rPr>
          <w:rFonts w:ascii="Times New Roman"/>
          <w:b w:val="false"/>
          <w:i w:val="false"/>
          <w:color w:val="000000"/>
          <w:sz w:val="28"/>
        </w:rPr>
        <w:t>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 В целях реализации Стратегического плана развития Республики Казахстан центральным уполномоченным органом по государственному планированию разрабатывается Прогнозная схема территориально-пространственного развития страны на соответствующий со период.</w:t>
      </w:r>
      <w:r>
        <w:br/>
      </w:r>
      <w:r>
        <w:rPr>
          <w:rFonts w:ascii="Times New Roman"/>
          <w:b w:val="false"/>
          <w:i w:val="false"/>
          <w:color w:val="000000"/>
          <w:sz w:val="28"/>
        </w:rPr>
        <w:t>
      Прогнозная схема территориально-пространственного развития страны - это система рационального размещения производительных сил, транспортно-коммуникационной, социальной и другой инфраструктуры, расселения населения страны в разрезе регионов для обеспечения устойчивого развития страны.</w:t>
      </w:r>
      <w:r>
        <w:br/>
      </w:r>
      <w:r>
        <w:rPr>
          <w:rFonts w:ascii="Times New Roman"/>
          <w:b w:val="false"/>
          <w:i w:val="false"/>
          <w:color w:val="000000"/>
          <w:sz w:val="28"/>
        </w:rPr>
        <w:t>
      Прогнозная схема территориально-пространственного развития страны утверждается Президентом Республики Казахстан.</w:t>
      </w:r>
      <w:r>
        <w:br/>
      </w:r>
      <w:r>
        <w:rPr>
          <w:rFonts w:ascii="Times New Roman"/>
          <w:b w:val="false"/>
          <w:i w:val="false"/>
          <w:color w:val="000000"/>
          <w:sz w:val="28"/>
        </w:rPr>
        <w:t>
      Мониторинг и оценка реализации Прогнозной схемы территориально-пространственного развития страны проводятся центральным уполномоченным органом по государственному планированию.</w:t>
      </w:r>
      <w:r>
        <w:br/>
      </w:r>
      <w:r>
        <w:rPr>
          <w:rFonts w:ascii="Times New Roman"/>
          <w:b w:val="false"/>
          <w:i w:val="false"/>
          <w:color w:val="000000"/>
          <w:sz w:val="28"/>
        </w:rPr>
        <w:t>
      На основе мониторинга и оценки может осуществляться корректировка Прогнозной схемы территориально-пространственного развития страны.</w:t>
      </w:r>
      <w:r>
        <w:br/>
      </w:r>
      <w:r>
        <w:rPr>
          <w:rFonts w:ascii="Times New Roman"/>
          <w:b w:val="false"/>
          <w:i w:val="false"/>
          <w:color w:val="000000"/>
          <w:sz w:val="28"/>
        </w:rPr>
        <w:t>
      Контроль за реализацией Прогнозной схемы территориально-пространственного развития страны осуществляется Администрацией Президента Республики Казахстан.</w:t>
      </w:r>
      <w:r>
        <w:br/>
      </w:r>
      <w:r>
        <w:rPr>
          <w:rFonts w:ascii="Times New Roman"/>
          <w:b w:val="false"/>
          <w:i w:val="false"/>
          <w:color w:val="000000"/>
          <w:sz w:val="28"/>
        </w:rPr>
        <w:t>
      Порядок и сроки разработки, реализации, проведения мониторинга, оценки и контроля за реализацией Прогнозной схемы территориально-пространственного развития страны определяются Президентом Республики Казахстан.»;</w:t>
      </w:r>
      <w:r>
        <w:br/>
      </w:r>
      <w:r>
        <w:rPr>
          <w:rFonts w:ascii="Times New Roman"/>
          <w:b w:val="false"/>
          <w:i w:val="false"/>
          <w:color w:val="000000"/>
          <w:sz w:val="28"/>
        </w:rPr>
        <w:t>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 Стратегия национальной безопасности Республики Казахстан разрабатывается в целях реализации Стратегии развития Казахстана до 2050 года, Стратегического плана развития Республики Казахстан и определяет основные проблемы и угрозы, стратегические цели и целевые индикаторы, задачи и показатели результатов в области обеспечения национальной безопасности, а также критерии обеспечения национальной безопасности.</w:t>
      </w:r>
      <w:r>
        <w:br/>
      </w:r>
      <w:r>
        <w:rPr>
          <w:rFonts w:ascii="Times New Roman"/>
          <w:b w:val="false"/>
          <w:i w:val="false"/>
          <w:color w:val="000000"/>
          <w:sz w:val="28"/>
        </w:rPr>
        <w:t>
      Стратегия национальной безопасности Республики Казахстан разрабатывается не позднее последнего года реализации предыдущей Стратегии национальной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 Прогноз социально-экономического развития разрабатывается ежегодно на скользящей основе на пятилетний период с учетом стратегических и программных документов, Послания и содержит:</w:t>
      </w:r>
      <w:r>
        <w:br/>
      </w:r>
      <w:r>
        <w:rPr>
          <w:rFonts w:ascii="Times New Roman"/>
          <w:b w:val="false"/>
          <w:i w:val="false"/>
          <w:color w:val="000000"/>
          <w:sz w:val="28"/>
        </w:rPr>
        <w:t>
      1) на республиканском уровне государственного управления:</w:t>
      </w:r>
      <w:r>
        <w:br/>
      </w:r>
      <w:r>
        <w:rPr>
          <w:rFonts w:ascii="Times New Roman"/>
          <w:b w:val="false"/>
          <w:i w:val="false"/>
          <w:color w:val="000000"/>
          <w:sz w:val="28"/>
        </w:rPr>
        <w:t>
      внешние и внутренние условия развития экономики;</w:t>
      </w:r>
      <w:r>
        <w:br/>
      </w:r>
      <w:r>
        <w:rPr>
          <w:rFonts w:ascii="Times New Roman"/>
          <w:b w:val="false"/>
          <w:i w:val="false"/>
          <w:color w:val="000000"/>
          <w:sz w:val="28"/>
        </w:rPr>
        <w:t>
      цели и задачи экономической политики на пятилетний период, в том числе налогово-бюджетной политики;</w:t>
      </w:r>
      <w:r>
        <w:br/>
      </w:r>
      <w:r>
        <w:rPr>
          <w:rFonts w:ascii="Times New Roman"/>
          <w:b w:val="false"/>
          <w:i w:val="false"/>
          <w:color w:val="000000"/>
          <w:sz w:val="28"/>
        </w:rPr>
        <w:t>
      основные направления и меры экономической политики на пятилетний период, в том числе налогово-бюджетной политики;</w:t>
      </w:r>
      <w:r>
        <w:br/>
      </w:r>
      <w:r>
        <w:rPr>
          <w:rFonts w:ascii="Times New Roman"/>
          <w:b w:val="false"/>
          <w:i w:val="false"/>
          <w:color w:val="000000"/>
          <w:sz w:val="28"/>
        </w:rPr>
        <w:t>
      прогноз показателей социально-экономического развития на пятилетний период;</w:t>
      </w:r>
      <w:r>
        <w:br/>
      </w:r>
      <w:r>
        <w:rPr>
          <w:rFonts w:ascii="Times New Roman"/>
          <w:b w:val="false"/>
          <w:i w:val="false"/>
          <w:color w:val="000000"/>
          <w:sz w:val="28"/>
        </w:rPr>
        <w:t>
      прогноз бюджетных параметров на плановый период, включающий прогноз поступлений и расходов консолидированного, государственного и республиканского бюджетов, дефицит соответствующего бюджета;</w:t>
      </w:r>
      <w:r>
        <w:br/>
      </w:r>
      <w:r>
        <w:rPr>
          <w:rFonts w:ascii="Times New Roman"/>
          <w:b w:val="false"/>
          <w:i w:val="false"/>
          <w:color w:val="000000"/>
          <w:sz w:val="28"/>
        </w:rPr>
        <w:t>
      новые инициативы расходов, направленные на реализацию приоритетов социально-экономического развития;</w:t>
      </w:r>
      <w:r>
        <w:br/>
      </w:r>
      <w:r>
        <w:rPr>
          <w:rFonts w:ascii="Times New Roman"/>
          <w:b w:val="false"/>
          <w:i w:val="false"/>
          <w:color w:val="000000"/>
          <w:sz w:val="28"/>
        </w:rPr>
        <w:t>
      перечень условно финансируемых расходов на очередной финансовый год;</w:t>
      </w:r>
      <w:r>
        <w:br/>
      </w:r>
      <w:r>
        <w:rPr>
          <w:rFonts w:ascii="Times New Roman"/>
          <w:b w:val="false"/>
          <w:i w:val="false"/>
          <w:color w:val="000000"/>
          <w:sz w:val="28"/>
        </w:rPr>
        <w:t>
      2) на уровне области, города республиканского значения, столицы:</w:t>
      </w:r>
      <w:r>
        <w:br/>
      </w:r>
      <w:r>
        <w:rPr>
          <w:rFonts w:ascii="Times New Roman"/>
          <w:b w:val="false"/>
          <w:i w:val="false"/>
          <w:color w:val="000000"/>
          <w:sz w:val="28"/>
        </w:rPr>
        <w:t xml:space="preserve">
      тенденции, приоритеты, целевые индикаторы и показатели социально-экономического развития области, города республиканского значения, столицы; </w:t>
      </w:r>
      <w:r>
        <w:br/>
      </w:r>
      <w:r>
        <w:rPr>
          <w:rFonts w:ascii="Times New Roman"/>
          <w:b w:val="false"/>
          <w:i w:val="false"/>
          <w:color w:val="000000"/>
          <w:sz w:val="28"/>
        </w:rPr>
        <w:t>
      прогноз показателей социально-экономического развития области, города республиканского значения, столицы;</w:t>
      </w:r>
      <w:r>
        <w:br/>
      </w:r>
      <w:r>
        <w:rPr>
          <w:rFonts w:ascii="Times New Roman"/>
          <w:b w:val="false"/>
          <w:i w:val="false"/>
          <w:color w:val="000000"/>
          <w:sz w:val="28"/>
        </w:rPr>
        <w:t>
      бюджетные параметры области, города республиканского значения, столицы на плановый период, которые должны содержать:</w:t>
      </w:r>
      <w:r>
        <w:br/>
      </w:r>
      <w:r>
        <w:rPr>
          <w:rFonts w:ascii="Times New Roman"/>
          <w:b w:val="false"/>
          <w:i w:val="false"/>
          <w:color w:val="000000"/>
          <w:sz w:val="28"/>
        </w:rPr>
        <w:t>
      прогноз бюджетных параметров области, города республиканского значения, столицы, включающий прогноз поступлений и расходов бюджета области, города республиканского значения, столицы;</w:t>
      </w:r>
      <w:r>
        <w:br/>
      </w:r>
      <w:r>
        <w:rPr>
          <w:rFonts w:ascii="Times New Roman"/>
          <w:b w:val="false"/>
          <w:i w:val="false"/>
          <w:color w:val="000000"/>
          <w:sz w:val="28"/>
        </w:rPr>
        <w:t>
      новые инициативы расходов, направленные на реализацию приоритетов социально-экономического развития области, города республиканского значения, столицы;</w:t>
      </w:r>
      <w:r>
        <w:br/>
      </w:r>
      <w:r>
        <w:rPr>
          <w:rFonts w:ascii="Times New Roman"/>
          <w:b w:val="false"/>
          <w:i w:val="false"/>
          <w:color w:val="000000"/>
          <w:sz w:val="28"/>
        </w:rPr>
        <w:t>
      перечень приоритетных бюджетных инвестиций области, города республиканского значения, столицы.</w:t>
      </w:r>
      <w:r>
        <w:br/>
      </w:r>
      <w:r>
        <w:rPr>
          <w:rFonts w:ascii="Times New Roman"/>
          <w:b w:val="false"/>
          <w:i w:val="false"/>
          <w:color w:val="000000"/>
          <w:sz w:val="28"/>
        </w:rPr>
        <w:t>
      Целевые индикаторы и показатели устанавливаются по ключевым направлениям (сферам) для определения количественных и качественных результатов, на достижение которых должна быть направлена социально-экономическая политика государства в течение пятилетнего периода.</w:t>
      </w:r>
      <w:r>
        <w:br/>
      </w:r>
      <w:r>
        <w:rPr>
          <w:rFonts w:ascii="Times New Roman"/>
          <w:b w:val="false"/>
          <w:i w:val="false"/>
          <w:color w:val="000000"/>
          <w:sz w:val="28"/>
        </w:rPr>
        <w:t>
      Показатели социально-экономического развития и бюджетные параметры района (города областного значения) указываются в составе прогноза социально-экономического развития области в разрезе районов (городов областного значения).»;</w:t>
      </w:r>
      <w:r>
        <w:br/>
      </w:r>
      <w:r>
        <w:rPr>
          <w:rFonts w:ascii="Times New Roman"/>
          <w:b w:val="false"/>
          <w:i w:val="false"/>
          <w:color w:val="000000"/>
          <w:sz w:val="28"/>
        </w:rPr>
        <w:t>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«24. Порядок и сроки разработки Прогноза социально-экономического развития определяются центральным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«26. Государственные программы разрабатываются соответствующим государственным органом и согласовываются с центральным уполномоченным органом по государственному планированию.»;</w:t>
      </w:r>
      <w:r>
        <w:br/>
      </w:r>
      <w:r>
        <w:rPr>
          <w:rFonts w:ascii="Times New Roman"/>
          <w:b w:val="false"/>
          <w:i w:val="false"/>
          <w:color w:val="000000"/>
          <w:sz w:val="28"/>
        </w:rPr>
        <w:t>
      часть первую </w:t>
      </w:r>
      <w:r>
        <w:rPr>
          <w:rFonts w:ascii="Times New Roman"/>
          <w:b w:val="false"/>
          <w:i w:val="false"/>
          <w:color w:val="000000"/>
          <w:sz w:val="28"/>
        </w:rPr>
        <w:t>пункта 30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«30. Мониторинг реализации государственной программы проводится государственным органом-разработчиком либо иным государственным органом, уполномоченным на это Президентом Республики Казахстан или Руководителем Администрации Президента Республики Казахстан.»;</w:t>
      </w:r>
      <w:r>
        <w:br/>
      </w:r>
      <w:r>
        <w:rPr>
          <w:rFonts w:ascii="Times New Roman"/>
          <w:b w:val="false"/>
          <w:i w:val="false"/>
          <w:color w:val="000000"/>
          <w:sz w:val="28"/>
        </w:rPr>
        <w:t>
      часть вторую </w:t>
      </w:r>
      <w:r>
        <w:rPr>
          <w:rFonts w:ascii="Times New Roman"/>
          <w:b w:val="false"/>
          <w:i w:val="false"/>
          <w:color w:val="000000"/>
          <w:sz w:val="28"/>
        </w:rPr>
        <w:t>пункта 40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«Стратегический план государственного органа, входящего в структуру Правительства Республики Казахстан, утверждается государственным органом по согласованию с центральными уполномоченными органами по государственному и бюджетному планированию.»;</w:t>
      </w:r>
      <w:r>
        <w:br/>
      </w:r>
      <w:r>
        <w:rPr>
          <w:rFonts w:ascii="Times New Roman"/>
          <w:b w:val="false"/>
          <w:i w:val="false"/>
          <w:color w:val="000000"/>
          <w:sz w:val="28"/>
        </w:rPr>
        <w:t>
      </w:t>
      </w:r>
      <w:r>
        <w:rPr>
          <w:rFonts w:ascii="Times New Roman"/>
          <w:b w:val="false"/>
          <w:i w:val="false"/>
          <w:color w:val="000000"/>
          <w:sz w:val="28"/>
        </w:rPr>
        <w:t>пункты 43</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«43. Оценка реализации стратегических планов государственных органов, кроме оценки, проводимой Счетным комитетом по контролю за исполнением республиканского бюджета, осуществляется в рамках Системы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954.</w:t>
      </w:r>
      <w:r>
        <w:br/>
      </w:r>
      <w:r>
        <w:rPr>
          <w:rFonts w:ascii="Times New Roman"/>
          <w:b w:val="false"/>
          <w:i w:val="false"/>
          <w:color w:val="000000"/>
          <w:sz w:val="28"/>
        </w:rPr>
        <w:t>
      44. Счетный комитет по контролю за исполнением республиканского бюджета осуществляет оценку реализации стратегических планов центральных государственных органов в рамках проводимых им контрольных мероприятий в соответствии с его планом работы.»;</w:t>
      </w:r>
      <w:r>
        <w:br/>
      </w:r>
      <w:r>
        <w:rPr>
          <w:rFonts w:ascii="Times New Roman"/>
          <w:b w:val="false"/>
          <w:i w:val="false"/>
          <w:color w:val="000000"/>
          <w:sz w:val="28"/>
        </w:rPr>
        <w:t>
      часть первую </w:t>
      </w:r>
      <w:r>
        <w:rPr>
          <w:rFonts w:ascii="Times New Roman"/>
          <w:b w:val="false"/>
          <w:i w:val="false"/>
          <w:color w:val="000000"/>
          <w:sz w:val="28"/>
        </w:rPr>
        <w:t>пункта 48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«48. Программа развития области, города республиканского значения, столицы разрабатывается местным исполнительным органом области, города республиканского значения, столицы и согласовывается с центральным уполномоченным органом по государственному планированию, заинтересованными центральными государственными органами.»;</w:t>
      </w:r>
      <w:r>
        <w:br/>
      </w:r>
      <w:r>
        <w:rPr>
          <w:rFonts w:ascii="Times New Roman"/>
          <w:b w:val="false"/>
          <w:i w:val="false"/>
          <w:color w:val="000000"/>
          <w:sz w:val="28"/>
        </w:rPr>
        <w:t>
      часть первую </w:t>
      </w:r>
      <w:r>
        <w:rPr>
          <w:rFonts w:ascii="Times New Roman"/>
          <w:b w:val="false"/>
          <w:i w:val="false"/>
          <w:color w:val="000000"/>
          <w:sz w:val="28"/>
        </w:rPr>
        <w:t>пункта 50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«50. Для реализации программы развития области, города республиканского значения, столицы местным исполнительным органом утверждается план мероприятий по ее реализации по согласованию с центральным уполномоченным органом по государственному планированию.»;</w:t>
      </w:r>
      <w:r>
        <w:br/>
      </w:r>
      <w:r>
        <w:rPr>
          <w:rFonts w:ascii="Times New Roman"/>
          <w:b w:val="false"/>
          <w:i w:val="false"/>
          <w:color w:val="000000"/>
          <w:sz w:val="28"/>
        </w:rPr>
        <w:t>
      часть четвертую </w:t>
      </w:r>
      <w:r>
        <w:rPr>
          <w:rFonts w:ascii="Times New Roman"/>
          <w:b w:val="false"/>
          <w:i w:val="false"/>
          <w:color w:val="000000"/>
          <w:sz w:val="28"/>
        </w:rPr>
        <w:t>пункта 51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пункты 56</w:t>
      </w:r>
      <w:r>
        <w:rPr>
          <w:rFonts w:ascii="Times New Roman"/>
          <w:b w:val="false"/>
          <w:i w:val="false"/>
          <w:color w:val="000000"/>
          <w:sz w:val="28"/>
        </w:rPr>
        <w:t>, </w:t>
      </w:r>
      <w:r>
        <w:rPr>
          <w:rFonts w:ascii="Times New Roman"/>
          <w:b w:val="false"/>
          <w:i w:val="false"/>
          <w:color w:val="000000"/>
          <w:sz w:val="28"/>
        </w:rPr>
        <w:t>57</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«56. Стратегии развития национальных управляющих холдингов, национальных холдингов, национальных компаний разрабатываются на 10 лет с учетом вышестоящих документов Системы государственного планирования.</w:t>
      </w:r>
      <w:r>
        <w:br/>
      </w:r>
      <w:r>
        <w:rPr>
          <w:rFonts w:ascii="Times New Roman"/>
          <w:b w:val="false"/>
          <w:i w:val="false"/>
          <w:color w:val="000000"/>
          <w:sz w:val="28"/>
        </w:rPr>
        <w:t>
      Стратегии развития национальных управляющих холдингов, национальных холдингов, национальных компаний разрабатываются не позднее последнего года реализации предыдущей стратегии развития национальных управляющих холдингов, национальных холдингов, национальных компаний.</w:t>
      </w:r>
      <w:r>
        <w:br/>
      </w:r>
      <w:r>
        <w:rPr>
          <w:rFonts w:ascii="Times New Roman"/>
          <w:b w:val="false"/>
          <w:i w:val="false"/>
          <w:color w:val="000000"/>
          <w:sz w:val="28"/>
        </w:rPr>
        <w:t>
      Стратегии развития национальных управляющих холдингов, национальных холдингов, национальных компаний определяют их стратегические направления, цели и показатели результатов деятельности и разрабатываются с учетом стратегий развития юридических лиц, акции (доли участия) которых предоставляют право национальным управляющим холдингам, национальным холдингам, национальным компаниям определять решения, принимаемые данными юридическими лицами.</w:t>
      </w:r>
      <w:r>
        <w:br/>
      </w:r>
      <w:r>
        <w:rPr>
          <w:rFonts w:ascii="Times New Roman"/>
          <w:b w:val="false"/>
          <w:i w:val="false"/>
          <w:color w:val="000000"/>
          <w:sz w:val="28"/>
        </w:rPr>
        <w:t>
      Проекты стратегий развития национальных управляющих холдингов, национальных холдингов, национальных компаний согласовываются с центральным уполномоченным органом по государственному планированию на соответствие целям, задачам и бюджетным параметрам, изложенным в вышестоящих документах Системы государственного планирования, и утверждаются Правительством Республики Казахстан.</w:t>
      </w:r>
      <w:r>
        <w:br/>
      </w:r>
      <w:r>
        <w:rPr>
          <w:rFonts w:ascii="Times New Roman"/>
          <w:b w:val="false"/>
          <w:i w:val="false"/>
          <w:color w:val="000000"/>
          <w:sz w:val="28"/>
        </w:rPr>
        <w:t>
      Стратегия развития Фонда национального благосостояния утверждается единственным акционером Фонда национального благосостояния после одобрения советом директоров Фонда национального благосостояния.</w:t>
      </w:r>
      <w:r>
        <w:br/>
      </w:r>
      <w:r>
        <w:rPr>
          <w:rFonts w:ascii="Times New Roman"/>
          <w:b w:val="false"/>
          <w:i w:val="false"/>
          <w:color w:val="000000"/>
          <w:sz w:val="28"/>
        </w:rPr>
        <w:t>
      В целях реализации стратегий развития национальных управляющих холдингов, национальных холдингов, национальных компаний разрабатываются планы развития национальных управляющих холдингов, национальных холдингов, национальных компаний сроком на 5 лет.</w:t>
      </w:r>
      <w:r>
        <w:br/>
      </w:r>
      <w:r>
        <w:rPr>
          <w:rFonts w:ascii="Times New Roman"/>
          <w:b w:val="false"/>
          <w:i w:val="false"/>
          <w:color w:val="000000"/>
          <w:sz w:val="28"/>
        </w:rPr>
        <w:t>
      Порядок разработки и утверждения стратегий развития для национальных управляющих холдингов, национальных холдингов, национальных компаний определяется центральным уполномоченным органом по государственному планированию.</w:t>
      </w:r>
      <w:r>
        <w:br/>
      </w:r>
      <w:r>
        <w:rPr>
          <w:rFonts w:ascii="Times New Roman"/>
          <w:b w:val="false"/>
          <w:i w:val="false"/>
          <w:color w:val="000000"/>
          <w:sz w:val="28"/>
        </w:rPr>
        <w:t xml:space="preserve">
      57. Мониторинг реализации стратегий развития национальных управляющих холдингов, национальных холдингов, национальных компаний осуществляется уполномоченным органом соответствующей отрасли или местным исполнительным органом (исполнительным органом, финансируемым из местного бюджета) в порядке, определяемом центральным уполномоченным органом по государственному планированию. </w:t>
      </w:r>
      <w:r>
        <w:br/>
      </w:r>
      <w:r>
        <w:rPr>
          <w:rFonts w:ascii="Times New Roman"/>
          <w:b w:val="false"/>
          <w:i w:val="false"/>
          <w:color w:val="000000"/>
          <w:sz w:val="28"/>
        </w:rPr>
        <w:t xml:space="preserve">
      58. Оценка реализации стратегий развития национальных управляющих холдингов, национальных холдингов, национальных компаний осуществляется по истечении 3 лет после утверждения аудированной финансовой отчетности центральным уполномоченным органом по государственному планированию в порядке, определяемом центральным уполномоченным органом по государственному планированию.»; </w:t>
      </w:r>
      <w:r>
        <w:br/>
      </w:r>
      <w:r>
        <w:rPr>
          <w:rFonts w:ascii="Times New Roman"/>
          <w:b w:val="false"/>
          <w:i w:val="false"/>
          <w:color w:val="000000"/>
          <w:sz w:val="28"/>
        </w:rPr>
        <w:t>
      части вторую, третью </w:t>
      </w:r>
      <w:r>
        <w:rPr>
          <w:rFonts w:ascii="Times New Roman"/>
          <w:b w:val="false"/>
          <w:i w:val="false"/>
          <w:color w:val="000000"/>
          <w:sz w:val="28"/>
        </w:rPr>
        <w:t>пункта 59</w:t>
      </w:r>
      <w:r>
        <w:rPr>
          <w:rFonts w:ascii="Times New Roman"/>
          <w:b w:val="false"/>
          <w:i w:val="false"/>
          <w:color w:val="000000"/>
          <w:sz w:val="28"/>
        </w:rPr>
        <w:t xml:space="preserve"> исключить:</w:t>
      </w:r>
      <w:r>
        <w:br/>
      </w:r>
      <w:r>
        <w:rPr>
          <w:rFonts w:ascii="Times New Roman"/>
          <w:b w:val="false"/>
          <w:i w:val="false"/>
          <w:color w:val="000000"/>
          <w:sz w:val="28"/>
        </w:rPr>
        <w:t>
      дополнить пунктом 60 следующего содержания:</w:t>
      </w:r>
      <w:r>
        <w:br/>
      </w:r>
      <w:r>
        <w:rPr>
          <w:rFonts w:ascii="Times New Roman"/>
          <w:b w:val="false"/>
          <w:i w:val="false"/>
          <w:color w:val="000000"/>
          <w:sz w:val="28"/>
        </w:rPr>
        <w:t>
      «60. Уполномоченный орган соответствующей отрасли осуществляет контроль выполнения стратегий развития национальных управляющих холдингов, национальных холдингов, национальных компаний, акционером которых является государство, в соответствующей отрасли, за исключением Фонда национального благосостояния.</w:t>
      </w:r>
      <w:r>
        <w:br/>
      </w:r>
      <w:r>
        <w:rPr>
          <w:rFonts w:ascii="Times New Roman"/>
          <w:b w:val="false"/>
          <w:i w:val="false"/>
          <w:color w:val="000000"/>
          <w:sz w:val="28"/>
        </w:rPr>
        <w:t>
      Контроль стратегии развития Фонда национального благосостояния осуществляется его советом директоров.»;</w:t>
      </w:r>
      <w:r>
        <w:br/>
      </w:r>
      <w:r>
        <w:rPr>
          <w:rFonts w:ascii="Times New Roman"/>
          <w:b w:val="false"/>
          <w:i w:val="false"/>
          <w:color w:val="000000"/>
          <w:sz w:val="28"/>
        </w:rPr>
        <w:t>
      часть пятую </w:t>
      </w:r>
      <w:r>
        <w:rPr>
          <w:rFonts w:ascii="Times New Roman"/>
          <w:b w:val="false"/>
          <w:i w:val="false"/>
          <w:color w:val="000000"/>
          <w:sz w:val="28"/>
        </w:rPr>
        <w:t>пункта 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«Контроль - это процесс наблюдения и регулирования хода реализации документов Системы государственного планирования для обеспечения достижения поставленных целей и задач.»;</w:t>
      </w:r>
      <w:r>
        <w:br/>
      </w:r>
      <w:r>
        <w:rPr>
          <w:rFonts w:ascii="Times New Roman"/>
          <w:b w:val="false"/>
          <w:i w:val="false"/>
          <w:color w:val="000000"/>
          <w:sz w:val="28"/>
        </w:rPr>
        <w:t>
      2)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 (САПП Республики Казахстан, 2010 г., № 20-21, ст. 150; 2012 г., № 68 ст. 976; 2013 год № 36, ст. 529; 2014 г., № 40-41, ст. 374): </w:t>
      </w:r>
      <w:r>
        <w:br/>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разработки, реализации, проведения мониторинга, оценки и контроля Стратегического плана развития Республики Казахстан, Прогнозной схемы территориально-пространственного развития страны, государственных программ, стратегических планов государственных органов, программ развития территорий, утвержденных вышеназванным Указом:</w:t>
      </w:r>
      <w:r>
        <w:br/>
      </w:r>
      <w:r>
        <w:rPr>
          <w:rFonts w:ascii="Times New Roman"/>
          <w:b w:val="false"/>
          <w:i w:val="false"/>
          <w:color w:val="000000"/>
          <w:sz w:val="28"/>
        </w:rPr>
        <w:t>
      абзац первый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На этапе разработки центральный уполномоченный орган по государственному планированию (далее — уполномоченный орган по государственному планированию) рассматривает представленные для согласования проекты стратегических и программных документов, стратегических планов государственных органов, программ развития территорий по следующим направлениям:»;</w:t>
      </w:r>
      <w:r>
        <w:br/>
      </w:r>
      <w:r>
        <w:rPr>
          <w:rFonts w:ascii="Times New Roman"/>
          <w:b w:val="false"/>
          <w:i w:val="false"/>
          <w:color w:val="000000"/>
          <w:sz w:val="28"/>
        </w:rPr>
        <w:t>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 Результаты мониторинга реализации документов оформляются в виде отчета о реализации, составляемого государственными органами-разработчиками документов по форме и в порядке, определяемых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пункт 16</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«В случаях, когда реализация документа связана с реализацией бюджетных инвестиций, государственным органом-разработчиком в отчете о реализации указываются сведения о результатах выездных мероприятий по определению степени выполнения мероприятий по реализации документа.»;</w:t>
      </w:r>
      <w:r>
        <w:br/>
      </w:r>
      <w:r>
        <w:rPr>
          <w:rFonts w:ascii="Times New Roman"/>
          <w:b w:val="false"/>
          <w:i w:val="false"/>
          <w:color w:val="000000"/>
          <w:sz w:val="28"/>
        </w:rPr>
        <w:t>
      </w:t>
      </w:r>
      <w:r>
        <w:rPr>
          <w:rFonts w:ascii="Times New Roman"/>
          <w:b w:val="false"/>
          <w:i w:val="false"/>
          <w:color w:val="000000"/>
          <w:sz w:val="28"/>
        </w:rPr>
        <w:t>пункт 28</w:t>
      </w:r>
      <w:r>
        <w:rPr>
          <w:rFonts w:ascii="Times New Roman"/>
          <w:b w:val="false"/>
          <w:i w:val="false"/>
          <w:color w:val="000000"/>
          <w:sz w:val="28"/>
        </w:rPr>
        <w:t xml:space="preserve"> изложит в следующей редакций:</w:t>
      </w:r>
      <w:r>
        <w:br/>
      </w:r>
      <w:r>
        <w:rPr>
          <w:rFonts w:ascii="Times New Roman"/>
          <w:b w:val="false"/>
          <w:i w:val="false"/>
          <w:color w:val="000000"/>
          <w:sz w:val="28"/>
        </w:rPr>
        <w:t>
      «28. Порядок проведения Счетным комитетом по контролю за исполнением республиканского бюджета оценки государственных и отраслевых программ и стратегических планов центральных государственных органов, а также ревизионной комиссией оценки программ развития территорий определяется Счетным комитетом по контролю за исполнением республиканского бюджета по согласованию с Администрацией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«30. Контролем является процесс наблюдения и регулирования хода реализации документов Системы государственного планирования для обеспечения достижения поставленных целей и задач. На основе данных контроля осуществляется принятие управленческих решений.»;</w:t>
      </w:r>
      <w:r>
        <w:br/>
      </w:r>
      <w:r>
        <w:rPr>
          <w:rFonts w:ascii="Times New Roman"/>
          <w:b w:val="false"/>
          <w:i w:val="false"/>
          <w:color w:val="000000"/>
          <w:sz w:val="28"/>
        </w:rPr>
        <w:t>
      </w:t>
      </w:r>
      <w:r>
        <w:rPr>
          <w:rFonts w:ascii="Times New Roman"/>
          <w:b w:val="false"/>
          <w:i w:val="false"/>
          <w:color w:val="000000"/>
          <w:sz w:val="28"/>
        </w:rPr>
        <w:t>пункт 47</w:t>
      </w:r>
      <w:r>
        <w:rPr>
          <w:rFonts w:ascii="Times New Roman"/>
          <w:b w:val="false"/>
          <w:i w:val="false"/>
          <w:color w:val="000000"/>
          <w:sz w:val="28"/>
        </w:rPr>
        <w:t xml:space="preserve"> дополнить подпунктом 8) следующего содержания:</w:t>
      </w:r>
      <w:r>
        <w:br/>
      </w:r>
      <w:r>
        <w:rPr>
          <w:rFonts w:ascii="Times New Roman"/>
          <w:b w:val="false"/>
          <w:i w:val="false"/>
          <w:color w:val="000000"/>
          <w:sz w:val="28"/>
        </w:rPr>
        <w:t>
      «8) возможность декомпозиции или каскадирования в нижестоящие документы Системы государственного планирования.»;</w:t>
      </w:r>
      <w:r>
        <w:br/>
      </w:r>
      <w:r>
        <w:rPr>
          <w:rFonts w:ascii="Times New Roman"/>
          <w:b w:val="false"/>
          <w:i w:val="false"/>
          <w:color w:val="000000"/>
          <w:sz w:val="28"/>
        </w:rPr>
        <w:t xml:space="preserve">
      дополнить пунктом 48-1 следующего содержания: </w:t>
      </w:r>
      <w:r>
        <w:br/>
      </w:r>
      <w:r>
        <w:rPr>
          <w:rFonts w:ascii="Times New Roman"/>
          <w:b w:val="false"/>
          <w:i w:val="false"/>
          <w:color w:val="000000"/>
          <w:sz w:val="28"/>
        </w:rPr>
        <w:t xml:space="preserve">
      «48-1. После утверждения Стратегического плана развития Республики Казахстан в двухмесячный срок Правительством Республики Казахстан утверждается Единая база индикаторов, которая содержит перечень индикаторов, их значения, уровень документов, в которых они должны быть отражены, сроки и последовательность их достижения, государственные органы, ответственные за их достижение. </w:t>
      </w:r>
      <w:r>
        <w:br/>
      </w:r>
      <w:r>
        <w:rPr>
          <w:rFonts w:ascii="Times New Roman"/>
          <w:b w:val="false"/>
          <w:i w:val="false"/>
          <w:color w:val="000000"/>
          <w:sz w:val="28"/>
        </w:rPr>
        <w:t>
      Разработка Единой базы индикаторов осуществляется уполномоченным органом по государственному планированию параллельно с разработкой Стратегического плана развития Республики Казахстан совместно с заинтересованными государственными органами, неправительственными организациями, общественностью путем создания рабочих групп и размещения на веб-сайте уполномоченного органа по государственному планированию информации о ходе ее разработки.»;</w:t>
      </w:r>
      <w:r>
        <w:br/>
      </w:r>
      <w:r>
        <w:rPr>
          <w:rFonts w:ascii="Times New Roman"/>
          <w:b w:val="false"/>
          <w:i w:val="false"/>
          <w:color w:val="000000"/>
          <w:sz w:val="28"/>
        </w:rPr>
        <w:t>
      </w:t>
      </w:r>
      <w:r>
        <w:rPr>
          <w:rFonts w:ascii="Times New Roman"/>
          <w:b w:val="false"/>
          <w:i w:val="false"/>
          <w:color w:val="000000"/>
          <w:sz w:val="28"/>
        </w:rPr>
        <w:t>пункты 53</w:t>
      </w: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«53. Уполномоченный орган по государственному планированию на основании информации о реализации Стратегического плана развития Республики Казахстан, представляемой государственными органами, формирует отчет о реализации и проект заключения.</w:t>
      </w:r>
      <w:r>
        <w:br/>
      </w:r>
      <w:r>
        <w:rPr>
          <w:rFonts w:ascii="Times New Roman"/>
          <w:b w:val="false"/>
          <w:i w:val="false"/>
          <w:color w:val="000000"/>
          <w:sz w:val="28"/>
        </w:rPr>
        <w:t>
      В срок до 10 июля года, следующего за отчетным периодом, уполномоченный орган по государственному планированию представляет отчет о реализации и проект заключения по мониторингу Стратегического плана развития Республики Казахстан в Правительство Республики Казахстан, а также размещает отчет о реализации за подписью первого руководителя на веб-портале (за исключением информации секретного характера и для служебного пользования).</w:t>
      </w:r>
      <w:r>
        <w:br/>
      </w:r>
      <w:r>
        <w:rPr>
          <w:rFonts w:ascii="Times New Roman"/>
          <w:b w:val="false"/>
          <w:i w:val="false"/>
          <w:color w:val="000000"/>
          <w:sz w:val="28"/>
        </w:rPr>
        <w:t xml:space="preserve">
      54. После рассмотрения отчета о реализации и проекта заключения по мониторингу Правительство Республики Казахстан при необходимости дорабатывает проект заключения и представляет заключение вместе с отчетом о реализации в Администрацию Президента Республики Казахстан до 20 июля года, следующего за отчетным периодом.»; </w:t>
      </w:r>
      <w:r>
        <w:br/>
      </w:r>
      <w:r>
        <w:rPr>
          <w:rFonts w:ascii="Times New Roman"/>
          <w:b w:val="false"/>
          <w:i w:val="false"/>
          <w:color w:val="000000"/>
          <w:sz w:val="28"/>
        </w:rPr>
        <w:t>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«60. Разработка проекта Прогнозной схемы территориально-пространственного развития страны, а также ее корректировка осуществляются уполномоченным органом по государственному планированию при участии центральных государственных и местных исполнительных органов, национальных управляющих холдингов, национальных холдингов, национальных компаний с участием государства в уставном капитале, общественных и научно-исследовательских организаций.»;</w:t>
      </w:r>
      <w:r>
        <w:br/>
      </w:r>
      <w:r>
        <w:rPr>
          <w:rFonts w:ascii="Times New Roman"/>
          <w:b w:val="false"/>
          <w:i w:val="false"/>
          <w:color w:val="000000"/>
          <w:sz w:val="28"/>
        </w:rPr>
        <w:t>
      часть первую </w:t>
      </w:r>
      <w:r>
        <w:rPr>
          <w:rFonts w:ascii="Times New Roman"/>
          <w:b w:val="false"/>
          <w:i w:val="false"/>
          <w:color w:val="000000"/>
          <w:sz w:val="28"/>
        </w:rPr>
        <w:t>пункта 67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«67. Для реализации Прогнозной схемы территориально-пространственного развития страны уполномоченным органом по государственному планированию поэтапно на каждый среднесрочный период разрабатывается План мероприятий.»;</w:t>
      </w:r>
      <w:r>
        <w:br/>
      </w:r>
      <w:r>
        <w:rPr>
          <w:rFonts w:ascii="Times New Roman"/>
          <w:b w:val="false"/>
          <w:i w:val="false"/>
          <w:color w:val="000000"/>
          <w:sz w:val="28"/>
        </w:rPr>
        <w:t>
      </w:t>
      </w:r>
      <w:r>
        <w:rPr>
          <w:rFonts w:ascii="Times New Roman"/>
          <w:b w:val="false"/>
          <w:i w:val="false"/>
          <w:color w:val="000000"/>
          <w:sz w:val="28"/>
        </w:rPr>
        <w:t>пункт 68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«68. Мониторинг Прогнозной схемы территориально-пространственного развития страны проводится уполномоченным органом по государственному планированию путем формирования отчета о реализации на основе информации о ходе реализации, представляемой центральными государственными и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пункты 70</w:t>
      </w:r>
      <w:r>
        <w:rPr>
          <w:rFonts w:ascii="Times New Roman"/>
          <w:b w:val="false"/>
          <w:i w:val="false"/>
          <w:color w:val="000000"/>
          <w:sz w:val="28"/>
        </w:rPr>
        <w:t>, </w:t>
      </w:r>
      <w:r>
        <w:rPr>
          <w:rFonts w:ascii="Times New Roman"/>
          <w:b w:val="false"/>
          <w:i w:val="false"/>
          <w:color w:val="000000"/>
          <w:sz w:val="28"/>
        </w:rPr>
        <w:t>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«70. Для проведения мониторинга Прогнозной схемы территориально-пространственного развития страны центральные государственные и местные исполнительные органы, ответственные за достижение целей и задач, в пределах своей компетенции представляют информацию о ходе реализации Прогнозной схемы территориально-пространственного развития страны в уполномоченный орган по государственному планированию до 1 июня года, следующего за отчетным периодом.</w:t>
      </w:r>
      <w:r>
        <w:br/>
      </w:r>
      <w:r>
        <w:rPr>
          <w:rFonts w:ascii="Times New Roman"/>
          <w:b w:val="false"/>
          <w:i w:val="false"/>
          <w:color w:val="000000"/>
          <w:sz w:val="28"/>
        </w:rPr>
        <w:t>
      71. Уполномоченный орган по государственному планированию на основании информации о ходе реализации Прогнозной схемы территориально-пространственного развитая страны, представляемой центральными государственными и местными исполнительными органами, формирует отчет о реализации и проект заключения.</w:t>
      </w:r>
      <w:r>
        <w:br/>
      </w:r>
      <w:r>
        <w:rPr>
          <w:rFonts w:ascii="Times New Roman"/>
          <w:b w:val="false"/>
          <w:i w:val="false"/>
          <w:color w:val="000000"/>
          <w:sz w:val="28"/>
        </w:rPr>
        <w:t>
      В срок до 1 июля года, следующего за отчетным периодом, уполномоченный орган по государственному планированию представляет отчет о реализации и заключение по мониторингу в Правительство Республики Казахстан, а также размещает отчет о реализации за подписью первого руководителя на веб-портале (за исключением информации секретного характера и для служебного пользования).»;</w:t>
      </w:r>
      <w:r>
        <w:br/>
      </w:r>
      <w:r>
        <w:rPr>
          <w:rFonts w:ascii="Times New Roman"/>
          <w:b w:val="false"/>
          <w:i w:val="false"/>
          <w:color w:val="000000"/>
          <w:sz w:val="28"/>
        </w:rPr>
        <w:t>
      </w:t>
      </w:r>
      <w:r>
        <w:rPr>
          <w:rFonts w:ascii="Times New Roman"/>
          <w:b w:val="false"/>
          <w:i w:val="false"/>
          <w:color w:val="000000"/>
          <w:sz w:val="28"/>
        </w:rPr>
        <w:t>пункт 73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«73. Оценка Прогнозной схемы территориально-пространственного развития страны проводится уполномоченным органом по государственному планированию в год проведения оценки Стратегического плана развития Республики Казахстан на основе документов, указанных в </w:t>
      </w:r>
      <w:r>
        <w:rPr>
          <w:rFonts w:ascii="Times New Roman"/>
          <w:b w:val="false"/>
          <w:i w:val="false"/>
          <w:color w:val="000000"/>
          <w:sz w:val="28"/>
        </w:rPr>
        <w:t>пункте 24</w:t>
      </w:r>
      <w:r>
        <w:rPr>
          <w:rFonts w:ascii="Times New Roman"/>
          <w:b w:val="false"/>
          <w:i w:val="false"/>
          <w:color w:val="000000"/>
          <w:sz w:val="28"/>
        </w:rPr>
        <w:t xml:space="preserve"> настоящих Правил, путем формирования проекта заключения по оценке.»;</w:t>
      </w:r>
      <w:r>
        <w:br/>
      </w:r>
      <w:r>
        <w:rPr>
          <w:rFonts w:ascii="Times New Roman"/>
          <w:b w:val="false"/>
          <w:i w:val="false"/>
          <w:color w:val="000000"/>
          <w:sz w:val="28"/>
        </w:rPr>
        <w:t>
      </w:t>
      </w:r>
      <w:r>
        <w:rPr>
          <w:rFonts w:ascii="Times New Roman"/>
          <w:b w:val="false"/>
          <w:i w:val="false"/>
          <w:color w:val="000000"/>
          <w:sz w:val="28"/>
        </w:rPr>
        <w:t>пункт 99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«99. Цели и задачи государственной программы должны быть четкими, конкретными, контролируемыми, проверяемыми и оцениваемыми. Целевые индикаторы и показатели результатов должны характеризоваться комплексностью, отражать уровень, степень решения вопросов межсферного и межведомственного характера.»;</w:t>
      </w:r>
      <w:r>
        <w:br/>
      </w:r>
      <w:r>
        <w:rPr>
          <w:rFonts w:ascii="Times New Roman"/>
          <w:b w:val="false"/>
          <w:i w:val="false"/>
          <w:color w:val="000000"/>
          <w:sz w:val="28"/>
        </w:rPr>
        <w:t>
      </w:t>
      </w:r>
      <w:r>
        <w:rPr>
          <w:rFonts w:ascii="Times New Roman"/>
          <w:b w:val="false"/>
          <w:i w:val="false"/>
          <w:color w:val="000000"/>
          <w:sz w:val="28"/>
        </w:rPr>
        <w:t>пункт 112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«112. Уполномоченный орган по государственному планированию по итогам проведенного мониторинга на основании отчетов о реализации государственных программ формирует по каждой из них проекты заключений и представляет их вместе с отчетами о реализации в Правительство Республики Казахстан до 25 марта года, следующего за отчетным годом.»;</w:t>
      </w:r>
      <w:r>
        <w:br/>
      </w:r>
      <w:r>
        <w:rPr>
          <w:rFonts w:ascii="Times New Roman"/>
          <w:b w:val="false"/>
          <w:i w:val="false"/>
          <w:color w:val="000000"/>
          <w:sz w:val="28"/>
        </w:rPr>
        <w:t>
      </w:t>
      </w:r>
      <w:r>
        <w:rPr>
          <w:rFonts w:ascii="Times New Roman"/>
          <w:b w:val="false"/>
          <w:i w:val="false"/>
          <w:color w:val="000000"/>
          <w:sz w:val="28"/>
        </w:rPr>
        <w:t>пункт 121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«121. Структура стратегического плана государственного органа состоит из следующих разделов:</w:t>
      </w:r>
      <w:r>
        <w:br/>
      </w:r>
      <w:r>
        <w:rPr>
          <w:rFonts w:ascii="Times New Roman"/>
          <w:b w:val="false"/>
          <w:i w:val="false"/>
          <w:color w:val="000000"/>
          <w:sz w:val="28"/>
        </w:rPr>
        <w:t xml:space="preserve">
      1) миссия и видение; </w:t>
      </w:r>
      <w:r>
        <w:br/>
      </w:r>
      <w:r>
        <w:rPr>
          <w:rFonts w:ascii="Times New Roman"/>
          <w:b w:val="false"/>
          <w:i w:val="false"/>
          <w:color w:val="000000"/>
          <w:sz w:val="28"/>
        </w:rPr>
        <w:t xml:space="preserve">
      2) анализ текущей ситуации и управление рисками; </w:t>
      </w:r>
      <w:r>
        <w:br/>
      </w:r>
      <w:r>
        <w:rPr>
          <w:rFonts w:ascii="Times New Roman"/>
          <w:b w:val="false"/>
          <w:i w:val="false"/>
          <w:color w:val="000000"/>
          <w:sz w:val="28"/>
        </w:rPr>
        <w:t xml:space="preserve">
      3) приоритетные направления развития сферы/отрасли; </w:t>
      </w:r>
      <w:r>
        <w:br/>
      </w:r>
      <w:r>
        <w:rPr>
          <w:rFonts w:ascii="Times New Roman"/>
          <w:b w:val="false"/>
          <w:i w:val="false"/>
          <w:color w:val="000000"/>
          <w:sz w:val="28"/>
        </w:rPr>
        <w:t xml:space="preserve">
      4) архитектура взаимосвязи стратегического и бюджетного планирования; </w:t>
      </w:r>
      <w:r>
        <w:br/>
      </w:r>
      <w:r>
        <w:rPr>
          <w:rFonts w:ascii="Times New Roman"/>
          <w:b w:val="false"/>
          <w:i w:val="false"/>
          <w:color w:val="000000"/>
          <w:sz w:val="28"/>
        </w:rPr>
        <w:t xml:space="preserve">
      5) стратегические направления, цели, целевые индикаторы, задачи и показатели результатов; </w:t>
      </w:r>
      <w:r>
        <w:br/>
      </w:r>
      <w:r>
        <w:rPr>
          <w:rFonts w:ascii="Times New Roman"/>
          <w:b w:val="false"/>
          <w:i w:val="false"/>
          <w:color w:val="000000"/>
          <w:sz w:val="28"/>
        </w:rPr>
        <w:t xml:space="preserve">
      6) ресурсы.»; </w:t>
      </w:r>
      <w:r>
        <w:br/>
      </w:r>
      <w:r>
        <w:rPr>
          <w:rFonts w:ascii="Times New Roman"/>
          <w:b w:val="false"/>
          <w:i w:val="false"/>
          <w:color w:val="000000"/>
          <w:sz w:val="28"/>
        </w:rPr>
        <w:t>
      </w:t>
      </w:r>
      <w:r>
        <w:rPr>
          <w:rFonts w:ascii="Times New Roman"/>
          <w:b w:val="false"/>
          <w:i w:val="false"/>
          <w:color w:val="000000"/>
          <w:sz w:val="28"/>
        </w:rPr>
        <w:t>пункт 125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«125. В разделе «Анализ текущей ситуации и управление рисками» излагаются:</w:t>
      </w:r>
      <w:r>
        <w:br/>
      </w:r>
      <w:r>
        <w:rPr>
          <w:rFonts w:ascii="Times New Roman"/>
          <w:b w:val="false"/>
          <w:i w:val="false"/>
          <w:color w:val="000000"/>
          <w:sz w:val="28"/>
        </w:rPr>
        <w:t>
      в подразделе «Анализ текущей ситуации» указываются:</w:t>
      </w:r>
      <w:r>
        <w:br/>
      </w:r>
      <w:r>
        <w:rPr>
          <w:rFonts w:ascii="Times New Roman"/>
          <w:b w:val="false"/>
          <w:i w:val="false"/>
          <w:color w:val="000000"/>
          <w:sz w:val="28"/>
        </w:rPr>
        <w:t xml:space="preserve">
      1) основные параметры развития регулируемой отрасли или сферы деятельности государственного органа с приведением статистических данных либо других показателей, характеризующих состояние отрасли или сферы деятельности, в том числе в сравнении с другими странами; </w:t>
      </w:r>
      <w:r>
        <w:br/>
      </w:r>
      <w:r>
        <w:rPr>
          <w:rFonts w:ascii="Times New Roman"/>
          <w:b w:val="false"/>
          <w:i w:val="false"/>
          <w:color w:val="000000"/>
          <w:sz w:val="28"/>
        </w:rPr>
        <w:t xml:space="preserve">
      2) анализ основных проблем, стоящих перед экономикой и обществом, на решение которых направлен стратегический план государственного органа; </w:t>
      </w:r>
      <w:r>
        <w:br/>
      </w:r>
      <w:r>
        <w:rPr>
          <w:rFonts w:ascii="Times New Roman"/>
          <w:b w:val="false"/>
          <w:i w:val="false"/>
          <w:color w:val="000000"/>
          <w:sz w:val="28"/>
        </w:rPr>
        <w:t>
      в подразделе «Управление рисками»:</w:t>
      </w:r>
      <w:r>
        <w:br/>
      </w:r>
      <w:r>
        <w:rPr>
          <w:rFonts w:ascii="Times New Roman"/>
          <w:b w:val="false"/>
          <w:i w:val="false"/>
          <w:color w:val="000000"/>
          <w:sz w:val="28"/>
        </w:rPr>
        <w:t xml:space="preserve">
      1) приводится перечень возможных рисков, оказывающих влияние на деятельность государственного органа; </w:t>
      </w:r>
      <w:r>
        <w:br/>
      </w:r>
      <w:r>
        <w:rPr>
          <w:rFonts w:ascii="Times New Roman"/>
          <w:b w:val="false"/>
          <w:i w:val="false"/>
          <w:color w:val="000000"/>
          <w:sz w:val="28"/>
        </w:rPr>
        <w:t xml:space="preserve">
      2) указываются стратегические цели государственного органа, на которые может повлиять данный риск; </w:t>
      </w:r>
      <w:r>
        <w:br/>
      </w:r>
      <w:r>
        <w:rPr>
          <w:rFonts w:ascii="Times New Roman"/>
          <w:b w:val="false"/>
          <w:i w:val="false"/>
          <w:color w:val="000000"/>
          <w:sz w:val="28"/>
        </w:rPr>
        <w:t xml:space="preserve">
      3) излагаются основные пути предотвращения риска недостижения запланированных стратегических целей государственного органа по внутренним или внешним причинам объективного или субъективного характера в случае его усиления; </w:t>
      </w:r>
      <w:r>
        <w:br/>
      </w:r>
      <w:r>
        <w:rPr>
          <w:rFonts w:ascii="Times New Roman"/>
          <w:b w:val="false"/>
          <w:i w:val="false"/>
          <w:color w:val="000000"/>
          <w:sz w:val="28"/>
        </w:rPr>
        <w:t xml:space="preserve">
      4) излагаются возможные последствия в случае неэффективности мер по управлению рисками. </w:t>
      </w:r>
      <w:r>
        <w:br/>
      </w:r>
      <w:r>
        <w:rPr>
          <w:rFonts w:ascii="Times New Roman"/>
          <w:b w:val="false"/>
          <w:i w:val="false"/>
          <w:color w:val="000000"/>
          <w:sz w:val="28"/>
        </w:rPr>
        <w:t>
      В качестве возможного риска недостижения стратегических целей государственного органа не может выступать риск недофинансирования.»;</w:t>
      </w:r>
      <w:r>
        <w:br/>
      </w:r>
      <w:r>
        <w:rPr>
          <w:rFonts w:ascii="Times New Roman"/>
          <w:b w:val="false"/>
          <w:i w:val="false"/>
          <w:color w:val="000000"/>
          <w:sz w:val="28"/>
        </w:rPr>
        <w:t>
      </w:t>
      </w:r>
      <w:r>
        <w:rPr>
          <w:rFonts w:ascii="Times New Roman"/>
          <w:b w:val="false"/>
          <w:i w:val="false"/>
          <w:color w:val="000000"/>
          <w:sz w:val="28"/>
        </w:rPr>
        <w:t>пункты 129</w:t>
      </w:r>
      <w:r>
        <w:rPr>
          <w:rFonts w:ascii="Times New Roman"/>
          <w:b w:val="false"/>
          <w:i w:val="false"/>
          <w:color w:val="000000"/>
          <w:sz w:val="28"/>
        </w:rPr>
        <w:t>, </w:t>
      </w:r>
      <w:r>
        <w:rPr>
          <w:rFonts w:ascii="Times New Roman"/>
          <w:b w:val="false"/>
          <w:i w:val="false"/>
          <w:color w:val="000000"/>
          <w:sz w:val="28"/>
        </w:rPr>
        <w:t>130</w:t>
      </w:r>
      <w:r>
        <w:rPr>
          <w:rFonts w:ascii="Times New Roman"/>
          <w:b w:val="false"/>
          <w:i w:val="false"/>
          <w:color w:val="000000"/>
          <w:sz w:val="28"/>
        </w:rPr>
        <w:t>,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132</w:t>
      </w:r>
      <w:r>
        <w:rPr>
          <w:rFonts w:ascii="Times New Roman"/>
          <w:b w:val="false"/>
          <w:i w:val="false"/>
          <w:color w:val="000000"/>
          <w:sz w:val="28"/>
        </w:rPr>
        <w:t>, </w:t>
      </w:r>
      <w:r>
        <w:rPr>
          <w:rFonts w:ascii="Times New Roman"/>
          <w:b w:val="false"/>
          <w:i w:val="false"/>
          <w:color w:val="000000"/>
          <w:sz w:val="28"/>
        </w:rPr>
        <w:t>133</w:t>
      </w:r>
      <w:r>
        <w:rPr>
          <w:rFonts w:ascii="Times New Roman"/>
          <w:b w:val="false"/>
          <w:i w:val="false"/>
          <w:color w:val="000000"/>
          <w:sz w:val="28"/>
        </w:rPr>
        <w:t xml:space="preserve"> и </w:t>
      </w:r>
      <w:r>
        <w:rPr>
          <w:rFonts w:ascii="Times New Roman"/>
          <w:b w:val="false"/>
          <w:i w:val="false"/>
          <w:color w:val="000000"/>
          <w:sz w:val="28"/>
        </w:rPr>
        <w:t>134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«129. Раздел «Приоритетные направления развития сферы/отрасли» включает:</w:t>
      </w:r>
      <w:r>
        <w:br/>
      </w:r>
      <w:r>
        <w:rPr>
          <w:rFonts w:ascii="Times New Roman"/>
          <w:b w:val="false"/>
          <w:i w:val="false"/>
          <w:color w:val="000000"/>
          <w:sz w:val="28"/>
        </w:rPr>
        <w:t xml:space="preserve">
      1) краткое описание приоритетных направлений развития сферы/отрасли с указанием обоснований включения данных направлений в число приоритетных, связанных с ежегодными посланиями Президента Республики Казахстан, изменениями социально-экономической, политической ситуации в стране и так далее; </w:t>
      </w:r>
      <w:r>
        <w:br/>
      </w:r>
      <w:r>
        <w:rPr>
          <w:rFonts w:ascii="Times New Roman"/>
          <w:b w:val="false"/>
          <w:i w:val="false"/>
          <w:color w:val="000000"/>
          <w:sz w:val="28"/>
        </w:rPr>
        <w:t xml:space="preserve">
      2) основные пути реализации приоритетных направлений развития сферы/отрасли. </w:t>
      </w:r>
      <w:r>
        <w:br/>
      </w:r>
      <w:r>
        <w:rPr>
          <w:rFonts w:ascii="Times New Roman"/>
          <w:b w:val="false"/>
          <w:i w:val="false"/>
          <w:color w:val="000000"/>
          <w:sz w:val="28"/>
        </w:rPr>
        <w:t>
      Приоритетные направления развития сферы/отрасли интегрируются в существующие стратегические направления деятельности государственного органа или формируются новые стратегические направления деятельности государственного органа.</w:t>
      </w:r>
      <w:r>
        <w:br/>
      </w:r>
      <w:r>
        <w:rPr>
          <w:rFonts w:ascii="Times New Roman"/>
          <w:b w:val="false"/>
          <w:i w:val="false"/>
          <w:color w:val="000000"/>
          <w:sz w:val="28"/>
        </w:rPr>
        <w:t xml:space="preserve">
      130. Раздел «Архитектура взаимосвязи стратегического и бюджетного планирования» предназначен для демонстрации связи между общенациональными целями, определенными Стратегией развития Казахстана до 2050 года, Стратегическим планом развития Республики Казахстан до 2020 года и стратегическими направлениями, целями и бюджетными программами государственного органа. </w:t>
      </w:r>
      <w:r>
        <w:br/>
      </w:r>
      <w:r>
        <w:rPr>
          <w:rFonts w:ascii="Times New Roman"/>
          <w:b w:val="false"/>
          <w:i w:val="false"/>
          <w:color w:val="000000"/>
          <w:sz w:val="28"/>
        </w:rPr>
        <w:t>
      В разделе «Архитектура взаимосвязи стратегического и бюджетного планирования» в схематичном виде, в разрезе стратегических направлений государственных органов указываются стратегические цели государственного органа, взаимоувязанные с бюджетными программами, от достижений или реализации которых зависит достижение соответствующих общенациональных показателей страны.</w:t>
      </w:r>
      <w:r>
        <w:br/>
      </w:r>
      <w:r>
        <w:rPr>
          <w:rFonts w:ascii="Times New Roman"/>
          <w:b w:val="false"/>
          <w:i w:val="false"/>
          <w:color w:val="000000"/>
          <w:sz w:val="28"/>
        </w:rPr>
        <w:t xml:space="preserve">
      131. В разделе «Стратегические направления, цели, целевые индикаторы, задачи и показатели результатов» излагаются стратегические направления, цели, целевые индикаторы, задачи и показатели результатов стратегического плана государственного органа, зависящие непосредственно от деятельности самого государственного органа. </w:t>
      </w:r>
      <w:r>
        <w:br/>
      </w:r>
      <w:r>
        <w:rPr>
          <w:rFonts w:ascii="Times New Roman"/>
          <w:b w:val="false"/>
          <w:i w:val="false"/>
          <w:color w:val="000000"/>
          <w:sz w:val="28"/>
        </w:rPr>
        <w:t>
      Стратегические направления формируются на основе анализа регулируемых отраслей, секторов экономики или сфер деятельности, изменения в которых являются наиболее важными для достижения целей и приоритетов, обозначенных в стратегических и программных документах.</w:t>
      </w:r>
      <w:r>
        <w:br/>
      </w:r>
      <w:r>
        <w:rPr>
          <w:rFonts w:ascii="Times New Roman"/>
          <w:b w:val="false"/>
          <w:i w:val="false"/>
          <w:color w:val="000000"/>
          <w:sz w:val="28"/>
        </w:rPr>
        <w:t xml:space="preserve">
      132. Цель государственного органа заключается в достижении определенного конкретного изменения в деятельности самого государственного органа либо регулируемой им сфере, выраженном в целевых индикаторах. </w:t>
      </w:r>
      <w:r>
        <w:br/>
      </w:r>
      <w:r>
        <w:rPr>
          <w:rFonts w:ascii="Times New Roman"/>
          <w:b w:val="false"/>
          <w:i w:val="false"/>
          <w:color w:val="000000"/>
          <w:sz w:val="28"/>
        </w:rPr>
        <w:t>
      При определении целей государственному органу необходимо придерживаться следующих требований:</w:t>
      </w:r>
      <w:r>
        <w:br/>
      </w:r>
      <w:r>
        <w:rPr>
          <w:rFonts w:ascii="Times New Roman"/>
          <w:b w:val="false"/>
          <w:i w:val="false"/>
          <w:color w:val="000000"/>
          <w:sz w:val="28"/>
        </w:rPr>
        <w:t xml:space="preserve">
      1) наличие четкой причинно-следственной связи с обозначенными проблемами; </w:t>
      </w:r>
      <w:r>
        <w:br/>
      </w:r>
      <w:r>
        <w:rPr>
          <w:rFonts w:ascii="Times New Roman"/>
          <w:b w:val="false"/>
          <w:i w:val="false"/>
          <w:color w:val="000000"/>
          <w:sz w:val="28"/>
        </w:rPr>
        <w:t xml:space="preserve">
      2) возможность выразить достижение цели с помощью количественных показателей; </w:t>
      </w:r>
      <w:r>
        <w:br/>
      </w:r>
      <w:r>
        <w:rPr>
          <w:rFonts w:ascii="Times New Roman"/>
          <w:b w:val="false"/>
          <w:i w:val="false"/>
          <w:color w:val="000000"/>
          <w:sz w:val="28"/>
        </w:rPr>
        <w:t xml:space="preserve">
      3) соответствие целям Стратегического плана развития Республики Казахстан, Прогнозной схемы пространственно-территориального развития, государственных программ; </w:t>
      </w:r>
      <w:r>
        <w:br/>
      </w:r>
      <w:r>
        <w:rPr>
          <w:rFonts w:ascii="Times New Roman"/>
          <w:b w:val="false"/>
          <w:i w:val="false"/>
          <w:color w:val="000000"/>
          <w:sz w:val="28"/>
        </w:rPr>
        <w:t xml:space="preserve">
      4) краткое и четкое изложение целей, при формулировании которых не допускаются: </w:t>
      </w:r>
      <w:r>
        <w:br/>
      </w:r>
      <w:r>
        <w:rPr>
          <w:rFonts w:ascii="Times New Roman"/>
          <w:b w:val="false"/>
          <w:i w:val="false"/>
          <w:color w:val="000000"/>
          <w:sz w:val="28"/>
        </w:rPr>
        <w:t>
      использование терминов, понятий и выражений произвольного или неоднозначного толкования;</w:t>
      </w:r>
      <w:r>
        <w:br/>
      </w:r>
      <w:r>
        <w:rPr>
          <w:rFonts w:ascii="Times New Roman"/>
          <w:b w:val="false"/>
          <w:i w:val="false"/>
          <w:color w:val="000000"/>
          <w:sz w:val="28"/>
        </w:rPr>
        <w:t xml:space="preserve">
      указание на иные цели, задачи или результаты, которые являются  следствиями достижения самой цели. </w:t>
      </w:r>
      <w:r>
        <w:br/>
      </w:r>
      <w:r>
        <w:rPr>
          <w:rFonts w:ascii="Times New Roman"/>
          <w:b w:val="false"/>
          <w:i w:val="false"/>
          <w:color w:val="000000"/>
          <w:sz w:val="28"/>
        </w:rPr>
        <w:t xml:space="preserve">
      133. Для каждой цели в стратегическом плане государственного органа определяются целевые индикаторы и описываются пути, средства и методы достижения цели. </w:t>
      </w:r>
      <w:r>
        <w:br/>
      </w:r>
      <w:r>
        <w:rPr>
          <w:rFonts w:ascii="Times New Roman"/>
          <w:b w:val="false"/>
          <w:i w:val="false"/>
          <w:color w:val="000000"/>
          <w:sz w:val="28"/>
        </w:rPr>
        <w:t>
      По каждому целевому индикатору определяется окончательный срок (период) достижения его планируемого значения с определением промежуточных значений целевого индикатора по годам отчетного и пятилетнего периодов.</w:t>
      </w:r>
      <w:r>
        <w:br/>
      </w:r>
      <w:r>
        <w:rPr>
          <w:rFonts w:ascii="Times New Roman"/>
          <w:b w:val="false"/>
          <w:i w:val="false"/>
          <w:color w:val="000000"/>
          <w:sz w:val="28"/>
        </w:rPr>
        <w:t xml:space="preserve">
      134. Задачами государственного органа являются условия, которые необходимо выполнить для достижения соответствующей цели в пятилетнем периоде, позволяющие увидеть ключевые изменения в сфере деятельности к концу планового периода. </w:t>
      </w:r>
      <w:r>
        <w:br/>
      </w:r>
      <w:r>
        <w:rPr>
          <w:rFonts w:ascii="Times New Roman"/>
          <w:b w:val="false"/>
          <w:i w:val="false"/>
          <w:color w:val="000000"/>
          <w:sz w:val="28"/>
        </w:rPr>
        <w:t>
      Постановка задач, направленных на обеспечение деятельности самого государственного органа, не допускается.»;</w:t>
      </w:r>
      <w:r>
        <w:br/>
      </w:r>
      <w:r>
        <w:rPr>
          <w:rFonts w:ascii="Times New Roman"/>
          <w:b w:val="false"/>
          <w:i w:val="false"/>
          <w:color w:val="000000"/>
          <w:sz w:val="28"/>
        </w:rPr>
        <w:t>
      </w:t>
      </w:r>
      <w:r>
        <w:rPr>
          <w:rFonts w:ascii="Times New Roman"/>
          <w:b w:val="false"/>
          <w:i w:val="false"/>
          <w:color w:val="000000"/>
          <w:sz w:val="28"/>
        </w:rPr>
        <w:t>пункты 137</w:t>
      </w:r>
      <w:r>
        <w:rPr>
          <w:rFonts w:ascii="Times New Roman"/>
          <w:b w:val="false"/>
          <w:i w:val="false"/>
          <w:color w:val="000000"/>
          <w:sz w:val="28"/>
        </w:rPr>
        <w:t>, </w:t>
      </w:r>
      <w:r>
        <w:rPr>
          <w:rFonts w:ascii="Times New Roman"/>
          <w:b w:val="false"/>
          <w:i w:val="false"/>
          <w:color w:val="000000"/>
          <w:sz w:val="28"/>
        </w:rPr>
        <w:t>138</w:t>
      </w:r>
      <w:r>
        <w:rPr>
          <w:rFonts w:ascii="Times New Roman"/>
          <w:b w:val="false"/>
          <w:i w:val="false"/>
          <w:color w:val="000000"/>
          <w:sz w:val="28"/>
        </w:rPr>
        <w:t>, </w:t>
      </w:r>
      <w:r>
        <w:rPr>
          <w:rFonts w:ascii="Times New Roman"/>
          <w:b w:val="false"/>
          <w:i w:val="false"/>
          <w:color w:val="000000"/>
          <w:sz w:val="28"/>
        </w:rPr>
        <w:t>139</w:t>
      </w:r>
      <w:r>
        <w:rPr>
          <w:rFonts w:ascii="Times New Roman"/>
          <w:b w:val="false"/>
          <w:i w:val="false"/>
          <w:color w:val="000000"/>
          <w:sz w:val="28"/>
        </w:rPr>
        <w:t>, </w:t>
      </w:r>
      <w:r>
        <w:rPr>
          <w:rFonts w:ascii="Times New Roman"/>
          <w:b w:val="false"/>
          <w:i w:val="false"/>
          <w:color w:val="000000"/>
          <w:sz w:val="28"/>
        </w:rPr>
        <w:t>140</w:t>
      </w:r>
      <w:r>
        <w:rPr>
          <w:rFonts w:ascii="Times New Roman"/>
          <w:b w:val="false"/>
          <w:i w:val="false"/>
          <w:color w:val="000000"/>
          <w:sz w:val="28"/>
        </w:rPr>
        <w:t>, </w:t>
      </w:r>
      <w:r>
        <w:rPr>
          <w:rFonts w:ascii="Times New Roman"/>
          <w:b w:val="false"/>
          <w:i w:val="false"/>
          <w:color w:val="000000"/>
          <w:sz w:val="28"/>
        </w:rPr>
        <w:t>141</w:t>
      </w:r>
      <w:r>
        <w:rPr>
          <w:rFonts w:ascii="Times New Roman"/>
          <w:b w:val="false"/>
          <w:i w:val="false"/>
          <w:color w:val="000000"/>
          <w:sz w:val="28"/>
        </w:rPr>
        <w:t>, </w:t>
      </w:r>
      <w:r>
        <w:rPr>
          <w:rFonts w:ascii="Times New Roman"/>
          <w:b w:val="false"/>
          <w:i w:val="false"/>
          <w:color w:val="000000"/>
          <w:sz w:val="28"/>
        </w:rPr>
        <w:t>142</w:t>
      </w:r>
      <w:r>
        <w:rPr>
          <w:rFonts w:ascii="Times New Roman"/>
          <w:b w:val="false"/>
          <w:i w:val="false"/>
          <w:color w:val="000000"/>
          <w:sz w:val="28"/>
        </w:rPr>
        <w:t xml:space="preserve"> и </w:t>
      </w:r>
      <w:r>
        <w:rPr>
          <w:rFonts w:ascii="Times New Roman"/>
          <w:b w:val="false"/>
          <w:i w:val="false"/>
          <w:color w:val="000000"/>
          <w:sz w:val="28"/>
        </w:rPr>
        <w:t>143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пункт 144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«144. В разделе «Ресурсы» в разбивке по годам отчетного и пятилетнего планового периода приводятся свод бюджетных расходов без разбивки по бюджетным программам и человеческие ресурсы с указанием штатной численности, задействованной в реализации стратегического плана.»;</w:t>
      </w:r>
      <w:r>
        <w:br/>
      </w:r>
      <w:r>
        <w:rPr>
          <w:rFonts w:ascii="Times New Roman"/>
          <w:b w:val="false"/>
          <w:i w:val="false"/>
          <w:color w:val="000000"/>
          <w:sz w:val="28"/>
        </w:rPr>
        <w:t>
      </w:t>
      </w:r>
      <w:r>
        <w:rPr>
          <w:rFonts w:ascii="Times New Roman"/>
          <w:b w:val="false"/>
          <w:i w:val="false"/>
          <w:color w:val="000000"/>
          <w:sz w:val="28"/>
        </w:rPr>
        <w:t>пункты 145</w:t>
      </w:r>
      <w:r>
        <w:rPr>
          <w:rFonts w:ascii="Times New Roman"/>
          <w:b w:val="false"/>
          <w:i w:val="false"/>
          <w:color w:val="000000"/>
          <w:sz w:val="28"/>
        </w:rPr>
        <w:t>, </w:t>
      </w:r>
      <w:r>
        <w:rPr>
          <w:rFonts w:ascii="Times New Roman"/>
          <w:b w:val="false"/>
          <w:i w:val="false"/>
          <w:color w:val="000000"/>
          <w:sz w:val="28"/>
        </w:rPr>
        <w:t>146</w:t>
      </w:r>
      <w:r>
        <w:rPr>
          <w:rFonts w:ascii="Times New Roman"/>
          <w:b w:val="false"/>
          <w:i w:val="false"/>
          <w:color w:val="000000"/>
          <w:sz w:val="28"/>
        </w:rPr>
        <w:t>, </w:t>
      </w:r>
      <w:r>
        <w:rPr>
          <w:rFonts w:ascii="Times New Roman"/>
          <w:b w:val="false"/>
          <w:i w:val="false"/>
          <w:color w:val="000000"/>
          <w:sz w:val="28"/>
        </w:rPr>
        <w:t>147</w:t>
      </w:r>
      <w:r>
        <w:rPr>
          <w:rFonts w:ascii="Times New Roman"/>
          <w:b w:val="false"/>
          <w:i w:val="false"/>
          <w:color w:val="000000"/>
          <w:sz w:val="28"/>
        </w:rPr>
        <w:t xml:space="preserve"> и </w:t>
      </w:r>
      <w:r>
        <w:rPr>
          <w:rFonts w:ascii="Times New Roman"/>
          <w:b w:val="false"/>
          <w:i w:val="false"/>
          <w:color w:val="000000"/>
          <w:sz w:val="28"/>
        </w:rPr>
        <w:t>148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пункт 157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пункты 160</w:t>
      </w:r>
      <w:r>
        <w:rPr>
          <w:rFonts w:ascii="Times New Roman"/>
          <w:b w:val="false"/>
          <w:i w:val="false"/>
          <w:color w:val="000000"/>
          <w:sz w:val="28"/>
        </w:rPr>
        <w:t>, </w:t>
      </w:r>
      <w:r>
        <w:rPr>
          <w:rFonts w:ascii="Times New Roman"/>
          <w:b w:val="false"/>
          <w:i w:val="false"/>
          <w:color w:val="000000"/>
          <w:sz w:val="28"/>
        </w:rPr>
        <w:t>161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пункт 163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пункт 166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«166. Разработка программы развития области, города республиканского значения, столицы осуществляется местным исполнительным органом области, города республиканского значения, столицы и согласовывается с уполномоченным органом по государственному планированию, иными заинтересованными государственными органами.</w:t>
      </w:r>
      <w:r>
        <w:br/>
      </w:r>
      <w:r>
        <w:rPr>
          <w:rFonts w:ascii="Times New Roman"/>
          <w:b w:val="false"/>
          <w:i w:val="false"/>
          <w:color w:val="000000"/>
          <w:sz w:val="28"/>
        </w:rPr>
        <w:t>
      Уполномоченный орган по государственному планированию, иные заинтересованные государственные органы рассматривают проекты программ развития территорий в срок, не превышающий одного месяца со дня поступления.»;</w:t>
      </w:r>
      <w:r>
        <w:br/>
      </w:r>
      <w:r>
        <w:rPr>
          <w:rFonts w:ascii="Times New Roman"/>
          <w:b w:val="false"/>
          <w:i w:val="false"/>
          <w:color w:val="000000"/>
          <w:sz w:val="28"/>
        </w:rPr>
        <w:t>
      подпункт 2) </w:t>
      </w:r>
      <w:r>
        <w:rPr>
          <w:rFonts w:ascii="Times New Roman"/>
          <w:b w:val="false"/>
          <w:i w:val="false"/>
          <w:color w:val="000000"/>
          <w:sz w:val="28"/>
        </w:rPr>
        <w:t>пункта 174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анализ социально-экономического положения территории по следующим направлениям: экономическое развитие, социальная сфера, инфраструктурный комплекс, территориальное (пространственное) развитие, межрегиональное сотрудничество, система государственного местного управления и самоуправления;»;</w:t>
      </w:r>
      <w:r>
        <w:br/>
      </w:r>
      <w:r>
        <w:rPr>
          <w:rFonts w:ascii="Times New Roman"/>
          <w:b w:val="false"/>
          <w:i w:val="false"/>
          <w:color w:val="000000"/>
          <w:sz w:val="28"/>
        </w:rPr>
        <w:t>
      подпункт 1) </w:t>
      </w:r>
      <w:r>
        <w:rPr>
          <w:rFonts w:ascii="Times New Roman"/>
          <w:b w:val="false"/>
          <w:i w:val="false"/>
          <w:color w:val="000000"/>
          <w:sz w:val="28"/>
        </w:rPr>
        <w:t>пункта 176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основные направления развития региона в части развития экономики региона в целом, социальной сферы, инфраструктурного комплекса, территориального (пространственного) устройства, межрегионального сотрудничества, системы государственного местного управления и самоуправления;»;</w:t>
      </w:r>
      <w:r>
        <w:br/>
      </w:r>
      <w:r>
        <w:rPr>
          <w:rFonts w:ascii="Times New Roman"/>
          <w:b w:val="false"/>
          <w:i w:val="false"/>
          <w:color w:val="000000"/>
          <w:sz w:val="28"/>
        </w:rPr>
        <w:t>
      </w:t>
      </w:r>
      <w:r>
        <w:rPr>
          <w:rFonts w:ascii="Times New Roman"/>
          <w:b w:val="false"/>
          <w:i w:val="false"/>
          <w:color w:val="000000"/>
          <w:sz w:val="28"/>
        </w:rPr>
        <w:t>пункт 181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«181. Цели, целевые индикаторы, задачи и показатели результатов реализации программы развития территории приводятся с указанием государственных органов и организаций, ответственных за их достижение.</w:t>
      </w:r>
      <w:r>
        <w:br/>
      </w:r>
      <w:r>
        <w:rPr>
          <w:rFonts w:ascii="Times New Roman"/>
          <w:b w:val="false"/>
          <w:i w:val="false"/>
          <w:color w:val="000000"/>
          <w:sz w:val="28"/>
        </w:rPr>
        <w:t>
      Целевые индикаторы и показатели результатов программ развития области, города республиканского значения, столицы устанавливаются Базовым перечнем показателей, разработанным и утвержденным уполномоченным органом по государственному планированию.</w:t>
      </w:r>
      <w:r>
        <w:br/>
      </w:r>
      <w:r>
        <w:rPr>
          <w:rFonts w:ascii="Times New Roman"/>
          <w:b w:val="false"/>
          <w:i w:val="false"/>
          <w:color w:val="000000"/>
          <w:sz w:val="28"/>
        </w:rPr>
        <w:t>
      Целевые индикаторы и показатели результатов программ развития района (города областного значения) разрабатываются и утверждаются уполномоченным органом по государственному планированию области.»;</w:t>
      </w:r>
      <w:r>
        <w:br/>
      </w:r>
      <w:r>
        <w:rPr>
          <w:rFonts w:ascii="Times New Roman"/>
          <w:b w:val="false"/>
          <w:i w:val="false"/>
          <w:color w:val="000000"/>
          <w:sz w:val="28"/>
        </w:rPr>
        <w:t>
      часть первую </w:t>
      </w:r>
      <w:r>
        <w:rPr>
          <w:rFonts w:ascii="Times New Roman"/>
          <w:b w:val="false"/>
          <w:i w:val="false"/>
          <w:color w:val="000000"/>
          <w:sz w:val="28"/>
        </w:rPr>
        <w:t>пункта 189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«189. План мероприятий по реализации программы развития области, города республиканского значения, столицы разрабатывается уполномоченным органом по государственному планированию соответствующей территории и утверждается акимом соответствующей территории по согласованию с уполномоченным органом по государственному планированию в месячный срок после утверждения программы развития территорий.».</w:t>
      </w:r>
      <w:r>
        <w:br/>
      </w:r>
      <w:r>
        <w:rPr>
          <w:rFonts w:ascii="Times New Roman"/>
          <w:b w:val="false"/>
          <w:i w:val="false"/>
          <w:color w:val="000000"/>
          <w:sz w:val="28"/>
        </w:rPr>
        <w:t>
      2. Настоящий Указ вводится в действие со дня его первого официального опубликования, за исключением абзацев тридцать восьмого, тридцать девятого, сорокового, сорок первого, сорок второго, сорок третьего, сорок четвертого, сорок пятого, сорок шестого, сорок седьмого, сорок восьмого, сорок девятого, пятидесятого, пятьдесят первого, пятьдесят второго, пятьдесят третьего, пятьдесят четвертого, пятьдесят пятого, пятьдесят шестого, пятьдесят седьмого, пятьдесят восьмого, пятьдесят девятого, шестидесятого, шестьдесят первого, шестьдесят второго, шестьдесят третьего, шестьдесят четвертого, шестьдесят пятого, шестьдесят шестого, шестьдесят седьмого, шестьдесят восьмого, шестьдесят девятого, семидесятого, семьдесят первого, семьдесят второго, семьдесят третьего, семьдесят. четвертого, семьдесят пятого, семьдесят шестого, семьдесят седьмого, семьдесят восьмого, семьдесят девятого, восьмидесятого, восемьдесят первого подпункта 2) пункта 1 настоящего Указа, которые вводятся в действие с 1 декабря 2016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