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f232" w14:textId="902f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2015 года № 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указы Президента</w:t>
      </w:r>
      <w:r>
        <w:br/>
      </w:r>
      <w:r>
        <w:rPr>
          <w:rFonts w:ascii="Times New Roman"/>
          <w:b/>
          <w:i w:val="false"/>
          <w:color w:val="000000"/>
        </w:rPr>
        <w:t>
Республики Казахстан от 18 июня 2009 года № 827 «О Системе</w:t>
      </w:r>
      <w:r>
        <w:br/>
      </w:r>
      <w:r>
        <w:rPr>
          <w:rFonts w:ascii="Times New Roman"/>
          <w:b/>
          <w:i w:val="false"/>
          <w:color w:val="000000"/>
        </w:rPr>
        <w:t>
государственного планирования в Республике Казахстан» и</w:t>
      </w:r>
      <w:r>
        <w:br/>
      </w:r>
      <w:r>
        <w:rPr>
          <w:rFonts w:ascii="Times New Roman"/>
          <w:b/>
          <w:i w:val="false"/>
          <w:color w:val="000000"/>
        </w:rPr>
        <w:t>
от 4 марта 2010 года № 931 «О некоторых вопросах дальнейшего</w:t>
      </w:r>
      <w:r>
        <w:br/>
      </w:r>
      <w:r>
        <w:rPr>
          <w:rFonts w:ascii="Times New Roman"/>
          <w:b/>
          <w:i w:val="false"/>
          <w:color w:val="000000"/>
        </w:rPr>
        <w:t>
функционирования Системы государственного планирования</w:t>
      </w:r>
      <w:r>
        <w:br/>
      </w:r>
      <w:r>
        <w:rPr>
          <w:rFonts w:ascii="Times New Roman"/>
          <w:b/>
          <w:i w:val="false"/>
          <w:color w:val="000000"/>
        </w:rPr>
        <w:t>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Внести изменения и дополнения в следующие указы Президента Республики Казахстан:</w:t>
      </w:r>
      <w:r>
        <w:br/>
      </w:r>
      <w:r>
        <w:rPr>
          <w:rFonts w:ascii="Times New Roman"/>
          <w:b w:val="false"/>
          <w:i w:val="false"/>
          <w:color w:val="000000"/>
          <w:sz w:val="28"/>
        </w:rPr>
        <w:t>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2010 г., № 20-21, ст. 150; 2012 г., № 13, ст. 231; № 68, ст. 976; 2013 г., № 36, ст. 529; 2014 г., № 40-41, ст. 374):</w:t>
      </w:r>
      <w:r>
        <w:br/>
      </w:r>
      <w:r>
        <w:rPr>
          <w:rFonts w:ascii="Times New Roman"/>
          <w:b w:val="false"/>
          <w:i w:val="false"/>
          <w:color w:val="000000"/>
          <w:sz w:val="28"/>
        </w:rPr>
        <w:t>
      в </w:t>
      </w:r>
      <w:r>
        <w:rPr>
          <w:rFonts w:ascii="Times New Roman"/>
          <w:b w:val="false"/>
          <w:i w:val="false"/>
          <w:color w:val="000000"/>
          <w:sz w:val="28"/>
        </w:rPr>
        <w:t>Системе государственного планирования</w:t>
      </w:r>
      <w:r>
        <w:rPr>
          <w:rFonts w:ascii="Times New Roman"/>
          <w:b w:val="false"/>
          <w:i w:val="false"/>
          <w:color w:val="000000"/>
          <w:sz w:val="28"/>
        </w:rPr>
        <w:t xml:space="preserve"> в Республике Казахстан,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«Для реализации концепции государственным органом-разработчиком разрабатывается План мероприятий по реализации концепции на весь период реализации или поэтапно на каждый среднесрочный период. План мероприятий утверждается приказом государственного органа-разработчика по согласованию с заинтересованными государственными органами в месячный срок со дня утверждения концепции или за месяц до наступления очередного этапа реализации.»;</w:t>
      </w:r>
      <w:r>
        <w:br/>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В целях реализации Стратегического плана развития Республики Казахстан центральным уполномоченным органом по государственному планированию разрабатывается Прогнозная схема территориально-пространственного развития страны на соответствующий со период.</w:t>
      </w:r>
      <w:r>
        <w:br/>
      </w:r>
      <w:r>
        <w:rPr>
          <w:rFonts w:ascii="Times New Roman"/>
          <w:b w:val="false"/>
          <w:i w:val="false"/>
          <w:color w:val="000000"/>
          <w:sz w:val="28"/>
        </w:rPr>
        <w:t>
      Прогнозная схема территориально-пространственного развития страны - это система рационального размещения производительных сил, транспортно-коммуникационной, социальной и другой инфраструктуры, расселения населения страны в разрезе регионов для обеспечения устойчивого развития страны.</w:t>
      </w:r>
      <w:r>
        <w:br/>
      </w:r>
      <w:r>
        <w:rPr>
          <w:rFonts w:ascii="Times New Roman"/>
          <w:b w:val="false"/>
          <w:i w:val="false"/>
          <w:color w:val="000000"/>
          <w:sz w:val="28"/>
        </w:rPr>
        <w:t>
      Прогнозная схема территориально-пространственного развития страны утверждается Президентом Республики Казахстан.</w:t>
      </w:r>
      <w:r>
        <w:br/>
      </w:r>
      <w:r>
        <w:rPr>
          <w:rFonts w:ascii="Times New Roman"/>
          <w:b w:val="false"/>
          <w:i w:val="false"/>
          <w:color w:val="000000"/>
          <w:sz w:val="28"/>
        </w:rPr>
        <w:t>
      Мониторинг и оценка реализации Прогнозной схемы территориально-пространственного развития страны проводятся центральным уполномоченным органом по государственному планированию.</w:t>
      </w:r>
      <w:r>
        <w:br/>
      </w:r>
      <w:r>
        <w:rPr>
          <w:rFonts w:ascii="Times New Roman"/>
          <w:b w:val="false"/>
          <w:i w:val="false"/>
          <w:color w:val="000000"/>
          <w:sz w:val="28"/>
        </w:rPr>
        <w:t>
      На основе мониторинга и оценки может осуществляться корректировка Прогнозной схемы территориально-пространственного развития страны.</w:t>
      </w:r>
      <w:r>
        <w:br/>
      </w:r>
      <w:r>
        <w:rPr>
          <w:rFonts w:ascii="Times New Roman"/>
          <w:b w:val="false"/>
          <w:i w:val="false"/>
          <w:color w:val="000000"/>
          <w:sz w:val="28"/>
        </w:rPr>
        <w:t>
      Контроль за реализацией Прогнозной схемы территориально-пространственного развития страны осуществляется Администрацией Президента Республики Казахстан.</w:t>
      </w:r>
      <w:r>
        <w:br/>
      </w:r>
      <w:r>
        <w:rPr>
          <w:rFonts w:ascii="Times New Roman"/>
          <w:b w:val="false"/>
          <w:i w:val="false"/>
          <w:color w:val="000000"/>
          <w:sz w:val="28"/>
        </w:rPr>
        <w:t>
      Порядок и сроки разработки, реализации, проведения мониторинга, оценки и контроля за реализацией Прогнозной схемы территориально-пространственного развития страны определяются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Стратегия национальной безопасности Республики Казахстан разрабатывается в целях реализации Стратегии развития Казахстана до 2050 года, Стратегического плана развития Республики Казахстан и определяет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r>
        <w:br/>
      </w:r>
      <w:r>
        <w:rPr>
          <w:rFonts w:ascii="Times New Roman"/>
          <w:b w:val="false"/>
          <w:i w:val="false"/>
          <w:color w:val="000000"/>
          <w:sz w:val="28"/>
        </w:rPr>
        <w:t>
      Стратегия национальной безопасности Республики Казахстан разрабатывается не позднее последнего года реализации предыдущей Стратегии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Послания и содержит:</w:t>
      </w:r>
      <w:r>
        <w:br/>
      </w:r>
      <w:r>
        <w:rPr>
          <w:rFonts w:ascii="Times New Roman"/>
          <w:b w:val="false"/>
          <w:i w:val="false"/>
          <w:color w:val="000000"/>
          <w:sz w:val="28"/>
        </w:rPr>
        <w:t>
      1) на республиканском уровне государственного управления:</w:t>
      </w:r>
      <w:r>
        <w:br/>
      </w:r>
      <w:r>
        <w:rPr>
          <w:rFonts w:ascii="Times New Roman"/>
          <w:b w:val="false"/>
          <w:i w:val="false"/>
          <w:color w:val="000000"/>
          <w:sz w:val="28"/>
        </w:rPr>
        <w:t>
      внешние и внутренние условия развития экономики;</w:t>
      </w:r>
      <w:r>
        <w:br/>
      </w:r>
      <w:r>
        <w:rPr>
          <w:rFonts w:ascii="Times New Roman"/>
          <w:b w:val="false"/>
          <w:i w:val="false"/>
          <w:color w:val="000000"/>
          <w:sz w:val="28"/>
        </w:rPr>
        <w:t>
      цели и задачи экономической политики на пятилетний период, в том числе налогово-бюджетной политики;</w:t>
      </w:r>
      <w:r>
        <w:br/>
      </w:r>
      <w:r>
        <w:rPr>
          <w:rFonts w:ascii="Times New Roman"/>
          <w:b w:val="false"/>
          <w:i w:val="false"/>
          <w:color w:val="000000"/>
          <w:sz w:val="28"/>
        </w:rPr>
        <w:t>
      основные направления и меры экономической политики на пятилетний период, в том числе налогово-бюджетной политики;</w:t>
      </w:r>
      <w:r>
        <w:br/>
      </w:r>
      <w:r>
        <w:rPr>
          <w:rFonts w:ascii="Times New Roman"/>
          <w:b w:val="false"/>
          <w:i w:val="false"/>
          <w:color w:val="000000"/>
          <w:sz w:val="28"/>
        </w:rPr>
        <w:t>
      прогноз показателей социально-экономического развития на пятилетний период;</w:t>
      </w:r>
      <w:r>
        <w:br/>
      </w:r>
      <w:r>
        <w:rPr>
          <w:rFonts w:ascii="Times New Roman"/>
          <w:b w:val="false"/>
          <w:i w:val="false"/>
          <w:color w:val="000000"/>
          <w:sz w:val="28"/>
        </w:rPr>
        <w:t>
      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бюджетов, дефицит соответствующего бюджета;</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r>
        <w:br/>
      </w:r>
      <w:r>
        <w:rPr>
          <w:rFonts w:ascii="Times New Roman"/>
          <w:b w:val="false"/>
          <w:i w:val="false"/>
          <w:color w:val="000000"/>
          <w:sz w:val="28"/>
        </w:rPr>
        <w:t>
      перечень условно финансируемых расходов на очередной финансовый год;</w:t>
      </w:r>
      <w:r>
        <w:br/>
      </w:r>
      <w:r>
        <w:rPr>
          <w:rFonts w:ascii="Times New Roman"/>
          <w:b w:val="false"/>
          <w:i w:val="false"/>
          <w:color w:val="000000"/>
          <w:sz w:val="28"/>
        </w:rPr>
        <w:t>
      2) на уровне области, города республиканского значения, столицы:</w:t>
      </w:r>
      <w:r>
        <w:br/>
      </w:r>
      <w:r>
        <w:rPr>
          <w:rFonts w:ascii="Times New Roman"/>
          <w:b w:val="false"/>
          <w:i w:val="false"/>
          <w:color w:val="000000"/>
          <w:sz w:val="28"/>
        </w:rPr>
        <w:t xml:space="preserve">
      тенденции, приоритеты, целевые индикаторы и показатели социально-экономического развития области, города республиканского значения, столицы; </w:t>
      </w:r>
      <w:r>
        <w:br/>
      </w:r>
      <w:r>
        <w:rPr>
          <w:rFonts w:ascii="Times New Roman"/>
          <w:b w:val="false"/>
          <w:i w:val="false"/>
          <w:color w:val="000000"/>
          <w:sz w:val="28"/>
        </w:rPr>
        <w:t>
      прогноз показателей социально-экономического развития области, города республиканского значения, столицы;</w:t>
      </w:r>
      <w:r>
        <w:br/>
      </w:r>
      <w:r>
        <w:rPr>
          <w:rFonts w:ascii="Times New Roman"/>
          <w:b w:val="false"/>
          <w:i w:val="false"/>
          <w:color w:val="000000"/>
          <w:sz w:val="28"/>
        </w:rPr>
        <w:t>
      бюджетные параметры области, города республиканского значения, столицы на плановый период, которые должны содержать:</w:t>
      </w:r>
      <w:r>
        <w:br/>
      </w:r>
      <w:r>
        <w:rPr>
          <w:rFonts w:ascii="Times New Roman"/>
          <w:b w:val="false"/>
          <w:i w:val="false"/>
          <w:color w:val="000000"/>
          <w:sz w:val="28"/>
        </w:rPr>
        <w:t>
      прогноз бюджетных параметров области, города республиканского значения, столицы, включающий прогноз поступлений и расходов бюджета области, города республиканского значения, столицы;</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r>
        <w:br/>
      </w:r>
      <w:r>
        <w:rPr>
          <w:rFonts w:ascii="Times New Roman"/>
          <w:b w:val="false"/>
          <w:i w:val="false"/>
          <w:color w:val="000000"/>
          <w:sz w:val="28"/>
        </w:rPr>
        <w:t>
      перечень приоритетных бюджетных инвестиций области, города республиканского значения, столицы.</w:t>
      </w:r>
      <w:r>
        <w:br/>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государства в течение пятилетнего периода.</w:t>
      </w:r>
      <w:r>
        <w:br/>
      </w:r>
      <w:r>
        <w:rPr>
          <w:rFonts w:ascii="Times New Roman"/>
          <w:b w:val="false"/>
          <w:i w:val="false"/>
          <w:color w:val="000000"/>
          <w:sz w:val="28"/>
        </w:rPr>
        <w:t>
      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Государственные программы разрабатываются соответствующим государственным органом и согласовываются с центральным уполномоченным органом по государственному планированию.»;</w:t>
      </w:r>
      <w:r>
        <w:br/>
      </w:r>
      <w:r>
        <w:rPr>
          <w:rFonts w:ascii="Times New Roman"/>
          <w:b w:val="false"/>
          <w:i w:val="false"/>
          <w:color w:val="000000"/>
          <w:sz w:val="28"/>
        </w:rPr>
        <w:t>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Мониторинг реализации государственной программы проводится государственным органом-разработчиком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w:t>
      </w:r>
      <w:r>
        <w:br/>
      </w:r>
      <w:r>
        <w:rPr>
          <w:rFonts w:ascii="Times New Roman"/>
          <w:b w:val="false"/>
          <w:i w:val="false"/>
          <w:color w:val="000000"/>
          <w:sz w:val="28"/>
        </w:rPr>
        <w:t>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«Стратегический план государственного органа, входящего в структуру Правительства Республики Казахстан, утверждается государственным органом по согласованию с центральными уполномоченными органами по государственному и бюджетному планированию.»;</w:t>
      </w:r>
      <w:r>
        <w:br/>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«43. Оценка реализации стратегических планов государственных органов, кроме оценки, проводимой Счетным комитетом по контролю за исполнением республиканского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r>
        <w:br/>
      </w:r>
      <w:r>
        <w:rPr>
          <w:rFonts w:ascii="Times New Roman"/>
          <w:b w:val="false"/>
          <w:i w:val="false"/>
          <w:color w:val="000000"/>
          <w:sz w:val="28"/>
        </w:rPr>
        <w:t>
      44. Счетный комитет по контролю за исполнением республиканского бюджета осуществляет оценку реализации стратегических планов центральных государственных органов в рамках проводимых им контрольных мероприятий в соответствии с его планом работы.»;</w:t>
      </w:r>
      <w:r>
        <w:br/>
      </w:r>
      <w:r>
        <w:rPr>
          <w:rFonts w:ascii="Times New Roman"/>
          <w:b w:val="false"/>
          <w:i w:val="false"/>
          <w:color w:val="000000"/>
          <w:sz w:val="28"/>
        </w:rPr>
        <w:t>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 Программа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и согласовывается с центральным уполномоченным органом по государственному планированию, заинтересованными центральными государственными органами.»;</w:t>
      </w:r>
      <w:r>
        <w:br/>
      </w:r>
      <w:r>
        <w:rPr>
          <w:rFonts w:ascii="Times New Roman"/>
          <w:b w:val="false"/>
          <w:i w:val="false"/>
          <w:color w:val="000000"/>
          <w:sz w:val="28"/>
        </w:rPr>
        <w:t>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Для реализации программы развития области, города республиканского значения, столицы местным исполнительным органом утверждается план мероприятий по ее реализации по согласованию с центральным уполномоченным органом по государственному планированию.»;</w:t>
      </w:r>
      <w:r>
        <w:br/>
      </w:r>
      <w:r>
        <w:rPr>
          <w:rFonts w:ascii="Times New Roman"/>
          <w:b w:val="false"/>
          <w:i w:val="false"/>
          <w:color w:val="000000"/>
          <w:sz w:val="28"/>
        </w:rPr>
        <w:t>
      часть четвертую </w:t>
      </w:r>
      <w:r>
        <w:rPr>
          <w:rFonts w:ascii="Times New Roman"/>
          <w:b w:val="false"/>
          <w:i w:val="false"/>
          <w:color w:val="000000"/>
          <w:sz w:val="28"/>
        </w:rPr>
        <w:t>пункта 51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пункты 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Стратегии развития национальных управляющих холдингов, национальных холдингов, национальных компаний разрабатываются на 10 лет с учетом вышестоящих документов Системы государственного планирования.</w:t>
      </w:r>
      <w:r>
        <w:br/>
      </w: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разрабатываются не позднее последнего года реализации предыдущей стратегии развития национальных управляющих холдингов, национальных холдингов, национальных компаний.</w:t>
      </w:r>
      <w:r>
        <w:br/>
      </w: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определяют их стратегические направления, цели и показатели результатов деятельности и разрабатываются с учетом стратегий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w:t>
      </w:r>
      <w:r>
        <w:br/>
      </w:r>
      <w:r>
        <w:rPr>
          <w:rFonts w:ascii="Times New Roman"/>
          <w:b w:val="false"/>
          <w:i w:val="false"/>
          <w:color w:val="000000"/>
          <w:sz w:val="28"/>
        </w:rPr>
        <w:t>
      Проекты стратегий развития национальных управляющих холдингов, национальных холдингов, национальных компаний согласовываются с центральным уполномоченным органом по государственному планированию на соответствие целям, задачам и бюджетным параметрам, изложенным в вышестоящих документах Системы государственного планирования, и утверждаются Правительством Республики Казахстан.</w:t>
      </w:r>
      <w:r>
        <w:br/>
      </w:r>
      <w:r>
        <w:rPr>
          <w:rFonts w:ascii="Times New Roman"/>
          <w:b w:val="false"/>
          <w:i w:val="false"/>
          <w:color w:val="000000"/>
          <w:sz w:val="28"/>
        </w:rPr>
        <w:t>
      Стратегия развития Фонда национального благосостояния утверждается единственным акционером Фонда национального благосостояния после одобрения советом директоров Фонда национального благосостояния.</w:t>
      </w:r>
      <w:r>
        <w:br/>
      </w:r>
      <w:r>
        <w:rPr>
          <w:rFonts w:ascii="Times New Roman"/>
          <w:b w:val="false"/>
          <w:i w:val="false"/>
          <w:color w:val="000000"/>
          <w:sz w:val="28"/>
        </w:rPr>
        <w:t>
      В целях реализации стратегий развития национальных управляющих холдингов, национальных холдингов, национальных компаний разрабатываются планы развития национальных управляющих холдингов, национальных холдингов, национальных компаний сроком на 5 лет.</w:t>
      </w:r>
      <w:r>
        <w:br/>
      </w:r>
      <w:r>
        <w:rPr>
          <w:rFonts w:ascii="Times New Roman"/>
          <w:b w:val="false"/>
          <w:i w:val="false"/>
          <w:color w:val="000000"/>
          <w:sz w:val="28"/>
        </w:rPr>
        <w:t>
      Порядок разработки и утверждения стратегий развития для национальных управляющих холдингов, национальных холдингов, национальных компаний определяется центральным уполномоченным органом по государственному планированию.</w:t>
      </w:r>
      <w:r>
        <w:br/>
      </w:r>
      <w:r>
        <w:rPr>
          <w:rFonts w:ascii="Times New Roman"/>
          <w:b w:val="false"/>
          <w:i w:val="false"/>
          <w:color w:val="000000"/>
          <w:sz w:val="28"/>
        </w:rPr>
        <w:t xml:space="preserve">
      57. Мониторинг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центральным уполномоченным органом по государственному планированию. </w:t>
      </w:r>
      <w:r>
        <w:br/>
      </w:r>
      <w:r>
        <w:rPr>
          <w:rFonts w:ascii="Times New Roman"/>
          <w:b w:val="false"/>
          <w:i w:val="false"/>
          <w:color w:val="000000"/>
          <w:sz w:val="28"/>
        </w:rPr>
        <w:t xml:space="preserve">
      58. Оценка реализации стратегий развития национальных управляющих холдингов, национальных холдингов, национальных компаний осуществляется по истечении 3 лет после утверждения аудированной финансовой отчетности центральным уполномоченным органом по государственному планированию в порядке, определяемом центральным уполномоченным органом по государственному планированию.»; </w:t>
      </w:r>
      <w:r>
        <w:br/>
      </w:r>
      <w:r>
        <w:rPr>
          <w:rFonts w:ascii="Times New Roman"/>
          <w:b w:val="false"/>
          <w:i w:val="false"/>
          <w:color w:val="000000"/>
          <w:sz w:val="28"/>
        </w:rPr>
        <w:t>
      части вторую, третью </w:t>
      </w:r>
      <w:r>
        <w:rPr>
          <w:rFonts w:ascii="Times New Roman"/>
          <w:b w:val="false"/>
          <w:i w:val="false"/>
          <w:color w:val="000000"/>
          <w:sz w:val="28"/>
        </w:rPr>
        <w:t>пункта 59</w:t>
      </w:r>
      <w:r>
        <w:rPr>
          <w:rFonts w:ascii="Times New Roman"/>
          <w:b w:val="false"/>
          <w:i w:val="false"/>
          <w:color w:val="000000"/>
          <w:sz w:val="28"/>
        </w:rPr>
        <w:t xml:space="preserve"> исключить:</w:t>
      </w:r>
      <w:r>
        <w:br/>
      </w:r>
      <w:r>
        <w:rPr>
          <w:rFonts w:ascii="Times New Roman"/>
          <w:b w:val="false"/>
          <w:i w:val="false"/>
          <w:color w:val="000000"/>
          <w:sz w:val="28"/>
        </w:rPr>
        <w:t>
      дополнить пунктом 60 следующего содержания:</w:t>
      </w:r>
      <w:r>
        <w:br/>
      </w:r>
      <w:r>
        <w:rPr>
          <w:rFonts w:ascii="Times New Roman"/>
          <w:b w:val="false"/>
          <w:i w:val="false"/>
          <w:color w:val="000000"/>
          <w:sz w:val="28"/>
        </w:rPr>
        <w:t>
      «60. Уполномоченный орган соответствующей отрасли осуществляет контроль выполнения стратегий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 за исключением Фонда национального благосостояния.</w:t>
      </w:r>
      <w:r>
        <w:br/>
      </w:r>
      <w:r>
        <w:rPr>
          <w:rFonts w:ascii="Times New Roman"/>
          <w:b w:val="false"/>
          <w:i w:val="false"/>
          <w:color w:val="000000"/>
          <w:sz w:val="28"/>
        </w:rPr>
        <w:t>
      Контроль стратегии развития Фонда национального благосостояния осуществляется его советом директоров.»;</w:t>
      </w:r>
      <w:r>
        <w:br/>
      </w:r>
      <w:r>
        <w:rPr>
          <w:rFonts w:ascii="Times New Roman"/>
          <w:b w:val="false"/>
          <w:i w:val="false"/>
          <w:color w:val="000000"/>
          <w:sz w:val="28"/>
        </w:rPr>
        <w:t>
      часть пятую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«Контроль - это процесс наблюдения и регулирования хода реализации документов Системы государственного планирования для обеспечения достижения поставленных целей и задач.»;</w:t>
      </w:r>
      <w:r>
        <w:br/>
      </w:r>
      <w:r>
        <w:rPr>
          <w:rFonts w:ascii="Times New Roman"/>
          <w:b w:val="false"/>
          <w:i w:val="false"/>
          <w:color w:val="000000"/>
          <w:sz w:val="28"/>
        </w:rPr>
        <w:t>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 2012 г., № 68 ст. 976; 2013 год № 36, ст. 529; 2014 г., № 40-41, ст. 374): </w:t>
      </w:r>
      <w:r>
        <w:br/>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утвержденных вышеназванным Указом:</w:t>
      </w:r>
      <w:r>
        <w:br/>
      </w:r>
      <w:r>
        <w:rPr>
          <w:rFonts w:ascii="Times New Roman"/>
          <w:b w:val="false"/>
          <w:i w:val="false"/>
          <w:color w:val="000000"/>
          <w:sz w:val="28"/>
        </w:rPr>
        <w:t>
      абзац первый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На этапе разработки центральный уполномоченный орган по государственному планированию (далее — уполномоченный орган по государственному планированию) рассматривает представленные для согласования проекты стратегических и программных документов, стратегических планов государственных органов, программ развития территорий по следующим направлениям:»;</w:t>
      </w:r>
      <w:r>
        <w:br/>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Результаты мониторинга реализации документов оформляются в виде отчета о реализации, составляемого государственными органами-разработчиками документов по форме и в порядке, определяемых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случаях, когда реализация документа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r>
        <w:br/>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 в следующей редакций:</w:t>
      </w:r>
      <w:r>
        <w:br/>
      </w: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отраслевых программ и стратегических планов центральных государственных органов, а также ревизионной комиссией оценки программ развития территорий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Контролем является процесс наблюдения и регулирования хода реализации документов Системы государственного планирования для обеспечения достижения поставленных целей и задач. На основе данных контроля осуществляется принятие управленческих решений.»;</w:t>
      </w:r>
      <w:r>
        <w:br/>
      </w:r>
      <w:r>
        <w:rPr>
          <w:rFonts w:ascii="Times New Roman"/>
          <w:b w:val="false"/>
          <w:i w:val="false"/>
          <w:color w:val="000000"/>
          <w:sz w:val="28"/>
        </w:rPr>
        <w:t>
      </w:t>
      </w:r>
      <w:r>
        <w:rPr>
          <w:rFonts w:ascii="Times New Roman"/>
          <w:b w:val="false"/>
          <w:i w:val="false"/>
          <w:color w:val="000000"/>
          <w:sz w:val="28"/>
        </w:rPr>
        <w:t>пункт 47</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возможность декомпозиции или каскадирования в нижестоящие документы Системы государственного планирования.»;</w:t>
      </w:r>
      <w:r>
        <w:br/>
      </w:r>
      <w:r>
        <w:rPr>
          <w:rFonts w:ascii="Times New Roman"/>
          <w:b w:val="false"/>
          <w:i w:val="false"/>
          <w:color w:val="000000"/>
          <w:sz w:val="28"/>
        </w:rPr>
        <w:t xml:space="preserve">
      дополнить пунктом 48-1 следующего содержания: </w:t>
      </w:r>
      <w:r>
        <w:br/>
      </w:r>
      <w:r>
        <w:rPr>
          <w:rFonts w:ascii="Times New Roman"/>
          <w:b w:val="false"/>
          <w:i w:val="false"/>
          <w:color w:val="000000"/>
          <w:sz w:val="28"/>
        </w:rPr>
        <w:t xml:space="preserve">
      «48-1. После утверждения Стратегического плана развития Республики Казахстан в двухмесячный срок Правительством Республики Казахстан утверждается Единая база индикаторов, которая содержит перечень индикаторов, их значения, уровень документов, в которых они должны быть отражены, сроки и последовательность их достижения, государственные органы, ответственные за их достижение. </w:t>
      </w:r>
      <w:r>
        <w:br/>
      </w:r>
      <w:r>
        <w:rPr>
          <w:rFonts w:ascii="Times New Roman"/>
          <w:b w:val="false"/>
          <w:i w:val="false"/>
          <w:color w:val="000000"/>
          <w:sz w:val="28"/>
        </w:rPr>
        <w:t>
      Разработка Единой базы индикаторов осуществляется уполномоченным органом по государственному планированию параллельно с разработкой Стратегического плана развития Республики Казахстан совместно с заинтересованными государственными органами, неправительственными организациями, общественностью путем создания рабочих групп и размещения на веб-сайте уполномоченного органа по государственному планированию информации о ходе ее разработки.»;</w:t>
      </w:r>
      <w:r>
        <w:br/>
      </w:r>
      <w:r>
        <w:rPr>
          <w:rFonts w:ascii="Times New Roman"/>
          <w:b w:val="false"/>
          <w:i w:val="false"/>
          <w:color w:val="000000"/>
          <w:sz w:val="28"/>
        </w:rPr>
        <w:t>
      </w:t>
      </w:r>
      <w:r>
        <w:rPr>
          <w:rFonts w:ascii="Times New Roman"/>
          <w:b w:val="false"/>
          <w:i w:val="false"/>
          <w:color w:val="000000"/>
          <w:sz w:val="28"/>
        </w:rPr>
        <w:t>пункты 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w:t>
      </w:r>
      <w:r>
        <w:br/>
      </w:r>
      <w:r>
        <w:rPr>
          <w:rFonts w:ascii="Times New Roman"/>
          <w:b w:val="false"/>
          <w:i w:val="false"/>
          <w:color w:val="000000"/>
          <w:sz w:val="28"/>
        </w:rPr>
        <w:t>
      В срок до 10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Стратегического плана развития Республики Казахстан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xml:space="preserve">
      54.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20 июля года,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Разработка проекта Прогнозной схемы территориально-пространственного развития страны, а также ее корректировка осуществляются уполномоченным органом по государственному планированию при участии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общественных и научно-исследовательских организаций.»;</w:t>
      </w:r>
      <w:r>
        <w:br/>
      </w:r>
      <w:r>
        <w:rPr>
          <w:rFonts w:ascii="Times New Roman"/>
          <w:b w:val="false"/>
          <w:i w:val="false"/>
          <w:color w:val="000000"/>
          <w:sz w:val="28"/>
        </w:rPr>
        <w:t>
      часть первую </w:t>
      </w:r>
      <w:r>
        <w:rPr>
          <w:rFonts w:ascii="Times New Roman"/>
          <w:b w:val="false"/>
          <w:i w:val="false"/>
          <w:color w:val="000000"/>
          <w:sz w:val="28"/>
        </w:rPr>
        <w:t>пункта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Для реализации Прогнозной схемы территориально-пространственного развития страны уполномоченным органом по государственному планированию поэтапно на каждый среднесрочный период разрабатывается План мероприятий.»;</w:t>
      </w:r>
      <w:r>
        <w:br/>
      </w:r>
      <w:r>
        <w:rPr>
          <w:rFonts w:ascii="Times New Roman"/>
          <w:b w:val="false"/>
          <w:i w:val="false"/>
          <w:color w:val="000000"/>
          <w:sz w:val="28"/>
        </w:rPr>
        <w:t>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«68. Мониторинг Прогнозной схемы территориально-пространственного развития страны проводится уполномоченным органом по государственному планированию путем формирования отчета о реализации на основе информации о ходе реализации, представляемой центральными государственными 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пункты 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«70. Для проведения мониторинга Прогнозной схемы территориально-пространственного развития страны центральные государственные и местные исполнительные органы, ответственные за достижение целей и задач, в пределах своей компетенции представляют информацию о ходе реализации Прогнозной схемы территориально-пространственного развития страны в уполномоченный орган по государственному планированию до 1 июня года, следующего за отчетным периодом.</w:t>
      </w:r>
      <w:r>
        <w:br/>
      </w:r>
      <w:r>
        <w:rPr>
          <w:rFonts w:ascii="Times New Roman"/>
          <w:b w:val="false"/>
          <w:i w:val="false"/>
          <w:color w:val="000000"/>
          <w:sz w:val="28"/>
        </w:rPr>
        <w:t>
      71. Уполномоченный орган по государственному планированию на основании информации о ходе реализации Прогнозной схемы территориально-пространственного развитая страны, представляемой центральными государственными и местными исполнительными органами, формирует отчет о реализации и проект заключения.</w:t>
      </w:r>
      <w:r>
        <w:br/>
      </w: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представляет отчет о реализации и заключение по мониторингу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r>
        <w:br/>
      </w: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Оценка Прогнозной схемы территориально-пространственного развития страны проводится уполномоченным органом по государственному планированию в год проведения оценки Стратегического плана развития Республики Казахстан на основе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путем формирования проекта заключения по оценке.»;</w:t>
      </w:r>
      <w:r>
        <w:br/>
      </w:r>
      <w:r>
        <w:rPr>
          <w:rFonts w:ascii="Times New Roman"/>
          <w:b w:val="false"/>
          <w:i w:val="false"/>
          <w:color w:val="000000"/>
          <w:sz w:val="28"/>
        </w:rPr>
        <w:t>
      </w:t>
      </w:r>
      <w:r>
        <w:rPr>
          <w:rFonts w:ascii="Times New Roman"/>
          <w:b w:val="false"/>
          <w:i w:val="false"/>
          <w:color w:val="000000"/>
          <w:sz w:val="28"/>
        </w:rPr>
        <w:t>пункт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«99. Цели и задачи государственной программы должны быть четкими, конкретными, контролируемыми, проверяемыми и оцениваемыми. Целевые индикаторы и показатели результатов должны характеризоваться комплексностью, отражать уровень, степень решения вопросов межсферного и межведомственного характера.»;</w:t>
      </w:r>
      <w:r>
        <w:br/>
      </w:r>
      <w:r>
        <w:rPr>
          <w:rFonts w:ascii="Times New Roman"/>
          <w:b w:val="false"/>
          <w:i w:val="false"/>
          <w:color w:val="000000"/>
          <w:sz w:val="28"/>
        </w:rPr>
        <w:t>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«112. Уполномоченный орган по государственному планированию по итогам проведенного мониторинга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до 25 марта года, следующего за отчетным годом.»;</w:t>
      </w:r>
      <w:r>
        <w:br/>
      </w:r>
      <w:r>
        <w:rPr>
          <w:rFonts w:ascii="Times New Roman"/>
          <w:b w:val="false"/>
          <w:i w:val="false"/>
          <w:color w:val="000000"/>
          <w:sz w:val="28"/>
        </w:rPr>
        <w:t>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«121. Структура стратегического плана государственного органа состоит из следующих разделов:</w:t>
      </w:r>
      <w:r>
        <w:br/>
      </w:r>
      <w:r>
        <w:rPr>
          <w:rFonts w:ascii="Times New Roman"/>
          <w:b w:val="false"/>
          <w:i w:val="false"/>
          <w:color w:val="000000"/>
          <w:sz w:val="28"/>
        </w:rPr>
        <w:t xml:space="preserve">
      1) миссия и видение; </w:t>
      </w:r>
      <w:r>
        <w:br/>
      </w:r>
      <w:r>
        <w:rPr>
          <w:rFonts w:ascii="Times New Roman"/>
          <w:b w:val="false"/>
          <w:i w:val="false"/>
          <w:color w:val="000000"/>
          <w:sz w:val="28"/>
        </w:rPr>
        <w:t xml:space="preserve">
      2) анализ текущей ситуации и управление рисками; </w:t>
      </w:r>
      <w:r>
        <w:br/>
      </w:r>
      <w:r>
        <w:rPr>
          <w:rFonts w:ascii="Times New Roman"/>
          <w:b w:val="false"/>
          <w:i w:val="false"/>
          <w:color w:val="000000"/>
          <w:sz w:val="28"/>
        </w:rPr>
        <w:t xml:space="preserve">
      3) приоритетные направления развития сферы/отрасли; </w:t>
      </w:r>
      <w:r>
        <w:br/>
      </w:r>
      <w:r>
        <w:rPr>
          <w:rFonts w:ascii="Times New Roman"/>
          <w:b w:val="false"/>
          <w:i w:val="false"/>
          <w:color w:val="000000"/>
          <w:sz w:val="28"/>
        </w:rPr>
        <w:t xml:space="preserve">
      4) архитектура взаимосвязи стратегического и бюджетного планирования; </w:t>
      </w:r>
      <w:r>
        <w:br/>
      </w:r>
      <w:r>
        <w:rPr>
          <w:rFonts w:ascii="Times New Roman"/>
          <w:b w:val="false"/>
          <w:i w:val="false"/>
          <w:color w:val="000000"/>
          <w:sz w:val="28"/>
        </w:rPr>
        <w:t xml:space="preserve">
      5) стратегические направления, цели, целевые индикаторы, задачи и показатели результатов; </w:t>
      </w:r>
      <w:r>
        <w:br/>
      </w:r>
      <w:r>
        <w:rPr>
          <w:rFonts w:ascii="Times New Roman"/>
          <w:b w:val="false"/>
          <w:i w:val="false"/>
          <w:color w:val="000000"/>
          <w:sz w:val="28"/>
        </w:rPr>
        <w:t xml:space="preserve">
      6) ресурсы.»; </w:t>
      </w:r>
      <w:r>
        <w:br/>
      </w:r>
      <w:r>
        <w:rPr>
          <w:rFonts w:ascii="Times New Roman"/>
          <w:b w:val="false"/>
          <w:i w:val="false"/>
          <w:color w:val="000000"/>
          <w:sz w:val="28"/>
        </w:rPr>
        <w:t>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«125. В разделе «Анализ текущей ситуации и управление рисками» излагаются:</w:t>
      </w:r>
      <w:r>
        <w:br/>
      </w:r>
      <w:r>
        <w:rPr>
          <w:rFonts w:ascii="Times New Roman"/>
          <w:b w:val="false"/>
          <w:i w:val="false"/>
          <w:color w:val="000000"/>
          <w:sz w:val="28"/>
        </w:rPr>
        <w:t>
      в подразделе «Анализ текущей ситуации» указываются:</w:t>
      </w:r>
      <w:r>
        <w:br/>
      </w:r>
      <w:r>
        <w:rPr>
          <w:rFonts w:ascii="Times New Roman"/>
          <w:b w:val="false"/>
          <w:i w:val="false"/>
          <w:color w:val="000000"/>
          <w:sz w:val="28"/>
        </w:rPr>
        <w:t xml:space="preserve">
      1)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том числе в сравнении с другими странами; </w:t>
      </w:r>
      <w:r>
        <w:br/>
      </w:r>
      <w:r>
        <w:rPr>
          <w:rFonts w:ascii="Times New Roman"/>
          <w:b w:val="false"/>
          <w:i w:val="false"/>
          <w:color w:val="000000"/>
          <w:sz w:val="28"/>
        </w:rPr>
        <w:t xml:space="preserve">
      2) анализ основных проблем, стоящих перед экономикой и обществом, на решение которых направлен стратегический план государственного органа; </w:t>
      </w:r>
      <w:r>
        <w:br/>
      </w:r>
      <w:r>
        <w:rPr>
          <w:rFonts w:ascii="Times New Roman"/>
          <w:b w:val="false"/>
          <w:i w:val="false"/>
          <w:color w:val="000000"/>
          <w:sz w:val="28"/>
        </w:rPr>
        <w:t>
      в подразделе «Управление рисками»:</w:t>
      </w:r>
      <w:r>
        <w:br/>
      </w:r>
      <w:r>
        <w:rPr>
          <w:rFonts w:ascii="Times New Roman"/>
          <w:b w:val="false"/>
          <w:i w:val="false"/>
          <w:color w:val="000000"/>
          <w:sz w:val="28"/>
        </w:rPr>
        <w:t xml:space="preserve">
      1) приводится перечень возможных рисков, оказывающих влияние на деятельность государственного органа; </w:t>
      </w:r>
      <w:r>
        <w:br/>
      </w:r>
      <w:r>
        <w:rPr>
          <w:rFonts w:ascii="Times New Roman"/>
          <w:b w:val="false"/>
          <w:i w:val="false"/>
          <w:color w:val="000000"/>
          <w:sz w:val="28"/>
        </w:rPr>
        <w:t xml:space="preserve">
      2) указываются стратегические цели государственного органа, на которые может повлиять данный риск; </w:t>
      </w:r>
      <w:r>
        <w:br/>
      </w:r>
      <w:r>
        <w:rPr>
          <w:rFonts w:ascii="Times New Roman"/>
          <w:b w:val="false"/>
          <w:i w:val="false"/>
          <w:color w:val="000000"/>
          <w:sz w:val="28"/>
        </w:rPr>
        <w:t xml:space="preserve">
      3) излагаются основные пути предотвращения риска недостижения запланированных стратегических целей государственного органа по внутренним или внешним причинам объективного или субъективного характера в случае его усиления; </w:t>
      </w:r>
      <w:r>
        <w:br/>
      </w:r>
      <w:r>
        <w:rPr>
          <w:rFonts w:ascii="Times New Roman"/>
          <w:b w:val="false"/>
          <w:i w:val="false"/>
          <w:color w:val="000000"/>
          <w:sz w:val="28"/>
        </w:rPr>
        <w:t xml:space="preserve">
      4) излагаются возможные последствия в случае неэффективности мер по управлению рисками. </w:t>
      </w:r>
      <w:r>
        <w:br/>
      </w:r>
      <w:r>
        <w:rPr>
          <w:rFonts w:ascii="Times New Roman"/>
          <w:b w:val="false"/>
          <w:i w:val="false"/>
          <w:color w:val="000000"/>
          <w:sz w:val="28"/>
        </w:rPr>
        <w:t>
      В качестве возможного риска недостижения стратегических целей государственного органа не может выступать риск недофинансирования.»;</w:t>
      </w:r>
      <w:r>
        <w:br/>
      </w:r>
      <w:r>
        <w:rPr>
          <w:rFonts w:ascii="Times New Roman"/>
          <w:b w:val="false"/>
          <w:i w:val="false"/>
          <w:color w:val="000000"/>
          <w:sz w:val="28"/>
        </w:rPr>
        <w:t>
      </w:t>
      </w:r>
      <w:r>
        <w:rPr>
          <w:rFonts w:ascii="Times New Roman"/>
          <w:b w:val="false"/>
          <w:i w:val="false"/>
          <w:color w:val="000000"/>
          <w:sz w:val="28"/>
        </w:rPr>
        <w:t>пункты 129</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«129. Раздел «Приоритетные направления развития сферы/отрасли» включает:</w:t>
      </w:r>
      <w:r>
        <w:br/>
      </w:r>
      <w:r>
        <w:rPr>
          <w:rFonts w:ascii="Times New Roman"/>
          <w:b w:val="false"/>
          <w:i w:val="false"/>
          <w:color w:val="000000"/>
          <w:sz w:val="28"/>
        </w:rPr>
        <w:t xml:space="preserve">
      1) краткое описание приоритетных направлений развития сферы/отрасли с указанием обоснований включения данных направлений в число приоритетных, связанных с ежегодными посланиями Президента Республики Казахстан, изменениями социально-экономической, политической ситуации в стране и так далее; </w:t>
      </w:r>
      <w:r>
        <w:br/>
      </w:r>
      <w:r>
        <w:rPr>
          <w:rFonts w:ascii="Times New Roman"/>
          <w:b w:val="false"/>
          <w:i w:val="false"/>
          <w:color w:val="000000"/>
          <w:sz w:val="28"/>
        </w:rPr>
        <w:t xml:space="preserve">
      2) основные пути реализации приоритетных направлений развития сферы/отрасли. </w:t>
      </w:r>
      <w:r>
        <w:br/>
      </w:r>
      <w:r>
        <w:rPr>
          <w:rFonts w:ascii="Times New Roman"/>
          <w:b w:val="false"/>
          <w:i w:val="false"/>
          <w:color w:val="000000"/>
          <w:sz w:val="28"/>
        </w:rPr>
        <w:t>
      Приоритетные направления развития сферы/отрасли интегрируются в существующие стратегические направления деятельности государственного органа или формируются новые стратегические направления деятельности государственного органа.</w:t>
      </w:r>
      <w:r>
        <w:br/>
      </w:r>
      <w:r>
        <w:rPr>
          <w:rFonts w:ascii="Times New Roman"/>
          <w:b w:val="false"/>
          <w:i w:val="false"/>
          <w:color w:val="000000"/>
          <w:sz w:val="28"/>
        </w:rPr>
        <w:t xml:space="preserve">
      130. Раздел «Архитектура взаимосвязи стратегического и бюджетного планирования» предназначен для демонстрации связи между общенациональными целями, определенными Стратегией развития Казахстана до 2050 года, Стратегическим планом развития Республики Казахстан до 2020 года и стратегическими направлениями, целями и бюджетными программами государственного органа. </w:t>
      </w:r>
      <w:r>
        <w:br/>
      </w:r>
      <w:r>
        <w:rPr>
          <w:rFonts w:ascii="Times New Roman"/>
          <w:b w:val="false"/>
          <w:i w:val="false"/>
          <w:color w:val="000000"/>
          <w:sz w:val="28"/>
        </w:rPr>
        <w:t>
      В разделе «Архитектура взаимосвязи стратегического и бюджетного планирования» в схематичном виде, в разрезе стратегических направлений государственных органов указываются стратегические цели государственного органа, взаимоувязанные с бюджетными программами, от достижений или реализации которых зависит достижение соответствующих общенациональных показателей страны.</w:t>
      </w:r>
      <w:r>
        <w:br/>
      </w:r>
      <w:r>
        <w:rPr>
          <w:rFonts w:ascii="Times New Roman"/>
          <w:b w:val="false"/>
          <w:i w:val="false"/>
          <w:color w:val="000000"/>
          <w:sz w:val="28"/>
        </w:rPr>
        <w:t xml:space="preserve">
      131. В разделе «Стратегические направления, цели, целевые индикаторы, задачи и показатели результатов» излагаются стратегические направления, цели, целевые индикаторы, задачи и показатели результатов стратегического плана государственного органа, зависящие непосредственно от деятельности самого государственного органа. </w:t>
      </w:r>
      <w:r>
        <w:br/>
      </w:r>
      <w:r>
        <w:rPr>
          <w:rFonts w:ascii="Times New Roman"/>
          <w:b w:val="false"/>
          <w:i w:val="false"/>
          <w:color w:val="000000"/>
          <w:sz w:val="28"/>
        </w:rPr>
        <w:t>
      Стратегические направления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и приоритетов, обозначенных в стратегических и программных документах.</w:t>
      </w:r>
      <w:r>
        <w:br/>
      </w:r>
      <w:r>
        <w:rPr>
          <w:rFonts w:ascii="Times New Roman"/>
          <w:b w:val="false"/>
          <w:i w:val="false"/>
          <w:color w:val="000000"/>
          <w:sz w:val="28"/>
        </w:rPr>
        <w:t xml:space="preserve">
      132. Цель государственного органа заключается в достижении определенного конкретного изменения в деятельности самого государственного органа либо регулируемой им сфере, выраженном в целевых индикаторах. </w:t>
      </w:r>
      <w:r>
        <w:br/>
      </w:r>
      <w:r>
        <w:rPr>
          <w:rFonts w:ascii="Times New Roman"/>
          <w:b w:val="false"/>
          <w:i w:val="false"/>
          <w:color w:val="000000"/>
          <w:sz w:val="28"/>
        </w:rPr>
        <w:t>
      При определении целей государственному органу необходимо придерживаться следующих требований:</w:t>
      </w:r>
      <w:r>
        <w:br/>
      </w:r>
      <w:r>
        <w:rPr>
          <w:rFonts w:ascii="Times New Roman"/>
          <w:b w:val="false"/>
          <w:i w:val="false"/>
          <w:color w:val="000000"/>
          <w:sz w:val="28"/>
        </w:rPr>
        <w:t xml:space="preserve">
      1) наличие четкой причинно-следственной связи с обозначенными проблемами; </w:t>
      </w:r>
      <w:r>
        <w:br/>
      </w:r>
      <w:r>
        <w:rPr>
          <w:rFonts w:ascii="Times New Roman"/>
          <w:b w:val="false"/>
          <w:i w:val="false"/>
          <w:color w:val="000000"/>
          <w:sz w:val="28"/>
        </w:rPr>
        <w:t xml:space="preserve">
      2) возможность выразить достижение цели с помощью количественных показателей; </w:t>
      </w:r>
      <w:r>
        <w:br/>
      </w:r>
      <w:r>
        <w:rPr>
          <w:rFonts w:ascii="Times New Roman"/>
          <w:b w:val="false"/>
          <w:i w:val="false"/>
          <w:color w:val="000000"/>
          <w:sz w:val="28"/>
        </w:rPr>
        <w:t xml:space="preserve">
      3) соответствие целям Стратегического плана развития Республики Казахстан, Прогнозной схемы пространственно-территориального развития, государственных программ; </w:t>
      </w:r>
      <w:r>
        <w:br/>
      </w:r>
      <w:r>
        <w:rPr>
          <w:rFonts w:ascii="Times New Roman"/>
          <w:b w:val="false"/>
          <w:i w:val="false"/>
          <w:color w:val="000000"/>
          <w:sz w:val="28"/>
        </w:rPr>
        <w:t xml:space="preserve">
      4) краткое и четкое изложение целей, при формулировании которых не допускаются: </w:t>
      </w:r>
      <w:r>
        <w:br/>
      </w:r>
      <w:r>
        <w:rPr>
          <w:rFonts w:ascii="Times New Roman"/>
          <w:b w:val="false"/>
          <w:i w:val="false"/>
          <w:color w:val="000000"/>
          <w:sz w:val="28"/>
        </w:rPr>
        <w:t>
      использование терминов, понятий и выражений произвольного или неоднозначного толкования;</w:t>
      </w:r>
      <w:r>
        <w:br/>
      </w:r>
      <w:r>
        <w:rPr>
          <w:rFonts w:ascii="Times New Roman"/>
          <w:b w:val="false"/>
          <w:i w:val="false"/>
          <w:color w:val="000000"/>
          <w:sz w:val="28"/>
        </w:rPr>
        <w:t xml:space="preserve">
      указание на иные цели, задачи или результаты, которые являются  следствиями достижения самой цели. </w:t>
      </w:r>
      <w:r>
        <w:br/>
      </w:r>
      <w:r>
        <w:rPr>
          <w:rFonts w:ascii="Times New Roman"/>
          <w:b w:val="false"/>
          <w:i w:val="false"/>
          <w:color w:val="000000"/>
          <w:sz w:val="28"/>
        </w:rPr>
        <w:t xml:space="preserve">
      133. Для каждой цели в стратегическом плане государственного органа определяются целевые индикаторы и описываются пути, средства и методы достижения цели. </w:t>
      </w:r>
      <w:r>
        <w:br/>
      </w:r>
      <w:r>
        <w:rPr>
          <w:rFonts w:ascii="Times New Roman"/>
          <w:b w:val="false"/>
          <w:i w:val="false"/>
          <w:color w:val="000000"/>
          <w:sz w:val="28"/>
        </w:rPr>
        <w:t>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r>
        <w:br/>
      </w:r>
      <w:r>
        <w:rPr>
          <w:rFonts w:ascii="Times New Roman"/>
          <w:b w:val="false"/>
          <w:i w:val="false"/>
          <w:color w:val="000000"/>
          <w:sz w:val="28"/>
        </w:rPr>
        <w:t xml:space="preserve">
      134. Задачами государственного органа являются условия, которые необходимо выполнить для достижения соответствующей цели в пятилетнем периоде, позволяющие увидеть ключевые изменения в сфере деятельности к концу планового периода. </w:t>
      </w:r>
      <w:r>
        <w:br/>
      </w:r>
      <w:r>
        <w:rPr>
          <w:rFonts w:ascii="Times New Roman"/>
          <w:b w:val="false"/>
          <w:i w:val="false"/>
          <w:color w:val="000000"/>
          <w:sz w:val="28"/>
        </w:rPr>
        <w:t>
      Постановка задач, направленных на обеспечение деятельности самого государственного органа, не допускается.»;</w:t>
      </w:r>
      <w:r>
        <w:br/>
      </w:r>
      <w:r>
        <w:rPr>
          <w:rFonts w:ascii="Times New Roman"/>
          <w:b w:val="false"/>
          <w:i w:val="false"/>
          <w:color w:val="000000"/>
          <w:sz w:val="28"/>
        </w:rPr>
        <w:t>
      </w:t>
      </w:r>
      <w:r>
        <w:rPr>
          <w:rFonts w:ascii="Times New Roman"/>
          <w:b w:val="false"/>
          <w:i w:val="false"/>
          <w:color w:val="000000"/>
          <w:sz w:val="28"/>
        </w:rPr>
        <w:t>пункты 137</w:t>
      </w:r>
      <w:r>
        <w:rPr>
          <w:rFonts w:ascii="Times New Roman"/>
          <w:b w:val="false"/>
          <w:i w:val="false"/>
          <w:color w:val="000000"/>
          <w:sz w:val="28"/>
        </w:rPr>
        <w:t>, </w:t>
      </w:r>
      <w:r>
        <w:rPr>
          <w:rFonts w:ascii="Times New Roman"/>
          <w:b w:val="false"/>
          <w:i w:val="false"/>
          <w:color w:val="000000"/>
          <w:sz w:val="28"/>
        </w:rPr>
        <w:t>138</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«144. В разделе «Ресурсы» в разбивке по годам отчетного и пятилетнего планового периода приводятся свод бюджетных расходов без разбивки по бюджетным программам и человеческие ресурсы с указанием штатной численности, задействованной в реализации стратегического плана.»;</w:t>
      </w:r>
      <w:r>
        <w:br/>
      </w:r>
      <w:r>
        <w:rPr>
          <w:rFonts w:ascii="Times New Roman"/>
          <w:b w:val="false"/>
          <w:i w:val="false"/>
          <w:color w:val="000000"/>
          <w:sz w:val="28"/>
        </w:rPr>
        <w:t>
      </w:t>
      </w:r>
      <w:r>
        <w:rPr>
          <w:rFonts w:ascii="Times New Roman"/>
          <w:b w:val="false"/>
          <w:i w:val="false"/>
          <w:color w:val="000000"/>
          <w:sz w:val="28"/>
        </w:rPr>
        <w:t>пункты 145</w:t>
      </w:r>
      <w:r>
        <w:rPr>
          <w:rFonts w:ascii="Times New Roman"/>
          <w:b w:val="false"/>
          <w:i w:val="false"/>
          <w:color w:val="000000"/>
          <w:sz w:val="28"/>
        </w:rPr>
        <w:t>, </w:t>
      </w:r>
      <w:r>
        <w:rPr>
          <w:rFonts w:ascii="Times New Roman"/>
          <w:b w:val="false"/>
          <w:i w:val="false"/>
          <w:color w:val="000000"/>
          <w:sz w:val="28"/>
        </w:rPr>
        <w:t>146</w:t>
      </w:r>
      <w:r>
        <w:rPr>
          <w:rFonts w:ascii="Times New Roman"/>
          <w:b w:val="false"/>
          <w:i w:val="false"/>
          <w:color w:val="000000"/>
          <w:sz w:val="28"/>
        </w:rPr>
        <w:t>,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157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пункты 160</w:t>
      </w:r>
      <w:r>
        <w:rPr>
          <w:rFonts w:ascii="Times New Roman"/>
          <w:b w:val="false"/>
          <w:i w:val="false"/>
          <w:color w:val="000000"/>
          <w:sz w:val="28"/>
        </w:rPr>
        <w:t>, </w:t>
      </w:r>
      <w:r>
        <w:rPr>
          <w:rFonts w:ascii="Times New Roman"/>
          <w:b w:val="false"/>
          <w:i w:val="false"/>
          <w:color w:val="000000"/>
          <w:sz w:val="28"/>
        </w:rPr>
        <w:t>161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163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«166. Разработка программы развития области, города республиканского значения, столицы осуществляется местным исполнительным органом области, города республиканского значения, столицы и согласовывается с уполномоченным органом по государственному планированию, иными заинтересованными государственными органами.</w:t>
      </w:r>
      <w:r>
        <w:br/>
      </w:r>
      <w:r>
        <w:rPr>
          <w:rFonts w:ascii="Times New Roman"/>
          <w:b w:val="false"/>
          <w:i w:val="false"/>
          <w:color w:val="000000"/>
          <w:sz w:val="28"/>
        </w:rPr>
        <w:t>
      Уполномоченный орган по государственному планированию, иные заинтересованные государственные органы рассматривают проекты программ развития территорий в срок, не превышающий одного месяца со дня поступления.»;</w:t>
      </w:r>
      <w:r>
        <w:br/>
      </w:r>
      <w:r>
        <w:rPr>
          <w:rFonts w:ascii="Times New Roman"/>
          <w:b w:val="false"/>
          <w:i w:val="false"/>
          <w:color w:val="000000"/>
          <w:sz w:val="28"/>
        </w:rPr>
        <w:t>
      подпункт 2) </w:t>
      </w:r>
      <w:r>
        <w:rPr>
          <w:rFonts w:ascii="Times New Roman"/>
          <w:b w:val="false"/>
          <w:i w:val="false"/>
          <w:color w:val="000000"/>
          <w:sz w:val="28"/>
        </w:rPr>
        <w:t>пункта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анализ социально-экономического положения территории по следующим направлениям: экономическое развитие, социальная сфера, инфраструктурный комплекс, территориальное (пространственное) развитие, межрегиональное сотрудничество, система государственного местного управления и самоуправления;»;</w:t>
      </w:r>
      <w:r>
        <w:br/>
      </w:r>
      <w:r>
        <w:rPr>
          <w:rFonts w:ascii="Times New Roman"/>
          <w:b w:val="false"/>
          <w:i w:val="false"/>
          <w:color w:val="000000"/>
          <w:sz w:val="28"/>
        </w:rPr>
        <w:t>
      подпункт 1) </w:t>
      </w:r>
      <w:r>
        <w:rPr>
          <w:rFonts w:ascii="Times New Roman"/>
          <w:b w:val="false"/>
          <w:i w:val="false"/>
          <w:color w:val="000000"/>
          <w:sz w:val="28"/>
        </w:rPr>
        <w:t>пункта 176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основные направления развития региона в части развития экономики региона в целом, социальной сферы, инфраструктурного комплекса, территориального (пространственного) устройства, межрегионального сотрудничества, системы государственного местного управления и самоуправления;»;</w:t>
      </w:r>
      <w:r>
        <w:br/>
      </w:r>
      <w:r>
        <w:rPr>
          <w:rFonts w:ascii="Times New Roman"/>
          <w:b w:val="false"/>
          <w:i w:val="false"/>
          <w:color w:val="000000"/>
          <w:sz w:val="28"/>
        </w:rPr>
        <w:t>
      </w:t>
      </w:r>
      <w:r>
        <w:rPr>
          <w:rFonts w:ascii="Times New Roman"/>
          <w:b w:val="false"/>
          <w:i w:val="false"/>
          <w:color w:val="000000"/>
          <w:sz w:val="28"/>
        </w:rPr>
        <w:t>пункт 181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«181. Цели, целевые индикаторы, задачи и показатели результатов реализации программы развития территории приводятся с указанием государственных органов и организаций, ответственных за их достижение.</w:t>
      </w:r>
      <w:r>
        <w:br/>
      </w:r>
      <w:r>
        <w:rPr>
          <w:rFonts w:ascii="Times New Roman"/>
          <w:b w:val="false"/>
          <w:i w:val="false"/>
          <w:color w:val="000000"/>
          <w:sz w:val="28"/>
        </w:rPr>
        <w:t>
      Целевые индикаторы и показатели результатов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государственному планированию.</w:t>
      </w:r>
      <w:r>
        <w:br/>
      </w:r>
      <w:r>
        <w:rPr>
          <w:rFonts w:ascii="Times New Roman"/>
          <w:b w:val="false"/>
          <w:i w:val="false"/>
          <w:color w:val="000000"/>
          <w:sz w:val="28"/>
        </w:rPr>
        <w:t>
      Целевые индикаторы и показатели результатов программ развития района (города областного значения) разрабатываются и утверждаются уполномоченным органом по государственному планированию области.»;</w:t>
      </w:r>
      <w:r>
        <w:br/>
      </w:r>
      <w:r>
        <w:rPr>
          <w:rFonts w:ascii="Times New Roman"/>
          <w:b w:val="false"/>
          <w:i w:val="false"/>
          <w:color w:val="000000"/>
          <w:sz w:val="28"/>
        </w:rPr>
        <w:t>
      часть первую </w:t>
      </w:r>
      <w:r>
        <w:rPr>
          <w:rFonts w:ascii="Times New Roman"/>
          <w:b w:val="false"/>
          <w:i w:val="false"/>
          <w:color w:val="000000"/>
          <w:sz w:val="28"/>
        </w:rPr>
        <w:t>пункта 189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«189. План мероприятий по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по согласованию с уполномоченным органом по государственному планированию в месячный срок после утверждения программы развития территорий.».</w:t>
      </w:r>
      <w:r>
        <w:br/>
      </w:r>
      <w:r>
        <w:rPr>
          <w:rFonts w:ascii="Times New Roman"/>
          <w:b w:val="false"/>
          <w:i w:val="false"/>
          <w:color w:val="000000"/>
          <w:sz w:val="28"/>
        </w:rPr>
        <w:t>
      2. Настоящий Указ вводится в действие со дня его первого официального опубликования, за исключением абзацев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подпункта 2) пункта 1 настоящего Указа, которые вводятся в действие с 1 декабря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