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440" w14:textId="7c9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«Байконур» на 2015 год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2014 года направить заключение Российской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1399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пусков ракет с космодрома «Байконур»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согласовывает представленные Российской Стороной (исх. МИД Российской Федерации № 19262/3дснг от 21 ноября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запусков космических аппаратов на 2015 год в рамках Федеральной космической программы России на 2006 – 2015 годы, федеральной целевой программы «Поддержание, развитие и использование системы ГЛОНАСС на 2012 – 2020 годы», программ международного сотрудничества и коммерческих проектов с космодрома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«Байконур»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испытательных пусков ракет с космодрома «Байконур»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запуски космических аппаратов, предусматривающие использование нового района падения отделяющихся частей ракет-носителей типа «Союз», могут быть осуществлены после подписания и вступления в силу соответствующего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запуски космических аппаратов и испытательный пуск ракеты с космодрома «Байконур» должны быть осуществлены при соблюдении Российской Стороной законодательства Республики Казахстан в области использования воздушного пространства.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