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75ac" w14:textId="181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Республике Казахстан на 2010 - 2014 годы" и от 29 июня 2011 года № 731 "Об утверждении Программы по развитию государственно-частного партнерства в Республике Казахстан на 2011 - 2015 годы и внесении дополнения в постановление Правительства Республики Казахстан от 14 апреля 2010 года № 302"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2014 года № 1235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«Об утверждении Программы по привлечению инвестиций, развитию специальных экономических зон и стимулированию экспорта в Республике Казахстан на 2010 –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инвестиций, развитию специальных экономических зон и стимулированию экспорта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целевого индикатора раздела 1 «Паспорт Программы»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порядкового номера 7 подраздела 4.3. «Целевые индикаторы, задачи и показатели результатов реализации Программы»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2011 года № 731 «Об утверждении Программы по развитию государственно-частного партнерства в Республике Казахстан на 2011 – 2015 годы и внесении дополнения в постановление Правительства Республики Казахстан от 14 апреля 2010 года № 302» (САПП Республики Казахстан, 2011 г., № 44, ст. 584):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государственно-частного партнерства в Республике Казахстан на 2011 – 2015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«Целевые индикаторы»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 индикаторы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инвестиционных проектов с применением механизма государственно-частного партнерства увеличится в 2015 году не менее чем в 2 раза по сравнению с 2008 годом»;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3.6.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«3.6. Анализ инновационно-технологического развития в проектах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Анализируя зарубежный опыт, рациональным и эффективным механизмом внедрения инновационных изменений в инфраструктуру является привлечение частного капитала через механизмы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Проекты, управляемые частными компаниями, позволяют значительно снизить стоимость как строительства, так и дальнейшей эксплуатации по сравнению с полностью государственным финансированием подобных проектов. К тому же, эффективность данных объектов инфраструктуры значительно увеличивается на всех этапах строительства и эксплуатации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Подобное явление является основой всего механизма ГЧП — чем ниже издержки и выше качество объектов, тем выше получаемые доходы концессионера, соответственно снижается срок окупаемости проекта и концессионер имеет возможность быстрее расплатиться с кредиторами.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создает дополнительные и необходимые стимулы для использования концессионером наиболее прогрессивных технических решений, инновационных технологий, а также повышает качество на стадии строительства. В мировой практике концессионные компании являются основной движущей силой как технологического, так и инновационного развития отраслей экономики и производства, а их разработки в дальнейшем повторяются и используются при реализации как в других концессионных, так и неконцессионных проектах.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концедент может ожидать от частного сектора использования новейших технологий, инноваций и ноу-хау. Речь также идет о доступе к имеющемуся опыту и технологиям частного сектора, которые иначе недоступны для государства, или которые разрабатываются специально для проекта. При использовании традиционного механизма государственных закупок решить такую задачу невозможно, однако благодаря механизмам стимулирования, заложенным в ГЧП, эта цель достижима.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может предоставить частным компаниям свободу в использовании инновационных технологий и инженерных решений. В этом случае концедент должен быть готов оценивать и сравнивать тендерные предложения, содержащие такие инновации. В целом, чем больше средств инвестируется в подготовку проекта, тем более качественная информация предоставляется участникам тендера, а это, в свою очередь, является стимулом для усиления конкуренции и получения более качественных и инновационных тендерных предложений.»;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 4.2</w:t>
      </w:r>
      <w:r>
        <w:rPr>
          <w:rFonts w:ascii="Times New Roman"/>
          <w:b w:val="false"/>
          <w:i w:val="false"/>
          <w:color w:val="000000"/>
          <w:sz w:val="28"/>
        </w:rPr>
        <w:t>.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4.3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«4.3. 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инвестиционных проектов с применением механизма государственно-частного партнерства увеличится в 2015 году не менее чем в 2 раза по сравнению с 2008 годом.».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