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5ac" w14:textId="181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2010 - 2014 годы" и от 29 июня 2011 года № 731 "Об утверждении Программы по развитию государственно-частного партнерства в Республике Казахстан на 2011 - 2015 годы и внесении дополнения в постановление Правительства Республики Казахстан от 14 апреля 2010 года № 302"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2014 года № 1235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«Об утверждении Программы по привлечению инвестиций, развитию специальных экономических зон и стимулированию экспорта в Республике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целевого индикатора раздела 1 «Паспорт Программы»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порядкового номера 7 подраздела 4.3. «Целевые индикаторы, задачи и показатели результатов реализации Программы»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2011 года № 731 «Об утверждении Программы по развитию государственно-частного партнерства в Республике Казахстан на 2011 – 2015 годы и внесении дополнения в постановление Правительства Республики Казахстан от 14 апреля 2010 года № 302» (САПП Республики Казахстан, 2011 г., № 44, ст. 584):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государственно-частного партнерства в Республике Казахстан на 2011 –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«Целевые индикаторы»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индикаторы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с применением механизма государственно-частного партнерства увеличится в 2015 году не менее чем в 2 раза по сравнению с 2008 годом»;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3.6.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«3.6. Анализ инновационно-технологического развития в проектах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Анализируя зарубежный опыт, рациональным и эффективным механизмом внедрения инновационных изменений в инфраструктуру является привлечение частного капитала через механизмы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Проекты, управляемые частными компаниями, позволяют значительно снизить стоимость как строительства, так и дальнейшей эксплуатации по сравнению с полностью государственным финансированием подобных проектов. К тому же, эффективность данных объектов инфраструктуры значительно увеличивается на всех этапах строительства и эксплуатации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Подобное явление является основой всего механизма ГЧП — чем ниже издержки и выше качество объектов, тем выше получаемые доходы концессионера, соответственно снижается срок окупаемости проекта и концессионер имеет возможность быстрее расплатиться с кредиторами.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создает дополнительные и необходимые стимулы для использования концессионером наиболее прогрессивных технических решений, инновационных технологий, а также повышает качество на стадии строительства. В мировой практике концессионные компании являются основной движущей силой как технологического, так и инновационного развития отраслей экономики и производства, а их разработки в дальнейшем повторяются и используются при реализации как в других концессионных, так и неконцессионных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концедент может ожидать от частного сектора использования новейших технологий, инноваций и ноу-хау. Речь также идет о доступе к имеющемуся опыту и технологиям частного сектора, которые иначе недоступны для государства, или которые разрабатываются специально для проекта. При использовании традиционного механизма государственных закупок решить такую задачу невозможно, однако благодаря механизмам стимулирования, заложенным в ГЧП, эта цель достижима.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может предоставить частным компаниям свободу в использовании инновационных технологий и инженерных решений. В этом случае концедент должен быть готов оценивать и сравнивать тендерные предложения, содержащие такие инновации. В целом, чем больше средств инвестируется в подготовку проекта, тем более качественная информация предоставляется участникам тендера, а это, в свою очередь, является стимулом для усиления конкуренции и получения более качественных и инновационных тендерных предложений.»;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 4.2</w:t>
      </w:r>
      <w:r>
        <w:rPr>
          <w:rFonts w:ascii="Times New Roman"/>
          <w:b w:val="false"/>
          <w:i w:val="false"/>
          <w:color w:val="000000"/>
          <w:sz w:val="28"/>
        </w:rPr>
        <w:t>.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 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инвестиционных проектов с применением механизма государственно-частного партнерства увеличится в 2015 году не менее чем в 2 раза по сравнению с 2008 годом.».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