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7cdd" w14:textId="df1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2014 года № 1155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«Отраслевая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«Отраслевая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Казахстан»,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2014 года № 1155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Организацией экономического сотрудничества и развития</w:t>
      </w:r>
      <w:r>
        <w:br/>
      </w:r>
      <w:r>
        <w:rPr>
          <w:rFonts w:ascii="Times New Roman"/>
          <w:b/>
          <w:i w:val="false"/>
          <w:color w:val="000000"/>
        </w:rPr>
        <w:t>
о реализации проекта «Отраслевая конкурентоспособность</w:t>
      </w:r>
      <w:r>
        <w:br/>
      </w:r>
      <w:r>
        <w:rPr>
          <w:rFonts w:ascii="Times New Roman"/>
          <w:b/>
          <w:i w:val="false"/>
          <w:color w:val="000000"/>
        </w:rPr>
        <w:t>
Казахстана: повышение конкурентоспособности и привлечение</w:t>
      </w:r>
      <w:r>
        <w:br/>
      </w:r>
      <w:r>
        <w:rPr>
          <w:rFonts w:ascii="Times New Roman"/>
          <w:b/>
          <w:i w:val="false"/>
          <w:color w:val="000000"/>
        </w:rPr>
        <w:t>
прямых иностранных инвестиций в отрасль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>
с учетом развития рынка юниорских компаний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Организация экономического сотрудничества и развития (далее именуемые «Сторонами» и по отдельности «Сторона»)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Предмет Соглашения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экономического сотрудничества и развития (далее - ОЭСР) реализует проект «Отраслевая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Казахстан» (далее -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соглашается финансировать проект.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Бюджет и механизм финансирования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финансирует реализацию проекта на общую сумму 1 400 000 (один миллион четыреста тысяч) евро.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Длительность проекта составляет 18 месяцев с даты подписания настоящего Соглашения или до полного выполнения Сторонами своих обязательств в рамках настоящего Соглашения в зависимости от того, что наступит ранее.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дальнейшая деятельность ОЭСР после 2014 года подлежит включению Советом ОЭСР в Программу работ и бюджета ОЭСР на 2015 - 2016 годы. Секретариат глобальных связей ОЭСР намеревается внести предложение о включении деятельности, являющейся предметом настоящего Соглашения, в Программу работ и бюджета ОЭСР на 2015 - 2016 годы. В случае, если деятельность, финансируемая данным взносом, не будет включена в Программу работ и бюджета ОЭСР на 2015 - 2016 годы, ОЭСР может прекратить работу и после консультаций с Правительством Республики Казахстан прекратить действие настоящего Соглашения. В этом случае Правительство Республики Казахстан соглашается покрыть расходы, понесенные ОЭСР, или по которым ОЭСР приняла обязательства до даты прекращения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Республики Казахстан соглашается выплатить на счет ОЭСР 1 400 000 (один миллион четыреста тысяч) евро на покрытие расходов по реализации проекта. Вклад будет выплачиваться двумя взносами, а именно: первый взнос на сумму 894 664 (восемьсот девяносто четыре тысячи шестьсот шестьдесят четыре) евро будет внесен после подписания настоящего Соглашения и получения соответствующего счета на оплату от ОЭСР; второй взнос на сумму 505 336 (пятьсот пять тысяч триста тридцать шесть) евро будет оплачен после получения отчета о проделанной работе и финансового отчета за первый год реализации проекта и получения соответствующего счета на оплату от ОЭСР.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ОЭСР управляет этим вкладом в соответствии со своим финансовым регламентом, а также другими соответствующими правилами, методами и процедурами, которые предусматривают сбор за администрирование гранта в размере 5,3 %. Расходы будут отражены в учетной документации ОЭСР в соответствии с общепринятыми международными принципами бухгалтерского учета.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Порядок реализации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ОЭСР выполняет проект согласно приложенному предложению.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ОЭСР представляет в Правительство Республики Казахстан отчет о проделанной работе, включающий описание проделанной работы, в форме сжатых отчетов по итогам каждого квартала, а также в течение трех месяцев по окончании каждого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окончании реализации проекта в течение шести месяцев ОЭСР представляет в Правительство Республики Казахстан итоговый отчет о проделанной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ОЭСР по окончании каждого года представляет в Правительство Республики Казахстан годовые финансовые отчеты о расходах, заверенные и подписанные руководителем Отдела бухгалтерского учета ОЭСР. Финансовый отчет за первый год представляется в течение трех месяцев, следующих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окончании реализации проекта в течение шести месяцев ОЭСР представляет в Правительство Республики Казахстан итоговую финансовую отчетность о расходах.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Правительство Республики Казахстан соглашается с тем, что требования о представлении финансовой отчетности будут считаться выполненными при представлении отчета о затратах, подготовленного в соответствии со стандартной формой представления отчетности ОЭСР.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друг другу содействие и обмениваются информацией, необходимой для осуществления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любого обмена сообщениями между Сторонами используется следующая контактная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010000 Казахстан, г. Астана, Левый берег, Дом Правительства,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+7(7172) 74-50-19, факс: + 7 (7172) 74-58-70.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ОЭСР: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ОЭСР по повышению конкурентоспособности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глобальных связей,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Вниманию: г-жи Е. Да Прати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2, ул. Андре Паскаля, 75775, г. Париж, Седекс 16, Франция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(2, rue AndrePascal, 75775, Paris, Cedex 16, France),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 +7 (10) 33 1 45 24 82 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факс: +7 (10) 33 1 45 24 85 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Эл. адрес: elisabetta.daprati@oecd.org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Использование результатов проекта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Соблюдая права третьих лиц, а также правила и политику ОЭСР в сфере засекречивания и рассекречивания документов, ОЭСР предоставляет Правительству Республики Казахстан неисключительную безотзывную и действующую во всем мире лицензию на использование, воспроизведение в любой форме, в том числе цифровой, распространение окончательного отчета по проекту для любых правительственных некоммерческих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обязано в случае необходимости всегда надлежащим образом подтверждать авторское право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ОЭСР сохраняет за собой право первой публикации окончательного отчета, независимо от языка и формы такой публикации. Права на результаты проекта, в том числе отчет, принадлежат ОЭСР. Любые данные или информация, которые являются собственностью Правительства Республики Казахстан, представленные ОЭСР в ходе проекта, остаются собственностью Правительства Республики Казахстан. ОЭСР имеет право использовать и (или) включать указанные данные и информацию в целях подготовки своего отчета и в общем плане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Согласно правилам публикации ОЭСР окончательный отчет будет включать оговорку о вкладе Правительства Республики Казахстан в проект, и символ Республики Казахстан будет размещен на оборотной стороне обложки публикации либо внутри публикации рядом с вышеупомянутой оговоркой.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разногласие или претензия, возникающие из или связанные с толкованием, применением или исполнением настоящего Соглашения, включая его действительность, юридическую силу или прекращение, которые не могут быть урегулированы мирным путем, разрешаются в арбитраже в соответствии с арбитражным регламентом Постоянной палаты третейского суда с участием международных организаций и государств, действующим на момент заключения настоящего Соглашения. Количество арбитров — один. Арбитр выбирается по согласованию между Сторонами, или, в случае недостижения согласия, в течение трех месяцев после получения заявления о рассмотрении дела в арбитраже, арбитр назначается в соответствии с вышеуказанным регламентом по просьбе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 рассматривается в Париже, Франция, и все процессы и документы ведутся на английском языке.</w:t>
      </w:r>
    </w:p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 путем оформления отдельных дополнительных соглашений, которые будут являться неотъемлемыми частями настоящего Соглашения.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в момент его подписания обеими Сторонами и действует до тех пор, пока обе Стороны не выполнили все свои обязательства, вытекающие из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двух подлинных экземплярах, каждый на казахском, русском и английском языках. В случае возникновения разногласий при толковании положений настоящего Соглашения, Стороны будут обращаться к тексту на английском языке, который будет иметь преимущественную силу над другими версиями.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 Асет Орентаевич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Дата:..................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Маркос Бонтури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отдела глобальных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Дата:..................</w:t>
            </w:r>
          </w:p>
        </w:tc>
      </w:tr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Энтони Дж. Роттиер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Дата:.....................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