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e321" w14:textId="b45e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надбавок за классность спасателям аварийно-спасательных служб и формирований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858. Утратило силу постановлением Правительства Республики Казахстан от 12 октября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12.10.2015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16.03.2015 г. № 226.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36)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надбавок за классность спасателям аварийно-спасательных служб и формирований.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2014 года № 858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выплаты надбавок за классность спасателям 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аварийно-спасательных служб и формирований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надбавок за классность спасателям аварийно-спасательных служб и формирований определяют порядок выплаты надбавок за классность спасателям аварийно-спасательных служб и формирований, содержащихся за счет средств республиканского бюджета (далее – спасатели).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Спасателям, которым в ходе аттестации присвоена классность, а также подтвердившим ее при переаттестации, к базовому должностному окладу выплачивается надбавка в размерах,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надбавок за классность спасателям аварийно-спасательных служб и формирований производится на основании приказа руководителя аварийно-спасательных служб и формирований о присвоении классной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надбавок за классность спасателям осуществляется в пределах средств, предусмотренных в республиканском бюджете на соответствующий год.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