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bb4c" w14:textId="26fb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 проект Закона Республики Казахстан «О внесении изменений в некоторые законодательные акты Республики Казахстан по вопросам правовых актов».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 Прокуратуре»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66, № 6, ст. 142; 2001 г., № 20, ст. 257; 2002 г., № 17, ст. 155; 2003 г., № 15, ст. 139; 2004 г., № 23, ст. 142; 2007 г., № 9, ст. 67; № 10, ст. 69; № 20, ст. 152; 2008 г., № 15-16, ст. 63; № 23, ст. 114; 2009 г., № 18, ст. 84; № 24, ст. 121; 2010 г., № 5, ст. 23; № 7, ст. 28; № 24, ст. 151; 2011 г., № 1, ст. 3; № 16, ст. 128; № 19, ст. 145; 2012 г., № 8, ст. 64; № 13, ст. 91;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26. Разъяснение законодательного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наличии достаточных оснований полагать, что незнание или неправильное понимание законодательных актов (за исключением постановлений Парламента и его палат) физическими либо юридическими лицами может повлечь нарушения законов либо прав и свобод гражданина или неограниченного круга лиц, прокурор разъясняет содержание законодательного акта (за исключением постановлений Парламента и его палат).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несоответствия законодательному акту (за исключением постановлений Парламента и его палат) проекта правового акта прокурор разъясняет требование соответствующего законодательного акта органу или должностному лицу, принимающему акт.».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антидемпинговых мерах» (Ведомости Парламента Республики Казахстан, 1999 г., № 19, ст. 654; 2006 г., № 1, ст. 3; № 3, ст. 22; 2010 г., № 15, ст. 71; 2011 г., № 11, ст. 102; 2013 г.,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После принятия решения о начале процедуры антидемпингового разбирательства уполномоченный орган публикует уведомление в официальных изданиях,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правовых актах», и направляет уведомления заинтересованным лицам».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126; 2010 г., № 24, ст. 148; 2011 г., № 11, ст. 102; № 20, ст. 158; 2012 г., № 5, ст. 36; № 13, ст. 91; № 21-22, ст. 123; 2013 г., № 8, ст. 50; № 14, ст. 75;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Квалификационные требования к административным государственным должностям корпуса «Б» разрабатываются с учетом основных направлений деятельности структурных подразделений государственного органа, должностных полномочий, осуществляемых административными государственными служащими, и утверждаются соответствующими центральными государственными органами, а также в отношении исполнительных органов и аппаратов маслихатов, финансируемых из местного бюджета, – соответствующими акиматами или маслихатами, по согласованию с уполномоченным органом на основе типовых квалификационных требований к категориям административных государственных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квалификационные требования к административным государственным должностям корпуса «А» утверждаются Президентом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54; № 11, ст. 102; № 12, ст. 111; № 15, ст. 118; 2012 г., № 8, ст. 64; № 13, ст. 91; № 15, ст. 97; 2013 г., № 1, ст. 3; № 5-6, ст. 30;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4,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6 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Организация и контроль за исполнением правового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индивидуального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исполнения правового акта индивидуального применения заключается в выработке и принятии уполномоченными государственными органами (должностными лицами) организационных мер по своевременному и исчерпывающему исполнению принятого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для обеспечения исполнения правового акта индивидуального применения уполномоченный государственный орган (должностное лицо) разрабатывает и утверждает план организационных мероприятий по его исполнению, который доводится до непосредственных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 правовом акте индивидуального применения не определены конкретные сроки его исполнения и непосредственные исполнители, то они устанавливаются государственным органом-исполнителем или вышестоящим органом и незамедлительно доводятся до сведения непосредственных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своевременного и исчерпывающего исполнения принятых решений государственный орган или должностное лицо должно осуществлять контроль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7. Порядок осуществления контроля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правового акта индивидуального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контроля за исполнением правового акта индивидуального применения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50; № 11, ст. 102; № 12, ст. 111; № 15, ст. 118; 2012 г., № 3, ст. 26; № 15, ст. 97; № 21-22, ст. 124; 2013 г.,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официальное разъяснение нормативных правовых актов Правительства совместно с заинтересованными государственными органами по поручению Премьер-Министра Республики;».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30; № 14, ст. 75; № 15, ст. 81; № 21-22, ст. 115; 2014 г., № 1, ст. 4;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Центральные государственные, местные представительные и исполнительные органы направляют проект нормативного правового акта, затрагивающего интересы субъектов частного предпринимательства,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заключения, в том числе при каждом последующем согласовании данного проекта с заинтересованными государственными органами.».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