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d8d" w14:textId="e6d0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2014 года № 582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Уполномочить подписать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Правилах определения страны происхождения товаров в Содружестве Независимых Государств от 20 ноября 2009 года Первого заместителя Премьер-Министра Сагинтаева Бакытжана Aбдировича,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со дня его подписания.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2014 года № 582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Правилах определения страны происхождения товаров в Содружестве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20 ноября 2009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Правилах определения страны происхождения товаров в Содружестве Независимых Государств от 20 ноября 2009 года (далее - Соглашение),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условий</w:t>
      </w:r>
      <w:r>
        <w:rPr>
          <w:rFonts w:ascii="Times New Roman"/>
          <w:b w:val="false"/>
          <w:i w:val="false"/>
          <w:color w:val="000000"/>
          <w:sz w:val="28"/>
        </w:rPr>
        <w:t>, производственных и технологических операций, при выполнении которых товар считается происходящим из той страны, в которой они имели место: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856"/>
        <w:gridCol w:w="5761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 корпуса, изготовление элементов электропроводки;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сборка и монтаж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заправка хладагента;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регулировка и контроль параметров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4936"/>
        <w:gridCol w:w="5761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 корпуса, изготовление элементов электропроводки;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сборка и монтаж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хладагента, кроме случаев, когда заправка хладагента не предусмотрена конструкцией и/или заправка осуществляется в момент 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регулировка и контроль параметров</w:t>
            </w:r>
          </w:p>
          <w:bookmarkEnd w:id="14"/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4927"/>
        <w:gridCol w:w="5890"/>
      </w:tblGrid>
      <w:tr>
        <w:trPr>
          <w:trHeight w:val="1215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8702-8704</w:t>
            </w:r>
          </w:p>
          <w:bookmarkEnd w:id="18"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Aвтомобили легковые и моторные транспортные средства, предназначенные для перевозки людей, включая грузопассажирские автомобили - фургоны и гоночные автомобили; моторные транспортные средства для перевозки грузов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узлов и деталей не должна превышать 50 % цены готовой продукции, а также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 и окраска кузова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и закрепление двигателя, подключение к двигателю механизмов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радиаторов и подключение систем охлаждения;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крепление амортизаторов, подключение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передней подвески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полуосей, установка задней подвески;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соединение рулевого управления со ступицами передних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колес и регулировка затяжки подшипников передней ступицы, установка катушки зажигания;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заправка и прокачка гидросистемы рулевого управления, тормозной системы, гидросцепления;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и подключение фар, передних и задних сигнальных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глушителя и секций выхлопного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топливного бака и подключение топливопровода;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генератора и регулировка натяжения приводного ремня;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и подключение аккумулятора с проверкой работы 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консервация быстро повреждаемых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устранение дефектов после сборки;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идентификационного номера на табличку и автомобиль;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обкатка автомобиля.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вышеуказанных технологических и производственных операциях для товаров позиции 8704 вместо изготовления и окраски кузова (кабины) допускается выполнение операций по изготовлению рамы с подвеской и мостами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4927"/>
        <w:gridCol w:w="5890"/>
      </w:tblGrid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8702-8704</w:t>
            </w:r>
          </w:p>
          <w:bookmarkEnd w:id="22"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автомобили легковые и моторные транспортные средства с двигателем внутреннего сгорания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не должна превышать 50 % цены конечной продукции, а также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сварка кузова (кабины) или изготовление кузова (кабины) иным способом в случае применения технологий, не предусматривающих сварочных операций при изготовлении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окраска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вспомогательного оборудования, в т.ч. систем безопасности, отопления и охлаждения, предусмотренных конструкцией моторного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передней и задней подвески;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системы зажигания, кроме свечей, катушек зажигания и высоковольтных проводов (для моторных транспортных средств с двигателем внутреннего сгорания с искровым зажиганием);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рулевого управления 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элементов интерьера и экстерьера;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фар, передних и задних сигнальных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глушителя и секций выхлопного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топливного бака и топливопроводов;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электрических приводов, кроме приводов, являющихся неотъемлемой частью автокомпонентов, используемых при изготовлении моторных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аккумулятора;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 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идентификационного номера на моторное транспортное средство;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контрольных испытаний готового моторного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8702-8704</w:t>
            </w:r>
          </w:p>
          <w:bookmarkEnd w:id="23"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автомобили легковые и моторные транспортные средства, приводимые в движение электроприводом или гибридными силовыми установками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не должна превышать 50 % цены конечной продукции, а также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сварка кузова (кабины) или изготовление кузова (кабины) иным способом в случае применения технологий, не предусматривающих сварочных операций при изготовлении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окраска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двигателя (для гибридных силовых агрегатов);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тяговых электромашин (генераторы, электродвигатели);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вспомогательного оборудования, в т.ч. систем безопасности, отопления и охлаждения, предусмотренных конструкцией моторного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передней и задней подвески;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системы рулевого управления 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элементов интерьера и экстерьера;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фар, передних и задних сигнальных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блоков накопителей энергии (тяговые аккумуляторные батареи или суперконденсаторы);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электрических приводов, кроме приводов, являющихся неотъемлемой частью автокомпонентов, используемых при изготовлении моторных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 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уровня радиопомех и норм электромагнитной совместимости;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идентификационного номера на моторное транспортное средство;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контрольных испытаний готового моторного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</w:t>
            </w:r>
          </w:p>
          <w:bookmarkEnd w:id="24"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моторные транспортные средства, предназначенные для перевозки грузов (тип форвардер)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используемых материалов не должна превышать 50 % цены готовой продукции, а также при условии выполнения следующих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сварка кузова (кабины) или изготовление кузова (кабины) иным способом в случае применения технологий, не предусматривающих сварочных операций при изготовлении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окраска кузова (кабины);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вспомогательного оборудования, в т.ч. систем безопасности, отопления и охлаждения, предусмотренных конструкцией моторного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системы рулевого управления 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элементов интерьера и экстерьера кабины;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фар, передних и задних сигнальных фонарей;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глушителя и секций выхлопного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топливного бака и топливопровода;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электрических приводов, кроме приводов, являющихся неотъемлемой частью автокомпонентов, используемых при изготовлении моторных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аккумулятора;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монтаж бортовых электрических 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идентификационного номера на моторное транспортное средство;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контрольных испытаний готового моторного транспортного средства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5"/>
        <w:gridCol w:w="7019"/>
      </w:tblGrid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Aзербайджанской Республики</w:t>
            </w:r>
          </w:p>
          <w:bookmarkEnd w:id="28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Aрмения</w:t>
            </w:r>
          </w:p>
          <w:bookmarkEnd w:id="29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  <w:bookmarkEnd w:id="30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31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bookmarkEnd w:id="32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  <w:bookmarkEnd w:id="33"/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