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363d" w14:textId="37b3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Комплексного плана мероприятий по привлечению прямых иностранных и отечественных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28 мая 2014 года № 570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Комплексный план</w:t>
      </w:r>
      <w:r>
        <w:rPr>
          <w:rFonts w:ascii="Times New Roman"/>
          <w:b w:val="false"/>
          <w:i w:val="false"/>
          <w:color w:val="000000"/>
          <w:sz w:val="28"/>
        </w:rPr>
        <w:t xml:space="preserve"> мероприятий по привлечению прямых иностранных и отечественных инвестиций (далее – Комплексный план). </w:t>
      </w:r>
      <w:r>
        <w:br/>
      </w:r>
      <w:r>
        <w:rPr>
          <w:rFonts w:ascii="Times New Roman"/>
          <w:b w:val="false"/>
          <w:i w:val="false"/>
          <w:color w:val="000000"/>
          <w:sz w:val="28"/>
        </w:rPr>
        <w:t>
</w:t>
      </w:r>
      <w:r>
        <w:rPr>
          <w:rFonts w:ascii="Times New Roman"/>
          <w:b w:val="false"/>
          <w:i w:val="false"/>
          <w:color w:val="000000"/>
          <w:sz w:val="28"/>
        </w:rPr>
        <w:t xml:space="preserve">
      2. Центральным исполнительным органам, ответственным за исполнение, один раз в полугодие, не позднее 5 числа месяца, следующего за отчетным полугодием, представлять в Министерство экономики и бюджетного планирования Республики Казахстан информацию о ходе реализации Комплексного плана. </w:t>
      </w:r>
      <w:r>
        <w:br/>
      </w:r>
      <w:r>
        <w:rPr>
          <w:rFonts w:ascii="Times New Roman"/>
          <w:b w:val="false"/>
          <w:i w:val="false"/>
          <w:color w:val="000000"/>
          <w:sz w:val="28"/>
        </w:rPr>
        <w:t>
</w:t>
      </w:r>
      <w:r>
        <w:rPr>
          <w:rFonts w:ascii="Times New Roman"/>
          <w:b w:val="false"/>
          <w:i w:val="false"/>
          <w:color w:val="000000"/>
          <w:sz w:val="28"/>
        </w:rPr>
        <w:t xml:space="preserve">
      3. Министерству экономики и бюджетного планирования Республики Казахстан, один раз в полугодие, не позднее 25 числа месяца, следующего за отчетным полугодием, представлять в Правительство Республики Казахстан сводную информацию о ходе реализации Комплексного плана.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 Министра индустрии и новых технологий Республики Казахстан Исекешева А.О. </w:t>
      </w:r>
      <w:r>
        <w:br/>
      </w:r>
      <w:r>
        <w:rPr>
          <w:rFonts w:ascii="Times New Roman"/>
          <w:b w:val="false"/>
          <w:i w:val="false"/>
          <w:color w:val="000000"/>
          <w:sz w:val="28"/>
        </w:rPr>
        <w:t>
</w:t>
      </w:r>
      <w:r>
        <w:rPr>
          <w:rFonts w:ascii="Times New Roman"/>
          <w:b w:val="false"/>
          <w:i w:val="false"/>
          <w:color w:val="000000"/>
          <w:sz w:val="28"/>
        </w:rPr>
        <w:t xml:space="preserve">
      5.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мая 2014 года № 570 </w:t>
      </w:r>
    </w:p>
    <w:bookmarkEnd w:id="1"/>
    <w:bookmarkStart w:name="z8" w:id="2"/>
    <w:p>
      <w:pPr>
        <w:spacing w:after="0"/>
        <w:ind w:left="0"/>
        <w:jc w:val="both"/>
      </w:pPr>
      <w:r>
        <w:rPr>
          <w:rFonts w:ascii="Times New Roman"/>
          <w:b w:val="false"/>
          <w:i w:val="false"/>
          <w:color w:val="000000"/>
          <w:sz w:val="28"/>
        </w:rPr>
        <w:t>
</w:t>
      </w:r>
      <w:r>
        <w:rPr>
          <w:rFonts w:ascii="Times New Roman"/>
          <w:b/>
          <w:i w:val="false"/>
          <w:color w:val="000000"/>
          <w:sz w:val="28"/>
        </w:rPr>
        <w:t>            Комплексный план мероприятий по привлечению</w:t>
      </w:r>
      <w:r>
        <w:br/>
      </w:r>
      <w:r>
        <w:rPr>
          <w:rFonts w:ascii="Times New Roman"/>
          <w:b w:val="false"/>
          <w:i w:val="false"/>
          <w:color w:val="000000"/>
          <w:sz w:val="28"/>
        </w:rPr>
        <w:t>
</w:t>
      </w:r>
      <w:r>
        <w:rPr>
          <w:rFonts w:ascii="Times New Roman"/>
          <w:b/>
          <w:i w:val="false"/>
          <w:color w:val="000000"/>
          <w:sz w:val="28"/>
        </w:rPr>
        <w:t>           прямых иностранных и отечественных инвестиций</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616"/>
        <w:gridCol w:w="2732"/>
        <w:gridCol w:w="3365"/>
        <w:gridCol w:w="2266"/>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w:t>
            </w:r>
            <w:r>
              <w:br/>
            </w:r>
            <w:r>
              <w:rPr>
                <w:rFonts w:ascii="Times New Roman"/>
                <w:b w:val="false"/>
                <w:i w:val="false"/>
                <w:color w:val="000000"/>
                <w:sz w:val="20"/>
              </w:rPr>
              <w:t>
</w:t>
            </w:r>
            <w:r>
              <w:rPr>
                <w:rFonts w:ascii="Times New Roman"/>
                <w:b w:val="false"/>
                <w:i w:val="false"/>
                <w:color w:val="000000"/>
                <w:sz w:val="20"/>
              </w:rPr>
              <w:t>исполнение</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1: новый пакет стимулов для привлечения прямых иностранных</w:t>
            </w:r>
            <w:r>
              <w:br/>
            </w:r>
            <w:r>
              <w:rPr>
                <w:rFonts w:ascii="Times New Roman"/>
                <w:b w:val="false"/>
                <w:i w:val="false"/>
                <w:color w:val="000000"/>
                <w:sz w:val="20"/>
              </w:rPr>
              <w:t>
</w:t>
            </w:r>
            <w:r>
              <w:rPr>
                <w:rFonts w:ascii="Times New Roman"/>
                <w:b w:val="false"/>
                <w:i w:val="false"/>
                <w:color w:val="000000"/>
                <w:sz w:val="20"/>
              </w:rPr>
              <w:t>и отечественных инвестиций</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 в Парламент Республики Казахстан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инвестиционного климата», предусматривающего пересмотр механизма заключения инвестиционных соглашений (контрактов) с инвесторами:</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Закона Республики Казахстан</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МИНТ, МФ, МТСЗН, АРЕМ, АО «ФНБ «Самрук-Казына» </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r>
              <w:rPr>
                <w:rFonts w:ascii="Times New Roman"/>
                <w:b w:val="false"/>
                <w:i w:val="false"/>
                <w:color w:val="000000"/>
                <w:sz w:val="20"/>
              </w:rPr>
              <w:t xml:space="preserve">АО «НУХ «Байтерек» </w:t>
            </w:r>
            <w:r>
              <w:br/>
            </w:r>
            <w:r>
              <w:rPr>
                <w:rFonts w:ascii="Times New Roman"/>
                <w:b w:val="false"/>
                <w:i w:val="false"/>
                <w:color w:val="000000"/>
                <w:sz w:val="20"/>
              </w:rPr>
              <w:t>
</w:t>
            </w:r>
            <w:r>
              <w:rPr>
                <w:rFonts w:ascii="Times New Roman"/>
                <w:b w:val="false"/>
                <w:i w:val="false"/>
                <w:color w:val="000000"/>
                <w:sz w:val="20"/>
              </w:rPr>
              <w:t xml:space="preserve">(по согласованию), </w:t>
            </w:r>
            <w:r>
              <w:br/>
            </w:r>
            <w:r>
              <w:rPr>
                <w:rFonts w:ascii="Times New Roman"/>
                <w:b w:val="false"/>
                <w:i w:val="false"/>
                <w:color w:val="000000"/>
                <w:sz w:val="20"/>
              </w:rPr>
              <w:t>
</w:t>
            </w:r>
            <w:r>
              <w:rPr>
                <w:rFonts w:ascii="Times New Roman"/>
                <w:b w:val="false"/>
                <w:i w:val="false"/>
                <w:color w:val="000000"/>
                <w:sz w:val="20"/>
              </w:rPr>
              <w:t xml:space="preserve">АО «НУХ «Казагро»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июня</w:t>
            </w:r>
            <w:r>
              <w:br/>
            </w:r>
            <w:r>
              <w:rPr>
                <w:rFonts w:ascii="Times New Roman"/>
                <w:b w:val="false"/>
                <w:i w:val="false"/>
                <w:color w:val="000000"/>
                <w:sz w:val="20"/>
              </w:rPr>
              <w:t>
</w:t>
            </w:r>
            <w:r>
              <w:rPr>
                <w:rFonts w:ascii="Times New Roman"/>
                <w:b w:val="false"/>
                <w:i w:val="false"/>
                <w:color w:val="000000"/>
                <w:sz w:val="20"/>
              </w:rPr>
              <w:t>2014 года</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дополнительных мер государственной поддержки: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 до 30% капитальных затрат (инвестиционная субсидия) со стороны государства после ввода объекта в эксплуатацию;</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освобождение от уплаты корпоративного подоходного налога по крупным инвестиционным проектам сроком на 10 лет с исключением корректировки и освобождения по дивидендам;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долгосрочный гарантированный заказ на товары и услуги инвесторов со стороны национальных управляющих холдингов, национальных холдингов и национальных компаний</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принципа «стабильности» законодательства на 10 лет в рамках заключаемых инвестиционных соглашений (контрактов) с инвесторами с учетом сохранения баланса интересов государства: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налоговой сфере в части ставок налогов и сборов (за исключением налога на добавленную стоимость и акцизов) с исключением распространения такой стабильности на недропользование, игорный бизнес, производство подакцизных товаров, квазигосударственный сектор, автономные организации образования и организации, осуществляющие деятельность на территории СЭЗ;</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тарифной сфере в части утверждения тарифов на регулируемые услуги субъектов естественных монополий на долгосрочный период</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принципа «одного окна» для инвесторов с наделением Комитета по инвестициям Министерства индустрии и новых технологий Республики Казахстан функциями по координации выдачи разрешительных документов и информации по запросам инвесторов</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прав инвесторам на привлечение иностранной рабочей силы на весь период реализации инвестиционного проекта и один год после ввода объекта в эксплуатацию, вне квоты и без разрешений на привлечение иностранной рабочей силы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пересмотра сферы применения международного арбитража при решении вопросов инвесторов в части предмета споров, касающиеся вопросов связанных с правами на недвижимость и дел по искам к перевозчикам, вытекающим из договоров перевозки</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МЮ, МИНТ, ГП </w:t>
            </w:r>
            <w:r>
              <w:br/>
            </w:r>
            <w:r>
              <w:rPr>
                <w:rFonts w:ascii="Times New Roman"/>
                <w:b w:val="false"/>
                <w:i w:val="false"/>
                <w:color w:val="000000"/>
                <w:sz w:val="20"/>
              </w:rPr>
              <w:t>
</w:t>
            </w:r>
            <w:r>
              <w:rPr>
                <w:rFonts w:ascii="Times New Roman"/>
                <w:b w:val="false"/>
                <w:i w:val="false"/>
                <w:color w:val="000000"/>
                <w:sz w:val="20"/>
              </w:rPr>
              <w:t xml:space="preserve">(по согласованию), КНБ </w:t>
            </w:r>
            <w:r>
              <w:br/>
            </w:r>
            <w:r>
              <w:rPr>
                <w:rFonts w:ascii="Times New Roman"/>
                <w:b w:val="false"/>
                <w:i w:val="false"/>
                <w:color w:val="000000"/>
                <w:sz w:val="20"/>
              </w:rPr>
              <w:t>
</w:t>
            </w:r>
            <w:r>
              <w:rPr>
                <w:rFonts w:ascii="Times New Roman"/>
                <w:b w:val="false"/>
                <w:i w:val="false"/>
                <w:color w:val="000000"/>
                <w:sz w:val="20"/>
              </w:rPr>
              <w:t xml:space="preserve">(по согласованию), ВС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октября </w:t>
            </w:r>
            <w:r>
              <w:br/>
            </w:r>
            <w:r>
              <w:rPr>
                <w:rFonts w:ascii="Times New Roman"/>
                <w:b w:val="false"/>
                <w:i w:val="false"/>
                <w:color w:val="000000"/>
                <w:sz w:val="20"/>
              </w:rPr>
              <w:t>
</w:t>
            </w:r>
            <w:r>
              <w:rPr>
                <w:rFonts w:ascii="Times New Roman"/>
                <w:b w:val="false"/>
                <w:i w:val="false"/>
                <w:color w:val="000000"/>
                <w:sz w:val="20"/>
              </w:rPr>
              <w:t>2014 года</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2: дальнейшее развитие СЭЗ</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внесение в Парламент Республики Казахстан проекта Закона Республики Казахстан «О внесении изменений и дополнений в некоторые законодательные акты Республики Казахстан по вопросам совершенствования специальных экономических зон»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Закона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МЭБП, МФ</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декабря 2014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3: упрощение визового режима</w:t>
            </w:r>
          </w:p>
        </w:tc>
      </w:tr>
      <w:tr>
        <w:trPr>
          <w:trHeight w:val="129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установления в одностороннем порядке безвизового режима для граждан наиболее развитых стран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МВД, ГП </w:t>
            </w:r>
            <w:r>
              <w:br/>
            </w:r>
            <w:r>
              <w:rPr>
                <w:rFonts w:ascii="Times New Roman"/>
                <w:b w:val="false"/>
                <w:i w:val="false"/>
                <w:color w:val="000000"/>
                <w:sz w:val="20"/>
              </w:rPr>
              <w:t>
</w:t>
            </w:r>
            <w:r>
              <w:rPr>
                <w:rFonts w:ascii="Times New Roman"/>
                <w:b w:val="false"/>
                <w:i w:val="false"/>
                <w:color w:val="000000"/>
                <w:sz w:val="20"/>
              </w:rPr>
              <w:t xml:space="preserve">(по согласованию), КНБ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сентября </w:t>
            </w:r>
            <w:r>
              <w:br/>
            </w:r>
            <w:r>
              <w:rPr>
                <w:rFonts w:ascii="Times New Roman"/>
                <w:b w:val="false"/>
                <w:i w:val="false"/>
                <w:color w:val="000000"/>
                <w:sz w:val="20"/>
              </w:rPr>
              <w:t>
</w:t>
            </w:r>
            <w:r>
              <w:rPr>
                <w:rFonts w:ascii="Times New Roman"/>
                <w:b w:val="false"/>
                <w:i w:val="false"/>
                <w:color w:val="000000"/>
                <w:sz w:val="20"/>
              </w:rPr>
              <w:t>2014 года</w:t>
            </w:r>
          </w:p>
        </w:tc>
      </w:tr>
      <w:tr>
        <w:trPr>
          <w:trHeight w:val="73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и дополнений в совместный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иностранных дел Республики Казахстан от 5 марта 2013 года № 08-1-1-1/71 и Министра внутренних дел Республики Казахстан от 7 марта 2013 года № 175 «Об утверждении Правил выдачи виз Республики Казахстан, а также продления и сокращения сроков их действия» в части механизма взаимодействия при оформлении инвесторских виз руководителям структурных подразделений иностранных компаний</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 МИД и МВД</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МИНТ, МВД, КНБ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июля </w:t>
            </w:r>
            <w:r>
              <w:br/>
            </w:r>
            <w:r>
              <w:rPr>
                <w:rFonts w:ascii="Times New Roman"/>
                <w:b w:val="false"/>
                <w:i w:val="false"/>
                <w:color w:val="000000"/>
                <w:sz w:val="20"/>
              </w:rPr>
              <w:t>
</w:t>
            </w:r>
            <w:r>
              <w:rPr>
                <w:rFonts w:ascii="Times New Roman"/>
                <w:b w:val="false"/>
                <w:i w:val="false"/>
                <w:color w:val="000000"/>
                <w:sz w:val="20"/>
              </w:rPr>
              <w:t>2014 года</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4: совершенствование института «инвестиционного омбудсмена»</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вопроса внедрения института по защите прав инвесторов по принципу «инвестиционного омбудсмена»</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июня </w:t>
            </w:r>
            <w:r>
              <w:br/>
            </w:r>
            <w:r>
              <w:rPr>
                <w:rFonts w:ascii="Times New Roman"/>
                <w:b w:val="false"/>
                <w:i w:val="false"/>
                <w:color w:val="000000"/>
                <w:sz w:val="20"/>
              </w:rPr>
              <w:t>
</w:t>
            </w:r>
            <w:r>
              <w:rPr>
                <w:rFonts w:ascii="Times New Roman"/>
                <w:b w:val="false"/>
                <w:i w:val="false"/>
                <w:color w:val="000000"/>
                <w:sz w:val="20"/>
              </w:rPr>
              <w:t>2014 года</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5: конкретный план по привлечению иностранных и отечественных</w:t>
            </w:r>
            <w:r>
              <w:br/>
            </w:r>
            <w:r>
              <w:rPr>
                <w:rFonts w:ascii="Times New Roman"/>
                <w:b w:val="false"/>
                <w:i w:val="false"/>
                <w:color w:val="000000"/>
                <w:sz w:val="20"/>
              </w:rPr>
              <w:t>
</w:t>
            </w:r>
            <w:r>
              <w:rPr>
                <w:rFonts w:ascii="Times New Roman"/>
                <w:b w:val="false"/>
                <w:i w:val="false"/>
                <w:color w:val="000000"/>
                <w:sz w:val="20"/>
              </w:rPr>
              <w:t>инвестиций в Республику Казахстан на 2014 – 2015 годы</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информационно-разъяснительной работы (встречи, бизнес-форумы, роуд-шоу) о новых инвестиционных возможностях в приоритетных секторах Казахстана среди потенциальных инвесторов согласно приложению к настоящему Комплексному плану мероприятий по привлечению прямых иностранных и отечественных инвестиций</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МИД</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 января </w:t>
            </w:r>
            <w:r>
              <w:br/>
            </w:r>
            <w:r>
              <w:rPr>
                <w:rFonts w:ascii="Times New Roman"/>
                <w:b w:val="false"/>
                <w:i w:val="false"/>
                <w:color w:val="000000"/>
                <w:sz w:val="20"/>
              </w:rPr>
              <w:t>
</w:t>
            </w:r>
            <w:r>
              <w:rPr>
                <w:rFonts w:ascii="Times New Roman"/>
                <w:b w:val="false"/>
                <w:i w:val="false"/>
                <w:color w:val="000000"/>
                <w:sz w:val="20"/>
              </w:rPr>
              <w:t>2015 года</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перечня заинтересованных инвесторов, в том числе в реинвестировании, с закреплением ответственных дипломатических представительств, отраслевых государственных органов и организаций, а также местных исполнительных органов (в соответствии с региональной специализацией) по размещению производств в Казахстане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МИД</w:t>
            </w:r>
            <w:r>
              <w:br/>
            </w:r>
            <w:r>
              <w:rPr>
                <w:rFonts w:ascii="Times New Roman"/>
                <w:b w:val="false"/>
                <w:i w:val="false"/>
                <w:color w:val="000000"/>
                <w:sz w:val="20"/>
              </w:rPr>
              <w:t>
</w:t>
            </w:r>
            <w:r>
              <w:rPr>
                <w:rFonts w:ascii="Times New Roman"/>
                <w:b w:val="false"/>
                <w:i w:val="false"/>
                <w:color w:val="000000"/>
                <w:sz w:val="20"/>
              </w:rPr>
              <w:t>государственные органы и 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r>
              <w:br/>
            </w:r>
            <w:r>
              <w:rPr>
                <w:rFonts w:ascii="Times New Roman"/>
                <w:b w:val="false"/>
                <w:i w:val="false"/>
                <w:color w:val="000000"/>
                <w:sz w:val="20"/>
              </w:rPr>
              <w:t>
</w:t>
            </w:r>
            <w:r>
              <w:rPr>
                <w:rFonts w:ascii="Times New Roman"/>
                <w:b w:val="false"/>
                <w:i w:val="false"/>
                <w:color w:val="000000"/>
                <w:sz w:val="20"/>
              </w:rPr>
              <w:t>2014 года</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Утвердить дорожные карты по привлечению инвесторов-лидеров в отраслях</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приказы рукововодителей государственных органов и организаций</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государственные органы и 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r>
              <w:br/>
            </w:r>
            <w:r>
              <w:rPr>
                <w:rFonts w:ascii="Times New Roman"/>
                <w:b w:val="false"/>
                <w:i w:val="false"/>
                <w:color w:val="000000"/>
                <w:sz w:val="20"/>
              </w:rPr>
              <w:t>
</w:t>
            </w:r>
            <w:r>
              <w:rPr>
                <w:rFonts w:ascii="Times New Roman"/>
                <w:b w:val="false"/>
                <w:i w:val="false"/>
                <w:color w:val="000000"/>
                <w:sz w:val="20"/>
              </w:rPr>
              <w:t xml:space="preserve">2014 года </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отчетов государственных органов и организаций о проделанной работе по привлечению инвесторов</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МИД</w:t>
            </w:r>
            <w:r>
              <w:br/>
            </w:r>
            <w:r>
              <w:rPr>
                <w:rFonts w:ascii="Times New Roman"/>
                <w:b w:val="false"/>
                <w:i w:val="false"/>
                <w:color w:val="000000"/>
                <w:sz w:val="20"/>
              </w:rPr>
              <w:t>
</w:t>
            </w:r>
            <w:r>
              <w:rPr>
                <w:rFonts w:ascii="Times New Roman"/>
                <w:b w:val="false"/>
                <w:i w:val="false"/>
                <w:color w:val="000000"/>
                <w:sz w:val="20"/>
              </w:rPr>
              <w:t>государственные органы и 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2014 года, </w:t>
            </w:r>
            <w:r>
              <w:br/>
            </w:r>
            <w:r>
              <w:rPr>
                <w:rFonts w:ascii="Times New Roman"/>
                <w:b w:val="false"/>
                <w:i w:val="false"/>
                <w:color w:val="000000"/>
                <w:sz w:val="20"/>
              </w:rPr>
              <w:t>
</w:t>
            </w:r>
            <w:r>
              <w:rPr>
                <w:rFonts w:ascii="Times New Roman"/>
                <w:b w:val="false"/>
                <w:i w:val="false"/>
                <w:color w:val="000000"/>
                <w:sz w:val="20"/>
              </w:rPr>
              <w:t>май 2015 года</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перечня заинтересованных инвесторов с закреплением ответственных дипломатических представительств, отраслевых государственных органов и организаций, а также местных исполнительных органов (в соответствии с региональной специализацией) по размещению производств в Казахстане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МИД</w:t>
            </w:r>
            <w:r>
              <w:br/>
            </w:r>
            <w:r>
              <w:rPr>
                <w:rFonts w:ascii="Times New Roman"/>
                <w:b w:val="false"/>
                <w:i w:val="false"/>
                <w:color w:val="000000"/>
                <w:sz w:val="20"/>
              </w:rPr>
              <w:t>
</w:t>
            </w:r>
            <w:r>
              <w:rPr>
                <w:rFonts w:ascii="Times New Roman"/>
                <w:b w:val="false"/>
                <w:i w:val="false"/>
                <w:color w:val="000000"/>
                <w:sz w:val="20"/>
              </w:rPr>
              <w:t>государственные органы и 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 2015 года,</w:t>
            </w:r>
            <w:r>
              <w:br/>
            </w:r>
            <w:r>
              <w:rPr>
                <w:rFonts w:ascii="Times New Roman"/>
                <w:b w:val="false"/>
                <w:i w:val="false"/>
                <w:color w:val="000000"/>
                <w:sz w:val="20"/>
              </w:rPr>
              <w:t>
</w:t>
            </w:r>
            <w:r>
              <w:rPr>
                <w:rFonts w:ascii="Times New Roman"/>
                <w:b w:val="false"/>
                <w:i w:val="false"/>
                <w:color w:val="000000"/>
                <w:sz w:val="20"/>
              </w:rPr>
              <w:t>август 2015 года</w:t>
            </w:r>
          </w:p>
        </w:tc>
      </w:tr>
      <w:tr>
        <w:trPr>
          <w:trHeight w:val="46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обеспечению государственной поддержки инвесторов по вопросам реализации инвестиционных проектов до ввода в эксплуатацию и выхода на производственную мощность, а также на пост-инвестиционной стадии и при реинвестировании</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государственные органы и организации</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2014 года, </w:t>
            </w:r>
            <w:r>
              <w:br/>
            </w:r>
            <w:r>
              <w:rPr>
                <w:rFonts w:ascii="Times New Roman"/>
                <w:b w:val="false"/>
                <w:i w:val="false"/>
                <w:color w:val="000000"/>
                <w:sz w:val="20"/>
              </w:rPr>
              <w:t>
</w:t>
            </w:r>
            <w:r>
              <w:rPr>
                <w:rFonts w:ascii="Times New Roman"/>
                <w:b w:val="false"/>
                <w:i w:val="false"/>
                <w:color w:val="000000"/>
                <w:sz w:val="20"/>
              </w:rPr>
              <w:t>май 2015 года</w:t>
            </w:r>
          </w:p>
        </w:tc>
      </w:tr>
    </w:tbl>
    <w:bookmarkStart w:name="z9" w:id="3"/>
    <w:p>
      <w:pPr>
        <w:spacing w:after="0"/>
        <w:ind w:left="0"/>
        <w:jc w:val="both"/>
      </w:pPr>
      <w:r>
        <w:rPr>
          <w:rFonts w:ascii="Times New Roman"/>
          <w:b w:val="false"/>
          <w:i w:val="false"/>
          <w:color w:val="000000"/>
          <w:sz w:val="28"/>
        </w:rPr>
        <w:t>
Примечание: расшифровка аббревиатур:</w:t>
      </w:r>
    </w:p>
    <w:bookmarkEnd w:id="3"/>
    <w:p>
      <w:pPr>
        <w:spacing w:after="0"/>
        <w:ind w:left="0"/>
        <w:jc w:val="both"/>
      </w:pPr>
      <w:r>
        <w:rPr>
          <w:rFonts w:ascii="Times New Roman"/>
          <w:b w:val="false"/>
          <w:i w:val="false"/>
          <w:color w:val="000000"/>
          <w:sz w:val="28"/>
        </w:rPr>
        <w:t>МЭБП – Министерство экономики и бюджетного планирования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МЮ – Министерство юстиции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ГП – Генеральная прокуратура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ВС – Верховный суд Республики Казахстан</w:t>
      </w:r>
      <w:r>
        <w:br/>
      </w:r>
      <w:r>
        <w:rPr>
          <w:rFonts w:ascii="Times New Roman"/>
          <w:b w:val="false"/>
          <w:i w:val="false"/>
          <w:color w:val="000000"/>
          <w:sz w:val="28"/>
        </w:rPr>
        <w:t>
АО «ФНБ «Самрук-Казына» – акционерное общество «Фонд национального благосостояния «Самрук-Казына»</w:t>
      </w:r>
      <w:r>
        <w:br/>
      </w:r>
      <w:r>
        <w:rPr>
          <w:rFonts w:ascii="Times New Roman"/>
          <w:b w:val="false"/>
          <w:i w:val="false"/>
          <w:color w:val="000000"/>
          <w:sz w:val="28"/>
        </w:rPr>
        <w:t>
АО «НУХ «Байтерек» – акционерное общество «Национальный управляющий холдинг «Байтерек»</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СЭЗ – специальные экономические зоны</w:t>
      </w:r>
    </w:p>
    <w:bookmarkStart w:name="z10" w:id="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Комплексному плану мероприятий </w:t>
      </w:r>
      <w:r>
        <w:br/>
      </w:r>
      <w:r>
        <w:rPr>
          <w:rFonts w:ascii="Times New Roman"/>
          <w:b w:val="false"/>
          <w:i w:val="false"/>
          <w:color w:val="000000"/>
          <w:sz w:val="28"/>
        </w:rPr>
        <w:t>
по привлечению прямых иностранных и</w:t>
      </w:r>
      <w:r>
        <w:br/>
      </w:r>
      <w:r>
        <w:rPr>
          <w:rFonts w:ascii="Times New Roman"/>
          <w:b w:val="false"/>
          <w:i w:val="false"/>
          <w:color w:val="000000"/>
          <w:sz w:val="28"/>
        </w:rPr>
        <w:t xml:space="preserve">
отечественных инвестиций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3077"/>
        <w:gridCol w:w="2740"/>
        <w:gridCol w:w="3058"/>
        <w:gridCol w:w="1161"/>
        <w:gridCol w:w="1009"/>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компании</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Ответственные</w:t>
            </w:r>
            <w:r>
              <w:br/>
            </w:r>
            <w:r>
              <w:rPr>
                <w:rFonts w:ascii="Times New Roman"/>
                <w:b w:val="false"/>
                <w:i w:val="false"/>
                <w:color w:val="000000"/>
                <w:sz w:val="20"/>
              </w:rPr>
              <w:t>
</w:t>
            </w:r>
            <w:r>
              <w:rPr>
                <w:rFonts w:ascii="Times New Roman"/>
                <w:b/>
                <w:i w:val="false"/>
                <w:color w:val="000000"/>
                <w:sz w:val="20"/>
              </w:rPr>
              <w:t>государственные</w:t>
            </w:r>
            <w:r>
              <w:br/>
            </w:r>
            <w:r>
              <w:rPr>
                <w:rFonts w:ascii="Times New Roman"/>
                <w:b w:val="false"/>
                <w:i w:val="false"/>
                <w:color w:val="000000"/>
                <w:sz w:val="20"/>
              </w:rPr>
              <w:t>
</w:t>
            </w:r>
            <w:r>
              <w:rPr>
                <w:rFonts w:ascii="Times New Roman"/>
                <w:b/>
                <w:i w:val="false"/>
                <w:color w:val="000000"/>
                <w:sz w:val="20"/>
              </w:rPr>
              <w:t>органы и</w:t>
            </w:r>
            <w:r>
              <w:br/>
            </w:r>
            <w:r>
              <w:rPr>
                <w:rFonts w:ascii="Times New Roman"/>
                <w:b w:val="false"/>
                <w:i w:val="false"/>
                <w:color w:val="000000"/>
                <w:sz w:val="20"/>
              </w:rPr>
              <w:t>
</w:t>
            </w:r>
            <w:r>
              <w:rPr>
                <w:rFonts w:ascii="Times New Roman"/>
                <w:b/>
                <w:i w:val="false"/>
                <w:color w:val="000000"/>
                <w:sz w:val="20"/>
              </w:rPr>
              <w:t>организации</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Форма </w:t>
            </w:r>
            <w:r>
              <w:rPr>
                <w:rFonts w:ascii="Times New Roman"/>
                <w:b/>
                <w:i w:val="false"/>
                <w:color w:val="000000"/>
                <w:sz w:val="20"/>
              </w:rPr>
              <w:t>завер-</w:t>
            </w:r>
            <w:r>
              <w:br/>
            </w:r>
            <w:r>
              <w:rPr>
                <w:rFonts w:ascii="Times New Roman"/>
                <w:b w:val="false"/>
                <w:i w:val="false"/>
                <w:color w:val="000000"/>
                <w:sz w:val="20"/>
              </w:rPr>
              <w:t>
</w:t>
            </w:r>
            <w:r>
              <w:rPr>
                <w:rFonts w:ascii="Times New Roman"/>
                <w:b/>
                <w:i w:val="false"/>
                <w:color w:val="000000"/>
                <w:sz w:val="20"/>
              </w:rPr>
              <w:t>шения</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Сроки</w:t>
            </w:r>
            <w:r>
              <w:br/>
            </w:r>
            <w:r>
              <w:rPr>
                <w:rFonts w:ascii="Times New Roman"/>
                <w:b w:val="false"/>
                <w:i w:val="false"/>
                <w:color w:val="000000"/>
                <w:sz w:val="20"/>
              </w:rPr>
              <w:t>
</w:t>
            </w:r>
            <w:r>
              <w:rPr>
                <w:rFonts w:ascii="Times New Roman"/>
                <w:b/>
                <w:i w:val="false"/>
                <w:color w:val="000000"/>
                <w:sz w:val="20"/>
              </w:rPr>
              <w:t>реализации</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Машиностроение</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Производство сельскохозяйственной техники</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комбайны зерноуборочные, части машин для сельского хозяйства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CLAAS, Lemken (Германия), John Deere, AGCO, Case New Holland, Green Plain (США), Codaf SRL, Same Deutz Fahrу, Scarabelli Export S.R.L., Nettuno, Pedrotti s.p.a. (Италия), Myrtech, Agrokonsultos Grupe, Bauer (Чехия), Agro-Matadex. Animals. Farming. Stable Equipment, PRONAR (Польша), Yanmar, Kubota (Япония), Kverneland (Норвегия), Irrifrance (Франция), </w:t>
            </w:r>
            <w:r>
              <w:br/>
            </w:r>
            <w:r>
              <w:rPr>
                <w:rFonts w:ascii="Times New Roman"/>
                <w:b w:val="false"/>
                <w:i w:val="false"/>
                <w:color w:val="000000"/>
                <w:sz w:val="20"/>
              </w:rPr>
              <w:t>
</w:t>
            </w:r>
            <w:r>
              <w:rPr>
                <w:rFonts w:ascii="Times New Roman"/>
                <w:b w:val="false"/>
                <w:i w:val="false"/>
                <w:color w:val="000000"/>
                <w:sz w:val="20"/>
              </w:rPr>
              <w:t>Sampo Rosenlew LTD (Финляндия), Bourgault (Канада)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МИНТ,</w:t>
            </w:r>
            <w:r>
              <w:br/>
            </w:r>
            <w:r>
              <w:rPr>
                <w:rFonts w:ascii="Times New Roman"/>
                <w:b w:val="false"/>
                <w:i w:val="false"/>
                <w:color w:val="000000"/>
                <w:sz w:val="20"/>
              </w:rPr>
              <w:t>
</w:t>
            </w:r>
            <w:r>
              <w:rPr>
                <w:rFonts w:ascii="Times New Roman"/>
                <w:b w:val="false"/>
                <w:i w:val="false"/>
                <w:color w:val="000000"/>
                <w:sz w:val="20"/>
              </w:rPr>
              <w:t xml:space="preserve">АО «НУХ «Казагро»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Производство автотранспортных средств</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Запасные части, принадлежности и двигатели для автотранспортных средств</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Denso, Aisin Seiki, Komatsu Cummins, Niigata (Япония), Bosch, Hatz, MWM, Man, Mercedes Benz (Германия), Magna International, Linamar (Канада), Delphi Automotive, TRW Automotive Holdings, Kohler, Lombardini, MTU, GM (США), Valeo, Lugger, (Франция), Hyundai (Южная Корея), Lister-Petter, Perkins (Великобритания), Steyr (Австрия), Iveco (Италия), Volvo (Швеция)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 МИД, </w:t>
            </w:r>
            <w:r>
              <w:br/>
            </w:r>
            <w:r>
              <w:rPr>
                <w:rFonts w:ascii="Times New Roman"/>
                <w:b w:val="false"/>
                <w:i w:val="false"/>
                <w:color w:val="000000"/>
                <w:sz w:val="20"/>
              </w:rPr>
              <w:t>
</w:t>
            </w:r>
            <w:r>
              <w:rPr>
                <w:rFonts w:ascii="Times New Roman"/>
                <w:b w:val="false"/>
                <w:i w:val="false"/>
                <w:color w:val="000000"/>
                <w:sz w:val="20"/>
              </w:rPr>
              <w:t xml:space="preserve">АО «НК «Казахстан инжиниринг» </w:t>
            </w:r>
            <w:r>
              <w:br/>
            </w:r>
            <w:r>
              <w:rPr>
                <w:rFonts w:ascii="Times New Roman"/>
                <w:b w:val="false"/>
                <w:i w:val="false"/>
                <w:color w:val="000000"/>
                <w:sz w:val="20"/>
              </w:rPr>
              <w:t>
</w:t>
            </w:r>
            <w:r>
              <w:rPr>
                <w:rFonts w:ascii="Times New Roman"/>
                <w:b w:val="false"/>
                <w:i w:val="false"/>
                <w:color w:val="000000"/>
                <w:sz w:val="20"/>
              </w:rPr>
              <w:t xml:space="preserve">(по согласованию), НПП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Нефтедобывающее и нефтегазоперерабатывающее оборудование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машины и оборудование, турбокомпрессоры, фланцы и другие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Dando Drilling Int., Bel-valves Ltd., Amarinth (Великобритания), Breda Energia, Nuovo Pignone, Tai Milano SpA, Oms Saleri SpA, Orlandi, Walter Tosto Spa, Rosetti Marino SpA, Aturia Pompe, Cerpelli, Peroni Pompe SpA, Drilmec SpA, Tenaris (Италия) и/или Vallourec, Delaunay et Fils, Areva (Франция), Itochu Corporation, Mitsui (Япония), Petrovalve, GE, Triqua BV, Framo, CAT Pumps, Vermeer, National Oilwell Varco (США), Siemens, Man-Turbo, Steinweg-Bцcker (Германия), Arc Energy Resources Ltd (Канада), Sandvik Mining And Construction Finland Corp (Финляндия)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МНГ, </w:t>
            </w:r>
            <w:r>
              <w:br/>
            </w:r>
            <w:r>
              <w:rPr>
                <w:rFonts w:ascii="Times New Roman"/>
                <w:b w:val="false"/>
                <w:i w:val="false"/>
                <w:color w:val="000000"/>
                <w:sz w:val="20"/>
              </w:rPr>
              <w:t>
</w:t>
            </w:r>
            <w:r>
              <w:rPr>
                <w:rFonts w:ascii="Times New Roman"/>
                <w:b w:val="false"/>
                <w:i w:val="false"/>
                <w:color w:val="000000"/>
                <w:sz w:val="20"/>
              </w:rPr>
              <w:t xml:space="preserve">АО «НК «КМГ» (по согласованию), АО «НК «Казахстан инжиниринг»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Горнорудное оборудование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полноповоротные, погрузчики одноковшовые, бурильные или проходческие машины и запасные части к ним, части оборудования для сортировки, промывки, измельчения, размалывания, смешивания или перемешивания грунта, камня, руд и других минеральных ископаемых, автомобили самосвалы, машины для дробления и измельчения, бульдозеры, лопаты механические, экскаваторы и одноковшовые погрузчики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Sany Heavy Industry (Китай), Hyundai Heavy Industries, POSCO (Южная Корея), Weir Minerals (Великобритания), Toyota Tshusho Corporation, Mitsui Corporation (Япония)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p>
          <w:p>
            <w:pPr>
              <w:spacing w:after="20"/>
              <w:ind w:left="20"/>
              <w:jc w:val="both"/>
            </w:pP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 АО «НГК «Казгеология» (по согласованию), АО «НК «Казахстан инжиниринг»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Производство железнодорожной техники</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Вагоны грузовые и пассажирские, запасные части, принадлежности и двигатели для железнодорожной техники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Alstom (Франция), SIEMENS, Knorr-Bremse, Zemag (Германия), Mitsui (Япония), LG (Южная Корея), Talgo (Испания), Bombardier (Канада), General Electric (США)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 «НК «КТЖ»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Электротехническое машиностроение</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Трансформаторы, холодильное и морозильное оборудование, тепловые насосы, двигатели, установки электрогенераторные, пульты, панели, консоли, столы, распределительные щиты и основания для электрической аппаратуры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Schneider Electric, LeGrand (Франция), Emerson Electric Manufacturing Co., Pall Corporation (США), FujiElectric, Sumitomo Electric Industries, Nidec, Furukawa Electric (Япония), Prysmian (Италия), Rainer Lammertz, Bosch (Германия), LSCorp (Южная Корея), Dongfang Electric Corporation (Китай)</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МИД, АО «НК «Казахстан инжиниринг»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Химическая промышленность</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Неорганические кислоты, щелочи и основания; продукты переработки фосфора; минеральные удобрения; пестициды; материалы смазочные; жидкости тормозные; гидравлические антифризы и антиобледенители; взрывчатые вещества; промышленные газы шины; резинотехническая продукция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OxyChem, UOP Honeywell company, Dow Chemicals, Hill Corp., Lummus Technology, Mosaic (США), Kemira, Tikkurila (Финляндия), Evonik Industries, BASF (Германия), Solvay (Бельгия), Areva (Франция), AkzoNobel, Orica (Австралия), Maksam (Испания), Asahi Kasei Corporation (Япония), Plenum L.L.C. (ОАЭ), LG Chem (Южная Корея), Yara Int. (Норвегия), Agrium, PotashCorp (Канада)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 МИД, МСХ, </w:t>
            </w:r>
            <w:r>
              <w:br/>
            </w:r>
            <w:r>
              <w:rPr>
                <w:rFonts w:ascii="Times New Roman"/>
                <w:b w:val="false"/>
                <w:i w:val="false"/>
                <w:color w:val="000000"/>
                <w:sz w:val="20"/>
              </w:rPr>
              <w:t>
</w:t>
            </w:r>
            <w:r>
              <w:rPr>
                <w:rFonts w:ascii="Times New Roman"/>
                <w:b w:val="false"/>
                <w:i w:val="false"/>
                <w:color w:val="000000"/>
                <w:sz w:val="20"/>
              </w:rPr>
              <w:t>ТОО «ОХК»</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Производство строительных материалов</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Плитка керамическая, кирпичи огнеупорные, стекло листовое, теплоизоляционные материалы, мрамор, травертин, материалы кровель-битумные и гибкая черепица, сантехкерамика, обогащение глины для производства плитки, сантехкерамики, производство стеклотары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«Lasselsberger, a. s.» (Чехия), Emil Ceramika Ideal Standard International, Ceramicas Gala S.A. (Италия), POSCO Chemtech, STX Offshore &amp; Shipbuilding (Южная Корея), SiseCam Group, Yontem Yapi, Nursoy Group, Turk Mall (Турция), URSA (Испания), Технониколь (Россия), Saint-Gobain (Франция), Rockwool (Дания), O-I (США), Ardagh Glass, Universal Wood Products (Великобритания), AEDAS (Гонконг), SekisuiSPR (Япония)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МИНТ, НПП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Металлургический комплекс</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Трубы, профили полые бесшовные из стали, фитинги для труб стальные, не литые, проволока, стержни и прутки горячекатаные; профили из стали нержавеющей, профили сварные и конструкции шпунтовые из стали и изделия из черных металлов для железнодорожных путей, ковши, грейферы, части для бурильных машин, трубы и трубки медные, проволока медная, прутки и профили медные, плиты, листы и полосы или ленты медные, прутки и профили алюминиевые, металлоконструкции алюминиевые, бочки, барабаны, банки, ящики и аналогичные емкости</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Viega GmbH, ESF Elbe-Stahlwerk Feralpi GmbH, Lech Stahlwerke, ThyssenKrupp, Vossloh Group, DEB Deutsche Erze Beteiligungs AG, H.C. Starck GmbH, K&amp;K Natural Resources GmbH (Германия), Kofulso Co., Hyunwoo Central Asia, POSCO, KORES </w:t>
            </w:r>
            <w:r>
              <w:br/>
            </w:r>
            <w:r>
              <w:rPr>
                <w:rFonts w:ascii="Times New Roman"/>
                <w:b w:val="false"/>
                <w:i w:val="false"/>
                <w:color w:val="000000"/>
                <w:sz w:val="20"/>
              </w:rPr>
              <w:t>
</w:t>
            </w:r>
            <w:r>
              <w:rPr>
                <w:rFonts w:ascii="Times New Roman"/>
                <w:b w:val="false"/>
                <w:i w:val="false"/>
                <w:color w:val="000000"/>
                <w:sz w:val="20"/>
              </w:rPr>
              <w:t>(Южная Корея), Rio Tinto, Anglo American (Великобритания), Itochu Corporation, Chiyoda Corporation (Япония), Duhlia Mutiara Sdn Bhd, Melewar Industrial Group Berhad (Малайзия), SUN Group (Индия), Vallourec (Франция), Keppel Offshore &amp; Marine Limited (Сингапур), Noksel (Турция), Hebei Iron and Steel (Китай), Gruppo, Riva, Alcoa (США), Gerdau (Бразилия), Codelco (Чили), BHP Billiton (Австралия), Xstra Plc (Швейцария), Alcan Aluminum (Канада), Emirates Global Aluminum (ОАЭ), Qatar Mining (Катар)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МИНТ, МИД, НПП, АО «НГК «Тау-Кен Самрук» </w:t>
            </w:r>
            <w:r>
              <w:br/>
            </w:r>
            <w:r>
              <w:rPr>
                <w:rFonts w:ascii="Times New Roman"/>
                <w:b w:val="false"/>
                <w:i w:val="false"/>
                <w:color w:val="000000"/>
                <w:sz w:val="20"/>
              </w:rPr>
              <w:t>
</w:t>
            </w:r>
            <w:r>
              <w:rPr>
                <w:rFonts w:ascii="Times New Roman"/>
                <w:b w:val="false"/>
                <w:i w:val="false"/>
                <w:color w:val="000000"/>
                <w:sz w:val="20"/>
              </w:rPr>
              <w:t xml:space="preserve">(по согласованию), АО «НГК «Казгеология» (по согласованию), АО «НК «Казахстан инжиниринг»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Пищевая промышленность</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фрукты, орехи, грибы и трюфеля, соки фруктовые и овощные, консервированные продукты, джемы, желе фруктовое, мармелады, пюре фруктовое или ореховое, паста фруктовая или ореховая, полученные путем тепловой обработки, жиры и масла, молочные продукты, крупы, мучные, макаронные и кондитерские изделия, мясная продукция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Anadolu Efes (Coca-Cola), Okan Holding (Турция), Lotte Group (Южная Корея), Danone (Франция), Lorenz GmbH (Германия), Global Beef, Cokey Systems Corporation, Feerum S.A., UNO Corporation (США), National Feedlot Corporation (NFC) (Малайзия), Americana Group (Кувейт), Indofood (Индонезия), Go on Group (Германия), Cairo Poultry Company (Египет)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МИНТ, МИД, </w:t>
            </w:r>
            <w:r>
              <w:br/>
            </w:r>
            <w:r>
              <w:rPr>
                <w:rFonts w:ascii="Times New Roman"/>
                <w:b w:val="false"/>
                <w:i w:val="false"/>
                <w:color w:val="000000"/>
                <w:sz w:val="20"/>
              </w:rPr>
              <w:t>
</w:t>
            </w:r>
            <w:r>
              <w:rPr>
                <w:rFonts w:ascii="Times New Roman"/>
                <w:b w:val="false"/>
                <w:i w:val="false"/>
                <w:color w:val="000000"/>
                <w:sz w:val="20"/>
              </w:rPr>
              <w:t xml:space="preserve">АО «НУХ «Казагро»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Нефтехимическая промышленность</w:t>
            </w:r>
            <w:r>
              <w:br/>
            </w:r>
            <w:r>
              <w:rPr>
                <w:rFonts w:ascii="Times New Roman"/>
                <w:b w:val="false"/>
                <w:i w:val="false"/>
                <w:color w:val="000000"/>
                <w:sz w:val="20"/>
              </w:rPr>
              <w:t>
</w:t>
            </w:r>
            <w:r>
              <w:rPr>
                <w:rFonts w:ascii="Times New Roman"/>
                <w:b w:val="false"/>
                <w:i w:val="false"/>
                <w:color w:val="000000"/>
                <w:sz w:val="20"/>
              </w:rPr>
              <w:t>(нефтегазодобыча, нефтегазопереработка и нефтехимия)</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Ациклические углеводороды (этилен, пропилен, бутен), циклические углеводороды (стирол, кумол, ксилол), полиэтилентерефталат; ароматические углеводороды (бензол, параксилол), полимеры в первичных формах (полипропилен, полиэтилен, полибутадиен), искусственные волокна, каучук синтетический</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BASF, Lanxess (Германия), Dow Chemicals, ExxonMobil Chemical, Hilex Poly (США), Lyondell Basell (Нидерланды), Nissei Plastic, Asahi Kasei (Япония), Sinopec (Китай), Michelin (Франция), Synthos SA (Польша)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 xml:space="preserve">2. Проработать вопрос предоставления новых стимулов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МНГ, МИНТ, МИД, </w:t>
            </w:r>
            <w:r>
              <w:br/>
            </w:r>
            <w:r>
              <w:rPr>
                <w:rFonts w:ascii="Times New Roman"/>
                <w:b w:val="false"/>
                <w:i w:val="false"/>
                <w:color w:val="000000"/>
                <w:sz w:val="20"/>
              </w:rPr>
              <w:t>
</w:t>
            </w:r>
            <w:r>
              <w:rPr>
                <w:rFonts w:ascii="Times New Roman"/>
                <w:b w:val="false"/>
                <w:i w:val="false"/>
                <w:color w:val="000000"/>
                <w:sz w:val="20"/>
              </w:rPr>
              <w:t xml:space="preserve">АО «НК «КМГ» (по согласованию), ТОО «ОХК»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Фармацевтическая промышленность, производство медицинского оборудования</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Оригинальные и дженериковые препараты,медицинское оборудование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 Schumacher (Германия), Polpharma (Польша), Pfizer (США), Gesan Production (Италия), Sanofi (Франция), Shimadzu Corporation (Япония)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МИНТ, </w:t>
            </w:r>
            <w:r>
              <w:rPr>
                <w:rFonts w:ascii="Times New Roman"/>
                <w:b w:val="false"/>
                <w:i w:val="false"/>
                <w:color w:val="000000"/>
                <w:sz w:val="20"/>
              </w:rPr>
              <w:t xml:space="preserve">ТОО «СК-Фармация» </w:t>
            </w:r>
            <w:r>
              <w:rPr>
                <w:rFonts w:ascii="Times New Roman"/>
                <w:b w:val="false"/>
                <w:i w:val="false"/>
                <w:color w:val="000000"/>
                <w:sz w:val="20"/>
              </w:rPr>
              <w:t>(по согласованию), АО «Казмедтех» (по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 и логистика</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Транспортная, городская, логистическая и портовая инфраструктура, автомагистрали, логистические центры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Vinci Construction, BUSS Group, Optima Toll, Intelligent Audit, US Logistics, The Logistics Store, Target Freight, Management, First Flight Solutions, Whitacre Logistics, iDrive Logistics, FreightPros, ODW Logistics &amp; Transportation Services, Farm2Fleet Trucking, ATDynamics, Load Delivered Logistics Ecogistics</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МТК, МРР, </w:t>
            </w:r>
            <w:r>
              <w:br/>
            </w:r>
            <w:r>
              <w:rPr>
                <w:rFonts w:ascii="Times New Roman"/>
                <w:b w:val="false"/>
                <w:i w:val="false"/>
                <w:color w:val="000000"/>
                <w:sz w:val="20"/>
              </w:rPr>
              <w:t>
</w:t>
            </w:r>
            <w:r>
              <w:rPr>
                <w:rFonts w:ascii="Times New Roman"/>
                <w:b w:val="false"/>
                <w:i w:val="false"/>
                <w:color w:val="000000"/>
                <w:sz w:val="20"/>
              </w:rPr>
              <w:t xml:space="preserve">АО «НК «КТЖ» </w:t>
            </w:r>
            <w:r>
              <w:br/>
            </w:r>
            <w:r>
              <w:rPr>
                <w:rFonts w:ascii="Times New Roman"/>
                <w:b w:val="false"/>
                <w:i w:val="false"/>
                <w:color w:val="000000"/>
                <w:sz w:val="20"/>
              </w:rPr>
              <w:t>
</w:t>
            </w:r>
            <w:r>
              <w:rPr>
                <w:rFonts w:ascii="Times New Roman"/>
                <w:b w:val="false"/>
                <w:i w:val="false"/>
                <w:color w:val="000000"/>
                <w:sz w:val="20"/>
              </w:rPr>
              <w:t xml:space="preserve">(по согласованию), АО «НК «КазАвтоЖол» (по согласованию), АО «КЦГЧП»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Информационные технологии</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 по управлению активами, облачные и мобильные приложения, информационные базы данных (big data)</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Hewlett-Packard Company (HP), IBM, Сisco, Microsoft, Google, Qualcomm, Intel Orbitz, Samsung Electronics, Hitachi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Проработать перспективы сотрудничества</w:t>
            </w:r>
            <w:r>
              <w:br/>
            </w:r>
            <w:r>
              <w:rPr>
                <w:rFonts w:ascii="Times New Roman"/>
                <w:b w:val="false"/>
                <w:i w:val="false"/>
                <w:color w:val="000000"/>
                <w:sz w:val="20"/>
              </w:rPr>
              <w:t>
</w:t>
            </w:r>
            <w:r>
              <w:rPr>
                <w:rFonts w:ascii="Times New Roman"/>
                <w:b w:val="false"/>
                <w:i w:val="false"/>
                <w:color w:val="000000"/>
                <w:sz w:val="20"/>
              </w:rPr>
              <w:t>2. Проработать вопрос предоставления новых стимулов</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АСИ, АО «Казахтелеком» (по согласованию), АО «НИТ» </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декабря 2014 года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