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fd1a" w14:textId="8ddf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наблюдательных советов в некоторые республиканские государственные предприятия на праве хозяйственного ведения</w:t>
      </w:r>
    </w:p>
    <w:p>
      <w:pPr>
        <w:spacing w:after="0"/>
        <w:ind w:left="0"/>
        <w:jc w:val="both"/>
      </w:pPr>
      <w:r>
        <w:rPr>
          <w:rFonts w:ascii="Times New Roman"/>
          <w:b w:val="false"/>
          <w:i w:val="false"/>
          <w:color w:val="000000"/>
          <w:sz w:val="28"/>
        </w:rPr>
        <w:t>Постановление Правительства Республики Казахстан от 21 мая 2014 года № 522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статьями 142</w:t>
      </w:r>
      <w:r>
        <w:rPr>
          <w:rFonts w:ascii="Times New Roman"/>
          <w:b w:val="false"/>
          <w:i w:val="false"/>
          <w:color w:val="000000"/>
          <w:sz w:val="28"/>
        </w:rPr>
        <w:t>, </w:t>
      </w:r>
      <w:r>
        <w:rPr>
          <w:rFonts w:ascii="Times New Roman"/>
          <w:b w:val="false"/>
          <w:i w:val="false"/>
          <w:color w:val="000000"/>
          <w:sz w:val="28"/>
        </w:rPr>
        <w:t>148</w:t>
      </w:r>
      <w:r>
        <w:rPr>
          <w:rFonts w:ascii="Times New Roman"/>
          <w:b w:val="false"/>
          <w:i w:val="false"/>
          <w:color w:val="000000"/>
          <w:sz w:val="28"/>
        </w:rPr>
        <w:t xml:space="preserve">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Ввести в республиканские государственные предприятия на праве хозяйственного ведения «Казахский национальный технический университет имени К.И. Сатпаева», «Актюбинский региональный государственный университет имени К. Жубанова», «Таразский государственный университет имени М.Х. Дулати», «Карагандинский государственный университет имени академика Е.А. Букетова», «Карагандинский государственный технический университет», «Южно-Казахстанский государственный университет имени М.О. Ауэзова» Министерства образования и науки Республики Казахстан (далее - предприятия) орган предприятия - наблюдательный совет.</w:t>
      </w:r>
      <w:r>
        <w:br/>
      </w:r>
      <w:r>
        <w:rPr>
          <w:rFonts w:ascii="Times New Roman"/>
          <w:b w:val="false"/>
          <w:i w:val="false"/>
          <w:color w:val="000000"/>
          <w:sz w:val="28"/>
        </w:rPr>
        <w:t>
</w:t>
      </w:r>
      <w:r>
        <w:rPr>
          <w:rFonts w:ascii="Times New Roman"/>
          <w:b w:val="false"/>
          <w:i w:val="false"/>
          <w:color w:val="000000"/>
          <w:sz w:val="28"/>
        </w:rPr>
        <w:t>
      2.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w:t>
      </w:r>
      <w:r>
        <w:br/>
      </w:r>
      <w:r>
        <w:rPr>
          <w:rFonts w:ascii="Times New Roman"/>
          <w:b w:val="false"/>
          <w:i w:val="false"/>
          <w:color w:val="000000"/>
          <w:sz w:val="28"/>
        </w:rPr>
        <w:t xml:space="preserve">
      1) внесение соответствующих изменений в уставы предприятий; </w:t>
      </w:r>
      <w:r>
        <w:br/>
      </w:r>
      <w:r>
        <w:rPr>
          <w:rFonts w:ascii="Times New Roman"/>
          <w:b w:val="false"/>
          <w:i w:val="false"/>
          <w:color w:val="000000"/>
          <w:sz w:val="28"/>
        </w:rPr>
        <w:t xml:space="preserve">
      2) принятие иных мер по реализации настоящего постановления.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