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7636" w14:textId="1df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19 мая 2014 года № 506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займе (Проект институционального</w:t>
      </w:r>
      <w:r>
        <w:br/>
      </w:r>
      <w:r>
        <w:rPr>
          <w:rFonts w:ascii="Times New Roman"/>
          <w:b/>
          <w:i w:val="false"/>
          <w:color w:val="000000"/>
        </w:rPr>
        <w:t>
укрепления сектора правосудия)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xml:space="preserve">      Ратифицировать Соглашение о займе (Проект институционального укрепления сектора правосудия) между Республикой Казахстан и Международным Банком Реконструкции и Развития, совершенное 29 апреля 2014 года в Астане.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00"/>
          <w:sz w:val="28"/>
        </w:rPr>
        <w:t>ЗАЕМ № 8361-KZ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институционального укрепления сектора правосудия)</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Дата 29 апреля 2014 года</w:t>
      </w:r>
      <w:r>
        <w:br/>
      </w:r>
      <w:r>
        <w:rPr>
          <w:rFonts w:ascii="Times New Roman"/>
          <w:b/>
          <w:i w:val="false"/>
          <w:color w:val="000000"/>
        </w:rPr>
        <w:t>
НОМЕР ЗАЙМА 8361-KZ</w:t>
      </w:r>
      <w:r>
        <w:br/>
      </w:r>
      <w:r>
        <w:rPr>
          <w:rFonts w:ascii="Times New Roman"/>
          <w:b/>
          <w:i w:val="false"/>
          <w:color w:val="000000"/>
        </w:rPr>
        <w:t>
СОГЛАШЕНИЕ О ЗАЙМЕ</w:t>
      </w:r>
    </w:p>
    <w:p>
      <w:pPr>
        <w:spacing w:after="0"/>
        <w:ind w:left="0"/>
        <w:jc w:val="both"/>
      </w:pPr>
      <w:r>
        <w:rPr>
          <w:rFonts w:ascii="Times New Roman"/>
          <w:b w:val="false"/>
          <w:i w:val="false"/>
          <w:color w:val="000000"/>
          <w:sz w:val="28"/>
        </w:rPr>
        <w:t>      Соглашение от 29 апреля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тридцати шести миллионам долларов США (36 000 000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Дополнения 2 к настоящему Соглашению.</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(60) дней после даты вступления настоящего Соглашения в силу.</w:t>
      </w:r>
      <w:r>
        <w:br/>
      </w:r>
      <w:r>
        <w:rPr>
          <w:rFonts w:ascii="Times New Roman"/>
          <w:b w:val="false"/>
          <w:i w:val="false"/>
          <w:color w:val="000000"/>
          <w:sz w:val="28"/>
        </w:rPr>
        <w:t>
      2.04.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спред;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2.06.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2.07. (a) Заемщик может в любое время запросить произвести любое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реализует Проект через Министерство юстиции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обеспечивает реализацию Проекта в соответствии с положениями Дополнения 2 к настоящему Соглашению.</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(a) Министерство юстиции сформирует ГРП с техническим заданием, персоналом и ресурсами, удовлетворительными для Банка;</w:t>
      </w:r>
      <w:r>
        <w:br/>
      </w:r>
      <w:r>
        <w:rPr>
          <w:rFonts w:ascii="Times New Roman"/>
          <w:b w:val="false"/>
          <w:i w:val="false"/>
          <w:color w:val="000000"/>
          <w:sz w:val="28"/>
        </w:rPr>
        <w:t>
      (b) Заемщик через Министерство юстиции отберет Группу по поддержке реализации, которая войдет в состав ГРП; и</w:t>
      </w:r>
      <w:r>
        <w:br/>
      </w:r>
      <w:r>
        <w:rPr>
          <w:rFonts w:ascii="Times New Roman"/>
          <w:b w:val="false"/>
          <w:i w:val="false"/>
          <w:color w:val="000000"/>
          <w:sz w:val="28"/>
        </w:rPr>
        <w:t>
      (c) Заемщик через Министерство юстиции примет Руководство по реализации проекта, которое по форме и по сути является удовлетворительным для Банка.</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Телекс:                   Факс: </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xml:space="preserve">      5.03. Адрес Банка: </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xml:space="preserve">
      Улица 1818 H, N.W.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Астане, Республика Казахстан, в день и год, указанные выше.</w:t>
      </w:r>
    </w:p>
    <w:p>
      <w:pPr>
        <w:spacing w:after="0"/>
        <w:ind w:left="0"/>
        <w:jc w:val="both"/>
      </w:pPr>
      <w:r>
        <w:rPr>
          <w:rFonts w:ascii="Times New Roman"/>
          <w:b/>
          <w:i w:val="false"/>
          <w:color w:val="000000"/>
          <w:sz w:val="28"/>
        </w:rPr>
        <w:t>За РЕСПУБЛИКУ КАЗАХСТАН</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 xml:space="preserve">Ф.И.О.: Бахыт Султанов       </w:t>
      </w:r>
    </w:p>
    <w:p>
      <w:pPr>
        <w:spacing w:after="0"/>
        <w:ind w:left="0"/>
        <w:jc w:val="both"/>
      </w:pPr>
      <w:r>
        <w:rPr>
          <w:rFonts w:ascii="Times New Roman"/>
          <w:b/>
          <w:i w:val="false"/>
          <w:color w:val="000000"/>
          <w:sz w:val="28"/>
        </w:rPr>
        <w:t>Должность: Заместитель Премьер-</w:t>
      </w:r>
      <w:r>
        <w:br/>
      </w:r>
      <w:r>
        <w:rPr>
          <w:rFonts w:ascii="Times New Roman"/>
          <w:b w:val="false"/>
          <w:i w:val="false"/>
          <w:color w:val="000000"/>
          <w:sz w:val="28"/>
        </w:rPr>
        <w:t>
</w:t>
      </w:r>
      <w:r>
        <w:rPr>
          <w:rFonts w:ascii="Times New Roman"/>
          <w:b/>
          <w:i w:val="false"/>
          <w:color w:val="000000"/>
          <w:sz w:val="28"/>
        </w:rPr>
        <w:t xml:space="preserve">Министра </w:t>
      </w:r>
      <w:r>
        <w:rPr>
          <w:rFonts w:ascii="Times New Roman"/>
          <w:b w:val="false"/>
          <w:i w:val="false"/>
          <w:color w:val="000000"/>
          <w:sz w:val="28"/>
        </w:rPr>
        <w:t>–</w:t>
      </w:r>
      <w:r>
        <w:rPr>
          <w:rFonts w:ascii="Times New Roman"/>
          <w:b/>
          <w:i w:val="false"/>
          <w:color w:val="000000"/>
          <w:sz w:val="28"/>
        </w:rPr>
        <w:t xml:space="preserve"> Министр финансов</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p>
    <w:p>
      <w:pPr>
        <w:spacing w:after="0"/>
        <w:ind w:left="0"/>
        <w:jc w:val="both"/>
      </w:pPr>
      <w:r>
        <w:rPr>
          <w:rFonts w:ascii="Times New Roman"/>
          <w:b/>
          <w:i w:val="false"/>
          <w:color w:val="000000"/>
          <w:sz w:val="28"/>
        </w:rPr>
        <w:t xml:space="preserve">Кем:                          </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 xml:space="preserve">Уполномоченный представитель </w:t>
      </w:r>
    </w:p>
    <w:p>
      <w:pPr>
        <w:spacing w:after="0"/>
        <w:ind w:left="0"/>
        <w:jc w:val="both"/>
      </w:pPr>
      <w:r>
        <w:rPr>
          <w:rFonts w:ascii="Times New Roman"/>
          <w:b/>
          <w:i w:val="false"/>
          <w:color w:val="000000"/>
          <w:sz w:val="28"/>
        </w:rPr>
        <w:t xml:space="preserve">Ф.И.О.: Шебнем Аккая          </w:t>
      </w:r>
    </w:p>
    <w:p>
      <w:pPr>
        <w:spacing w:after="0"/>
        <w:ind w:left="0"/>
        <w:jc w:val="both"/>
      </w:pPr>
      <w:r>
        <w:rPr>
          <w:rFonts w:ascii="Times New Roman"/>
          <w:b/>
          <w:i w:val="false"/>
          <w:color w:val="000000"/>
          <w:sz w:val="28"/>
        </w:rPr>
        <w:t>Должность: Постоянный представитель</w:t>
      </w:r>
    </w:p>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Цели Проекта заключаются в: (a) повышении институциональных возможностей отобранных учреждений для эффективной реализации отобранных законов и (b) повышении эффективности, прозрачности и доступа к отобранным государственным услугам в секторе правосудия.</w:t>
      </w:r>
    </w:p>
    <w:p>
      <w:pPr>
        <w:spacing w:after="0"/>
        <w:ind w:left="0"/>
        <w:jc w:val="both"/>
      </w:pPr>
      <w:r>
        <w:rPr>
          <w:rFonts w:ascii="Times New Roman"/>
          <w:b w:val="false"/>
          <w:i w:val="false"/>
          <w:color w:val="000000"/>
          <w:sz w:val="28"/>
        </w:rPr>
        <w:t xml:space="preserve">      Проект состоит из следующих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A. Укрепление реализации ключевых элементов правовой и институциональной базы</w:t>
      </w:r>
    </w:p>
    <w:p>
      <w:pPr>
        <w:spacing w:after="0"/>
        <w:ind w:left="0"/>
        <w:jc w:val="both"/>
      </w:pPr>
      <w:r>
        <w:rPr>
          <w:rFonts w:ascii="Times New Roman"/>
          <w:b w:val="false"/>
          <w:i w:val="false"/>
          <w:color w:val="000000"/>
          <w:sz w:val="28"/>
        </w:rPr>
        <w:t>      1. Оказание консультационных услуг и проведение обучения для укрепления институциональных возможностей Министерства юстиции и других отобранных учреждений, в компетенцию которых входит исполнение государственных функций по проекту Предпринимательского кодекса, Кодексу об административных правонарушениях и Уголовно-исполнительному кодексу, включая, но не ограничиваясь: (a) проведением регуляторных оценок и оценок воздействия; (b) семинарами, обучением, организацией фокус-групп и проведением опросов пользователей, а также других коммуникационных и пропагандистских мероприятий для широких консультаций по вопросам применения Кодексов; и (c) разработкой систем мониторинга и оценки для измерения эффективности Кодексов.</w:t>
      </w:r>
      <w:r>
        <w:br/>
      </w:r>
      <w:r>
        <w:rPr>
          <w:rFonts w:ascii="Times New Roman"/>
          <w:b w:val="false"/>
          <w:i w:val="false"/>
          <w:color w:val="000000"/>
          <w:sz w:val="28"/>
        </w:rPr>
        <w:t>
      2. Оказание консультационных услуг, проведение обучения и предоставление товаров для поддержки отобранных учреждений при разработке нового предлагаемого закона о саморегулируемых профессиональных организациях, а также соответствующих подзаконных актов, включая, но не ограничиваясь: (a) организацией семинаров и обучения по разработке проектов нормативных документов, (b) проведением регуляторных оценок и оценок воздействия; (c) организацией фокус-групп и проведением опросов пользователей и других коммуникационных и пропагандистских мероприятий для широких консультаций по разработке предлагаемого закона и подзаконных актов; и (d) разработкой систем мониторинга и оценки для измерения эффективности предлагаемого закона и подзаконных актов после их принятия.</w:t>
      </w:r>
      <w:r>
        <w:br/>
      </w:r>
      <w:r>
        <w:rPr>
          <w:rFonts w:ascii="Times New Roman"/>
          <w:b w:val="false"/>
          <w:i w:val="false"/>
          <w:color w:val="000000"/>
          <w:sz w:val="28"/>
        </w:rPr>
        <w:t>
      3. Оказание консультационных услуг, проведение обучения и предоставление товаров Министерству юстиции и другим отобранным учреждениям для совершенствования законотворческой работы, процессов и возможностей Заемщика, включая: (a) процессы координации и консультаций между соответствующими государственными органами Заемщика, (b) механизмы обратной связи для оценки качества законотворчества и (c) меры по повышению прозрачности и укреплению базы знаний для законотворчества, включая создание и поддержку законотворческого интернет-портала для Министерства юстиции и других отобранных учреждений Заемщика.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В. Повышение качества услуг и оперативности Министерства юстиции</w:t>
      </w:r>
    </w:p>
    <w:p>
      <w:pPr>
        <w:spacing w:after="0"/>
        <w:ind w:left="0"/>
        <w:jc w:val="both"/>
      </w:pPr>
      <w:r>
        <w:rPr>
          <w:rFonts w:ascii="Times New Roman"/>
          <w:b w:val="false"/>
          <w:i w:val="false"/>
          <w:color w:val="000000"/>
          <w:sz w:val="28"/>
        </w:rPr>
        <w:t xml:space="preserve">      1. Оказание консультационных услуг, проведение обучения и предоставление товаров Министерству юстиции для повышения его возможностей, включая, но не ограничиваясь: (a) проведением периодических институциональных самооценок; (b) проведением ежегодных опросов общественного мнения для оценки общественного доверия к Министерству юстиции и другим органам правовой системы Заемщика, отобранным в соответствии с критериями, сформулированными в Руководстве по реализации проекта; (c) разработкой и внедрением комплексных механизмов и индикаторов мониторинга эффективности, а также сбором результатов и подготовкой отчетности; (d) разработкой комплексной стратегии коммуникации и развития возможностей; (e) разработкой и реализацией операционной дорожной карты Министерства юстиции; и (f) разработкой систем мониторинга и оценки. </w:t>
      </w:r>
      <w:r>
        <w:br/>
      </w:r>
      <w:r>
        <w:rPr>
          <w:rFonts w:ascii="Times New Roman"/>
          <w:b w:val="false"/>
          <w:i w:val="false"/>
          <w:color w:val="000000"/>
          <w:sz w:val="28"/>
        </w:rPr>
        <w:t>
      2. Оказание консультационных услуг, проведение обучения и предоставление товаров Министерству юстиции с целью совершенствования: (a) исполнения судебных решений судов Заемщика, (b) проведения опросов и оценок эффективности и прозрачности при исполнении судебных решений, (c) разработки систем мониторинга и оценки для сравнения лучшей международной практики с практикой правоприменения Заемщика; (d) разработки и экспериментальной реализации среднесрочной стратегии модернизации и инвестирования в информационные системы; и (e) возможностей судебно-экспертной деятельности.</w:t>
      </w:r>
      <w:r>
        <w:br/>
      </w:r>
      <w:r>
        <w:rPr>
          <w:rFonts w:ascii="Times New Roman"/>
          <w:b w:val="false"/>
          <w:i w:val="false"/>
          <w:color w:val="000000"/>
          <w:sz w:val="28"/>
        </w:rPr>
        <w:t>
      3. Оказание консультационных услуг, проведение обучения и предоставление товаров для совершенствования государственных услуг по регистрации Министерства юстиции Заемщика через, включая, но не ограничиваясь: (а) проведение институциональных оценок и диагностики, а также поддержку в применении результатов данных оценок и диагностики, (b) поддержку применения индикаторов эффективности, (c) проведение мероприятий по повышению качества данных и информации в базах данных по регистрации недвижимости и (d) поддержку ускоренного перевода документов учета с бумажного в электронный формат.</w:t>
      </w:r>
      <w:r>
        <w:br/>
      </w:r>
      <w:r>
        <w:rPr>
          <w:rFonts w:ascii="Times New Roman"/>
          <w:b w:val="false"/>
          <w:i w:val="false"/>
          <w:color w:val="000000"/>
          <w:sz w:val="28"/>
        </w:rPr>
        <w:t>
      4. Оказание консультационных услуг и предоставление товаров Министерству юстиции для совершенствования доступа к правовой помощи через,</w:t>
      </w:r>
      <w:r>
        <w:rPr>
          <w:rFonts w:ascii="Times New Roman"/>
          <w:b w:val="false"/>
          <w:i/>
          <w:color w:val="000000"/>
          <w:sz w:val="28"/>
        </w:rPr>
        <w:t xml:space="preserve"> среди прочего</w:t>
      </w:r>
      <w:r>
        <w:rPr>
          <w:rFonts w:ascii="Times New Roman"/>
          <w:b w:val="false"/>
          <w:i w:val="false"/>
          <w:color w:val="000000"/>
          <w:sz w:val="28"/>
        </w:rPr>
        <w:t>: (a) проведение семинаров и обучения по применению закона о бесплатной правовой помощи; (b) использование экспериментальных инновационных, с участием заинтересованных сторон, более эффективных методов оказания правовой помощи и разработки необходимых поправок и обеспечивающих его реализацию подзаконных актов; (c) разработку и обеспечение работы интернет-портала правовой помощи; (d) получение и публикацию комментариев пользователей, поставщиков и других заинтересованных сторон; (e) проведение анализа оказания услуг адвокатами и нотариусами; (f) проведение обзора политики и оценки финансового воздействия (g) проведение анализа гендерных проблем при предоставлении бесплатной правовой помощи и доступа к ней и подготовки поэтапной стратегии решения ключевых гендерных проблем по оказанию помощи с указанием расходов, а также поддержки реализации стратегии.</w:t>
      </w:r>
      <w:r>
        <w:br/>
      </w:r>
      <w:r>
        <w:rPr>
          <w:rFonts w:ascii="Times New Roman"/>
          <w:b w:val="false"/>
          <w:i w:val="false"/>
          <w:color w:val="000000"/>
          <w:sz w:val="28"/>
        </w:rPr>
        <w:t>
      5. Оказание консультационных услуг отобранным учреждениям по разработке: (a) стратегии содействия социально-экономической реинтеграции бывших правонарушителей, включая посредством предоставления возможностей трудоустройства; и (b) технических спецификаций для пенитенциарной информационной системы с целью улучшения связи с судами и отобранными учреждениями для более эффективного рассмотрения дел.</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C. Повышение эффективности и профессионализма судей</w:t>
      </w:r>
    </w:p>
    <w:p>
      <w:pPr>
        <w:spacing w:after="0"/>
        <w:ind w:left="0"/>
        <w:jc w:val="both"/>
      </w:pPr>
      <w:r>
        <w:rPr>
          <w:rFonts w:ascii="Times New Roman"/>
          <w:b w:val="false"/>
          <w:i w:val="false"/>
          <w:color w:val="000000"/>
          <w:sz w:val="28"/>
        </w:rPr>
        <w:t>      1. Оказание консультационных услуг, проведение обучения и предоставление товаров Верховному Суду и отобранным судам в следующих сферах:</w:t>
      </w:r>
      <w:r>
        <w:br/>
      </w:r>
      <w:r>
        <w:rPr>
          <w:rFonts w:ascii="Times New Roman"/>
          <w:b w:val="false"/>
          <w:i w:val="false"/>
          <w:color w:val="000000"/>
          <w:sz w:val="28"/>
        </w:rPr>
        <w:t>
      (a) Поддержка отобранных судов посредством оказания консультационных услуг, проведения обучения и предоставления товаров для: (i) проведения исследований и диагностики с целью выявления препятствий, которые увеличивают несудебную нагрузку на судей; (ii) выработки рекомендаций по устранению таких препятствий и повышению эффективности работы судей; и (iii) выполнения таких рекомендаций в пилотных судах.</w:t>
      </w:r>
      <w:r>
        <w:br/>
      </w:r>
      <w:r>
        <w:rPr>
          <w:rFonts w:ascii="Times New Roman"/>
          <w:b w:val="false"/>
          <w:i w:val="false"/>
          <w:color w:val="000000"/>
          <w:sz w:val="28"/>
        </w:rPr>
        <w:t>
       (b) Повышение возможностей Верховного Суда по поддержке и управлению судебной системой посредством оказания консультационных услуг, проведения обучения и предоставления товаров для: (i) мониторинга и оценки работы судов низшей инстанции; (ii) упрощения и оптимизации судебных процедур; (iii) разработки плана мероприятий по расширению доступа к информации о функционировании судов для общественности и участников судебных процессов; (iv) содействия специализации судов и судей; и (v) укрепления институциональных возможностей Верховного Суда по исполнению административных и управленческих функций в отношении судов низшей инстанции; (vi) повышения возможностей Высшего Судебного Совета по оценке и усилению судебных дисциплинарных процессов; (vii) содействия обмену знаниями между судьями и другими должностными лицами сектора правосудия.</w:t>
      </w:r>
      <w:r>
        <w:br/>
      </w:r>
      <w:r>
        <w:rPr>
          <w:rFonts w:ascii="Times New Roman"/>
          <w:b w:val="false"/>
          <w:i w:val="false"/>
          <w:color w:val="000000"/>
          <w:sz w:val="28"/>
        </w:rPr>
        <w:t>
      2. (a) Поддержка повышения возможностей Института правосудия и отобранных учреждений посредством оказания консультационных услуг, проведения обучения и предоставления товаров для: (i) обучения судей и персонала судов; (ii) подготовки и проведения институциональных оценок, обзоров, политических исследований и разработки стратегий и планов мероприятий; (iii) разработки и проведения социально-психологической подготовки и семинаров для судей и других заинтересованных сторон сектора правосудия по решению проблем социальной демаргинализации и гендерных проблем, а также других проблем, стоящих перед социально незащищенными группами.</w:t>
      </w:r>
      <w:r>
        <w:br/>
      </w:r>
      <w:r>
        <w:rPr>
          <w:rFonts w:ascii="Times New Roman"/>
          <w:b w:val="false"/>
          <w:i w:val="false"/>
          <w:color w:val="000000"/>
          <w:sz w:val="28"/>
        </w:rPr>
        <w:t xml:space="preserve">
      (b)  Оказание технической поддержки: </w:t>
      </w:r>
      <w:r>
        <w:br/>
      </w:r>
      <w:r>
        <w:rPr>
          <w:rFonts w:ascii="Times New Roman"/>
          <w:b w:val="false"/>
          <w:i w:val="false"/>
          <w:color w:val="000000"/>
          <w:sz w:val="28"/>
        </w:rPr>
        <w:t>
      (i) Институту правосудия по подготовке среднесрочной стратегии развития и плана мероприятий, включая оценку потребностей в обучении и инфраструктуре;</w:t>
      </w:r>
      <w:r>
        <w:br/>
      </w:r>
      <w:r>
        <w:rPr>
          <w:rFonts w:ascii="Times New Roman"/>
          <w:b w:val="false"/>
          <w:i w:val="false"/>
          <w:color w:val="000000"/>
          <w:sz w:val="28"/>
        </w:rPr>
        <w:t>
      (ii) Институту правосудия и отобранным учреждениям по проведению пилотных курсов по электронному обучению судей и сотрудников судов; созданию системы мониторинга для измерения эффективности обучения; созданию соответствующих механизмов развития персонала с целью получения доступа к мировым знаниям и лучшей практике; и повышению возможностей Института и усиление акцента на прикладных политических исследованиях (включая сферы социальной демаргинализации, гендерные проблемы, социально-экономическую реинтеграцию бывших правонарушителей и т.д.).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D. Реализация и координация проекта и научной деятельности</w:t>
      </w:r>
    </w:p>
    <w:p>
      <w:pPr>
        <w:spacing w:after="0"/>
        <w:ind w:left="0"/>
        <w:jc w:val="both"/>
      </w:pPr>
      <w:r>
        <w:rPr>
          <w:rFonts w:ascii="Times New Roman"/>
          <w:b w:val="false"/>
          <w:i w:val="false"/>
          <w:color w:val="000000"/>
          <w:sz w:val="28"/>
        </w:rPr>
        <w:t>      1. Оказание консультационных услуг, проведение обучения и покрытие дополнительных операционных расходов Министерства юстиции на: реализацию, управление, координацию, мониторинг и оценку Проекта, включая наем ГПР.</w:t>
      </w:r>
      <w:r>
        <w:br/>
      </w:r>
      <w:r>
        <w:rPr>
          <w:rFonts w:ascii="Times New Roman"/>
          <w:b w:val="false"/>
          <w:i w:val="false"/>
          <w:color w:val="000000"/>
          <w:sz w:val="28"/>
        </w:rPr>
        <w:t>
      2. Предоставление грантов по стипендиальной программе отобранным на конкурсной основе правомочным кандидатам из организаций сектора правосудия для их ознакомления с мировыми знаниями и лучшей международной практикой разработки реформ и их проведения.</w:t>
      </w:r>
    </w:p>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Институциональные механизмы</w:t>
      </w:r>
    </w:p>
    <w:p>
      <w:pPr>
        <w:spacing w:after="0"/>
        <w:ind w:left="0"/>
        <w:jc w:val="both"/>
      </w:pPr>
      <w:r>
        <w:rPr>
          <w:rFonts w:ascii="Times New Roman"/>
          <w:b w:val="false"/>
          <w:i w:val="false"/>
          <w:color w:val="000000"/>
          <w:sz w:val="28"/>
        </w:rPr>
        <w:t xml:space="preserve">      1. через Министерство юстиции: </w:t>
      </w:r>
      <w:r>
        <w:br/>
      </w:r>
      <w:r>
        <w:rPr>
          <w:rFonts w:ascii="Times New Roman"/>
          <w:b w:val="false"/>
          <w:i w:val="false"/>
          <w:color w:val="000000"/>
          <w:sz w:val="28"/>
        </w:rPr>
        <w:t>
      (a) будет поддерживать в течение периода реализации Проекта группу реализации проекта («ГРП»), возглавляемую Директором Проекта, которая будет отвечать за общую реализацию Проекта, управление и контроль за Группой по поддержке реализации.</w:t>
      </w:r>
      <w:r>
        <w:br/>
      </w:r>
      <w:r>
        <w:rPr>
          <w:rFonts w:ascii="Times New Roman"/>
          <w:b w:val="false"/>
          <w:i w:val="false"/>
          <w:color w:val="000000"/>
          <w:sz w:val="28"/>
        </w:rPr>
        <w:t>
      (b) не позднее, чем через семь (7) дней после даты вступления в силу или другой более поздней даты, которую Заемщик и Банк могут согласовать в письменной форме, заключит контракт на оказание консультационных услуг с Группой по поддержке реализации для поддержки ГРП с техническим заданием, ресурсами и персоналом, удовлетворительными для Банка, и в дальнейшем сохранит Группу по поддержке реализации в составе ГРП.</w:t>
      </w:r>
      <w:r>
        <w:br/>
      </w:r>
      <w:r>
        <w:rPr>
          <w:rFonts w:ascii="Times New Roman"/>
          <w:b w:val="false"/>
          <w:i w:val="false"/>
          <w:color w:val="000000"/>
          <w:sz w:val="28"/>
        </w:rPr>
        <w:t>
      (c) отберет правомочных Кандидатов на получение грантов по стипендиальной программе в соответствии с критериями правомочности, методами отбора и процедурами, приемлемыми для Банка, которые должны быть включены в Руководство по выделению грантов на выплату стипендий, и обеспечить, чтобы ГРП рассмотрела и провела оценку правомочных Кандидатов в соответствии с процессами финансовой оплаты, контроля и утверждения, а также другими положениями, приемлемыми для Банка, которые более подробно указаны в Руководстве по реализации проекта.</w:t>
      </w:r>
      <w:r>
        <w:br/>
      </w:r>
      <w:r>
        <w:rPr>
          <w:rFonts w:ascii="Times New Roman"/>
          <w:b w:val="false"/>
          <w:i w:val="false"/>
          <w:color w:val="000000"/>
          <w:sz w:val="28"/>
        </w:rPr>
        <w:t>
      (d) обеспечит заключение контрактов, по форме и сути и на срок и условиях, удовлетворительных для Банка, по каждому гранту по стипендиальной программе, при этом согласно таким контрактам Заемщик должен получить права, достаточные для защиты своих интересов и интересов Банка и для достижения целей Проекта, включая право на: (i) приостановку или прекращение права правомочного Кандидата на получение гранта по стипендиальной программе в случае неисполнения правомочным Кандидатом любого из своих обязательств по соответствующему контракту; и (ii) получение всей информации, которую Банк или Заемщик могут обоснованно запросить в отношении гранта по стипендиальной программе.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Руководство по реализации проекта и Руководство по выделению грантов на выплату стипендий</w:t>
      </w:r>
    </w:p>
    <w:p>
      <w:pPr>
        <w:spacing w:after="0"/>
        <w:ind w:left="0"/>
        <w:jc w:val="both"/>
      </w:pPr>
      <w:r>
        <w:rPr>
          <w:rFonts w:ascii="Times New Roman"/>
          <w:b w:val="false"/>
          <w:i w:val="false"/>
          <w:color w:val="000000"/>
          <w:sz w:val="28"/>
        </w:rPr>
        <w:t>      1. Заемщик должен реализовывать Проект в соответствии с Руководством по реализации проекта, по форме и по сути удовлетворительным для Банка, при этом данное Руководство должно включать,</w:t>
      </w:r>
      <w:r>
        <w:rPr>
          <w:rFonts w:ascii="Times New Roman"/>
          <w:b w:val="false"/>
          <w:i/>
          <w:color w:val="000000"/>
          <w:sz w:val="28"/>
        </w:rPr>
        <w:t xml:space="preserve"> среди прочего</w:t>
      </w:r>
      <w:r>
        <w:rPr>
          <w:rFonts w:ascii="Times New Roman"/>
          <w:b w:val="false"/>
          <w:i w:val="false"/>
          <w:color w:val="000000"/>
          <w:sz w:val="28"/>
        </w:rPr>
        <w:t>, институциональные механизмы, механизмы закупок, финансового управления, мониторинга и оценки для реализации Проекта, обязанности и механизмы координации отобранных учреждений.</w:t>
      </w:r>
      <w:r>
        <w:br/>
      </w:r>
      <w:r>
        <w:rPr>
          <w:rFonts w:ascii="Times New Roman"/>
          <w:b w:val="false"/>
          <w:i w:val="false"/>
          <w:color w:val="000000"/>
          <w:sz w:val="28"/>
        </w:rPr>
        <w:t>
      2. Заемщик должен обеспечить реализацию Части D.2 Проекта в соответствии с Руководством по выделению грантов на выплату стипендий, по форме и по сути удовлетворительным для Банка, которое должно включать,</w:t>
      </w:r>
      <w:r>
        <w:rPr>
          <w:rFonts w:ascii="Times New Roman"/>
          <w:b w:val="false"/>
          <w:i/>
          <w:color w:val="000000"/>
          <w:sz w:val="28"/>
        </w:rPr>
        <w:t xml:space="preserve"> среди прочего</w:t>
      </w:r>
      <w:r>
        <w:rPr>
          <w:rFonts w:ascii="Times New Roman"/>
          <w:b w:val="false"/>
          <w:i w:val="false"/>
          <w:color w:val="000000"/>
          <w:sz w:val="28"/>
        </w:rPr>
        <w:t xml:space="preserve"> (a) методы отбора и критерии правомочности для правомочных Кандидатов, (b) процессы финансовой оплаты, контроля и утверждения, (c) технические задания по грантам по стипендиальной программе и (d) типовой договор на предоставление грантов по стипендиальной программе.</w:t>
      </w:r>
      <w:r>
        <w:br/>
      </w:r>
      <w:r>
        <w:rPr>
          <w:rFonts w:ascii="Times New Roman"/>
          <w:b w:val="false"/>
          <w:i w:val="false"/>
          <w:color w:val="000000"/>
          <w:sz w:val="28"/>
        </w:rPr>
        <w:t>
      3. В Руководство по реализации проекта и/или Руководство по выделению грантов на выплату стипендий время от времени могут вноситься поправки с предварительного письменного согласия Банка. В случае возникновения каких-либо противоречий между положениями Руководства по реализации проекта или Руководства по грантам и положениями настоящего Соглашения, положения настоящего Соглашения будут иметь преимущественную силу. В случае возникновения каких-либо противоречий между положениями Руководства по реализации проекта и положениями Руководства по выделению грантов на выплату стипендий, положения Руководства по реализации проекта будут иметь преимущественную силу.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Отчеты по Проекту</w:t>
      </w:r>
    </w:p>
    <w:p>
      <w:pPr>
        <w:spacing w:after="0"/>
        <w:ind w:left="0"/>
        <w:jc w:val="both"/>
      </w:pPr>
      <w:r>
        <w:rPr>
          <w:rFonts w:ascii="Times New Roman"/>
          <w:b w:val="false"/>
          <w:i w:val="false"/>
          <w:color w:val="000000"/>
          <w:sz w:val="28"/>
        </w:rPr>
        <w:t>      1. Заемщик будет проводить мониторинг и оценку хода реализации Проекта и будет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одно календарное полугодие и предоставляться Банку не позднее чем через сорок пять (45) дней после окончания периода, охватываемого таким отчетом.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Финансовое управление, финансовые отчеты и аудит</w:t>
      </w:r>
    </w:p>
    <w:p>
      <w:pPr>
        <w:spacing w:after="0"/>
        <w:ind w:left="0"/>
        <w:jc w:val="both"/>
      </w:pPr>
      <w:r>
        <w:rPr>
          <w:rFonts w:ascii="Times New Roman"/>
          <w:b w:val="false"/>
          <w:i w:val="false"/>
          <w:color w:val="000000"/>
          <w:sz w:val="28"/>
        </w:rPr>
        <w:t>      1. Заемщик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2. Заемщик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квартал, не прошедшие аудиторскую проверку.</w:t>
      </w:r>
      <w:r>
        <w:br/>
      </w:r>
      <w:r>
        <w:rPr>
          <w:rFonts w:ascii="Times New Roman"/>
          <w:b w:val="false"/>
          <w:i w:val="false"/>
          <w:color w:val="000000"/>
          <w:sz w:val="28"/>
        </w:rPr>
        <w:t>
      3. Заемщик будет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(6) месяцев после окончания соответствующего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неконсультационные услуги. </w:t>
      </w:r>
      <w:r>
        <w:rPr>
          <w:rFonts w:ascii="Times New Roman"/>
          <w:b w:val="false"/>
          <w:i w:val="false"/>
          <w:color w:val="000000"/>
          <w:sz w:val="28"/>
        </w:rPr>
        <w:t>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xml:space="preserve">
      2. </w:t>
      </w:r>
      <w:r>
        <w:rPr>
          <w:rFonts w:ascii="Times New Roman"/>
          <w:b/>
          <w:i w:val="false"/>
          <w:color w:val="000000"/>
          <w:sz w:val="28"/>
        </w:rPr>
        <w:t xml:space="preserve">Консультационные услуги. </w:t>
      </w:r>
      <w:r>
        <w:rPr>
          <w:rFonts w:ascii="Times New Roman"/>
          <w:b w:val="false"/>
          <w:i w:val="false"/>
          <w:color w:val="000000"/>
          <w:sz w:val="28"/>
        </w:rPr>
        <w:t>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 B. </w:t>
      </w:r>
      <w:r>
        <w:rPr>
          <w:rFonts w:ascii="Times New Roman"/>
          <w:b w:val="false"/>
          <w:i w:val="false"/>
          <w:color w:val="000000"/>
          <w:sz w:val="28"/>
          <w:u w:val="single"/>
        </w:rPr>
        <w:t>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которые регулируются дополнительными положениями, указанными в Приложении к настоящему Дополнению 2; и (b) закупки на открытом рынке.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w:t>
      </w:r>
      <w:r>
        <w:rPr>
          <w:rFonts w:ascii="Times New Roman"/>
          <w:b w:val="false"/>
          <w:i w:val="false"/>
          <w:color w:val="000000"/>
          <w:sz w:val="28"/>
          <w:u w:val="single"/>
        </w:rPr>
        <w:t>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 xml:space="preserve">Прочие методы закупок консультационных услуг. </w:t>
      </w:r>
      <w:r>
        <w:rPr>
          <w:rFonts w:ascii="Times New Roman"/>
          <w:b w:val="false"/>
          <w:i w:val="false"/>
          <w:color w:val="000000"/>
          <w:sz w:val="28"/>
        </w:rPr>
        <w:t>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квалификации консультантов; (d) Закупки услуг консалтинговых фирм из одного источника; и (e) Процедуры отбора индивидуальных консультантов из одного источника.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датированных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gridCol w:w="469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Выделяемая сумма займа (выраженная в долларах США)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 подлежащая финансированию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Оказание консультационных услуг, проведение обучения и покрытие дополнительных операционных расходов Проекта (не включая гранты по стипендиальной программе в рамках Части D.2. Проекта)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Предоставление грантов по стипендиальной программе в рамках Части D.2. Проекта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B. </w:t>
      </w:r>
      <w:r>
        <w:rPr>
          <w:rFonts w:ascii="Times New Roman"/>
          <w:b w:val="false"/>
          <w:i w:val="false"/>
          <w:color w:val="000000"/>
          <w:sz w:val="28"/>
          <w:u w:val="single"/>
        </w:rPr>
        <w:t>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по категории (2) до тех пор, пока Руководство по выделению грантов на выплату стипендий, удовлетворительное для Банка, не будет принято Заемщиком через Министерство юстиции.</w:t>
      </w:r>
      <w:r>
        <w:br/>
      </w:r>
      <w:r>
        <w:rPr>
          <w:rFonts w:ascii="Times New Roman"/>
          <w:b w:val="false"/>
          <w:i w:val="false"/>
          <w:color w:val="000000"/>
          <w:sz w:val="28"/>
        </w:rPr>
        <w:t>
      2. Дата закрытия – 31 декабря 2018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rPr>
          <w:rFonts w:ascii="Times New Roman"/>
          <w:b w:val="false"/>
          <w:i w:val="false"/>
          <w:color w:val="000000"/>
          <w:sz w:val="28"/>
          <w:u w:val="single"/>
        </w:rPr>
        <w:t>Другие обязательства</w:t>
      </w:r>
    </w:p>
    <w:p>
      <w:pPr>
        <w:spacing w:after="0"/>
        <w:ind w:left="0"/>
        <w:jc w:val="both"/>
      </w:pPr>
      <w:r>
        <w:rPr>
          <w:rFonts w:ascii="Times New Roman"/>
          <w:b w:val="false"/>
          <w:i w:val="false"/>
          <w:color w:val="000000"/>
          <w:sz w:val="28"/>
        </w:rPr>
        <w:t>      Не позднее, чем через сорок пять (45) дней с Даты вступления в силу Заемщик должен обеспечить, чтобы Министерство юстиции запустило полностью работоспособный модуль автоматизированного компьютерного программного обеспечения бухгалтерского учета для Проекта, способный генерировать промежуточные финансовые отчеты, не прошедшие аудиторскую проверку, и предоставлять данные по счетам и обязательствам Проекта, приемлемые для Банка.</w:t>
      </w:r>
    </w:p>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p>
      <w:pPr>
        <w:spacing w:after="0"/>
        <w:ind w:left="0"/>
        <w:jc w:val="both"/>
      </w:pPr>
      <w:r>
        <w:rPr>
          <w:rFonts w:ascii="Times New Roman"/>
          <w:b w:val="false"/>
          <w:i w:val="false"/>
          <w:color w:val="000000"/>
          <w:sz w:val="28"/>
        </w:rPr>
        <w:t>      Процедуры проведения национальных конкурсных торгов («НКТ)» должны соответствовать процедурам торгов, изложенным в Законе Республики Казахстан от 21 июля 2007 года № 303-III «О государственных закупках» с изменениями, внесенными Законом Республики Казахстан от 14 января 2014 года № 161-V «О внесении изменений и дополнений в некоторые законодательные акты Республики Казахстан по вопросам государственных закупок», однако при условии, что такие процедуры будут соответствовать положениям Раздела I и пунктов 3.3 и 3.4 «Руководства по закупкам товаров, работ и неконсультационных услуг за счет средств займов МБРР и кредитов МАР, а также грантов, предоставляемых заемщикам Всемирного Банка» (январь 2011 года) («Руководство по закупкам») и следующим дополнительным положениям:</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 </w:t>
      </w:r>
      <w:r>
        <w:br/>
      </w:r>
      <w:r>
        <w:rPr>
          <w:rFonts w:ascii="Times New Roman"/>
          <w:b w:val="false"/>
          <w:i w:val="false"/>
          <w:color w:val="000000"/>
          <w:sz w:val="28"/>
        </w:rPr>
        <w:t xml:space="preserve">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 </w:t>
      </w:r>
      <w:r>
        <w:br/>
      </w: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xml:space="preserve">
      (e) Сметные затраты: Сметные затраты не должны раскрываться потенциальным участникам торгов. </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xml:space="preserve">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Всемирному Банку в отношении контрактов, подлежащих предварительному рассмотрению Банком. </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Всемирного Банка.</w:t>
      </w:r>
      <w:r>
        <w:br/>
      </w: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xml:space="preserve">
      (p) Системы электронных закупок: Могут использоваться системы электронных закупок при условии, что Всемирный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 </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Всемирного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xml:space="preserve">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Банка,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 </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Всемирного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w:t>
      </w:r>
    </w:p>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1. В соответствии с положениями пункта 2 настоящего Дополнения, Заемщик будет погашать каждую освоенную сумму один раз в полгода взносами, которые подлежат выплате 15 марта и 15 сентября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w:t>
      </w:r>
      <w:r>
        <w:br/>
      </w:r>
      <w:r>
        <w:rPr>
          <w:rFonts w:ascii="Times New Roman"/>
          <w:b w:val="false"/>
          <w:i w:val="false"/>
          <w:color w:val="000000"/>
          <w:sz w:val="28"/>
        </w:rPr>
        <w:t>
      2. Если один или более взносов в счет погашения основного долга по освоенной сумме в соответствии с положениями пункта 1 настоящего Дополнения будет подлежать выплате после 15 марта 2034 года, то Заемщик также выплатит на такую дату совокупную сумму всех таких взносов.</w:t>
      </w:r>
      <w:r>
        <w:br/>
      </w:r>
      <w:r>
        <w:rPr>
          <w:rFonts w:ascii="Times New Roman"/>
          <w:b w:val="false"/>
          <w:i w:val="false"/>
          <w:color w:val="000000"/>
          <w:sz w:val="28"/>
        </w:rPr>
        <w:t>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w:t>
      </w:r>
    </w:p>
    <w:p>
      <w:pPr>
        <w:spacing w:after="0"/>
        <w:ind w:left="0"/>
        <w:jc w:val="left"/>
      </w:pPr>
      <w:r>
        <w:rPr>
          <w:rFonts w:ascii="Times New Roman"/>
          <w:b/>
          <w:i w:val="false"/>
          <w:color w:val="000000"/>
        </w:rPr>
        <w:t xml:space="preserve"> ПРИЛОЖЕНИЕ</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1. «Кодекс об административных правонарушениях» означает </w:t>
      </w:r>
      <w:r>
        <w:rPr>
          <w:rFonts w:ascii="Times New Roman"/>
          <w:b w:val="false"/>
          <w:i w:val="false"/>
          <w:color w:val="000000"/>
          <w:sz w:val="28"/>
        </w:rPr>
        <w:t>Кодекс</w:t>
      </w:r>
      <w:r>
        <w:rPr>
          <w:rFonts w:ascii="Times New Roman"/>
          <w:b w:val="false"/>
          <w:i w:val="false"/>
          <w:color w:val="000000"/>
          <w:sz w:val="28"/>
        </w:rPr>
        <w:t xml:space="preserve"> Заемщика об административных правонарушениях от 30 января 2001 года (№ 155) с поправками, внесенными Законом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другими поправками, которые могут время от времени в него вноситься.</w:t>
      </w:r>
      <w:r>
        <w:br/>
      </w:r>
      <w:r>
        <w:rPr>
          <w:rFonts w:ascii="Times New Roman"/>
          <w:b w:val="false"/>
          <w:i w:val="false"/>
          <w:color w:val="000000"/>
          <w:sz w:val="28"/>
        </w:rPr>
        <w:t>
      2.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в редакции от января 2011 года.</w:t>
      </w:r>
      <w:r>
        <w:br/>
      </w:r>
      <w:r>
        <w:rPr>
          <w:rFonts w:ascii="Times New Roman"/>
          <w:b w:val="false"/>
          <w:i w:val="false"/>
          <w:color w:val="000000"/>
          <w:sz w:val="28"/>
        </w:rPr>
        <w:t>
      3. «Категория» означает категорию, указанную в таблице Раздела IV Дополнения 2 к настоящему Соглашению.</w:t>
      </w:r>
      <w:r>
        <w:br/>
      </w:r>
      <w:r>
        <w:rPr>
          <w:rFonts w:ascii="Times New Roman"/>
          <w:b w:val="false"/>
          <w:i w:val="false"/>
          <w:color w:val="000000"/>
          <w:sz w:val="28"/>
        </w:rPr>
        <w:t>
      4. «Кодексы» означает, в совокупности, Предпринимательский кодекс,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и </w:t>
      </w:r>
      <w:r>
        <w:rPr>
          <w:rFonts w:ascii="Times New Roman"/>
          <w:b w:val="false"/>
          <w:i w:val="false"/>
          <w:color w:val="000000"/>
          <w:sz w:val="28"/>
        </w:rPr>
        <w:t>Уголовно-исполнительный кодекс.</w:t>
      </w:r>
      <w:r>
        <w:br/>
      </w:r>
      <w:r>
        <w:rPr>
          <w:rFonts w:ascii="Times New Roman"/>
          <w:b w:val="false"/>
          <w:i w:val="false"/>
          <w:color w:val="000000"/>
          <w:sz w:val="28"/>
        </w:rPr>
        <w:t>
      5.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w:t>
      </w:r>
      <w:r>
        <w:br/>
      </w:r>
      <w:r>
        <w:rPr>
          <w:rFonts w:ascii="Times New Roman"/>
          <w:b w:val="false"/>
          <w:i w:val="false"/>
          <w:color w:val="000000"/>
          <w:sz w:val="28"/>
        </w:rPr>
        <w:t>
      6. «Предпринимательский кодекс» означает Предпринимательский кодекс Заемщика, который готовится в соответствии с планом законопроектных работ Правительства и который будет представлен в Парламент Заемщика предположительно в июне 2014 года. Этот термин обозначает Предпринимательский кодекс после его полного введения Заемщиком в действие.</w:t>
      </w:r>
      <w:r>
        <w:br/>
      </w:r>
      <w:r>
        <w:rPr>
          <w:rFonts w:ascii="Times New Roman"/>
          <w:b w:val="false"/>
          <w:i w:val="false"/>
          <w:color w:val="000000"/>
          <w:sz w:val="28"/>
        </w:rPr>
        <w:t>
      7. «Правомочный кандидат» означает кандидата, имеющего право на получение гранта по стипендиальной программе в соответствии с критериями отбора и правомочности, приемлемыми для Банка, которые указаны в Руководстве по реализации проекта.</w:t>
      </w:r>
      <w:r>
        <w:br/>
      </w:r>
      <w:r>
        <w:rPr>
          <w:rFonts w:ascii="Times New Roman"/>
          <w:b w:val="false"/>
          <w:i w:val="false"/>
          <w:color w:val="000000"/>
          <w:sz w:val="28"/>
        </w:rPr>
        <w:t>
      8. «Грант по стипендиальной программе» означает грант, предоставляемый правомочному Кандидату в соответствии с методами отбора, критериями правомочности, процедурами, транзакциями, процессами контроля и утверждения, механизмами реализации и необходимым техническим заданием, указанным в Руководстве по реализации проекта.</w:t>
      </w:r>
      <w:r>
        <w:br/>
      </w:r>
      <w:r>
        <w:rPr>
          <w:rFonts w:ascii="Times New Roman"/>
          <w:b w:val="false"/>
          <w:i w:val="false"/>
          <w:color w:val="000000"/>
          <w:sz w:val="28"/>
        </w:rPr>
        <w:t>
      9. «Руководство по выделению грантов на выплату стипендий» означает руководство, которое будет принято Заемщиком и которое упоминается в Разделе I.B.2 Дополнения 2 к настоящему Соглашению.</w:t>
      </w:r>
      <w:r>
        <w:br/>
      </w:r>
      <w:r>
        <w:rPr>
          <w:rFonts w:ascii="Times New Roman"/>
          <w:b w:val="false"/>
          <w:i w:val="false"/>
          <w:color w:val="000000"/>
          <w:sz w:val="28"/>
        </w:rPr>
        <w:t>
      10. «Общие Условия» означает «Общие Условия для займов Международного Банка Реконструкции и Развития» от 12 марта 2012 года.</w:t>
      </w:r>
      <w:r>
        <w:br/>
      </w:r>
      <w:r>
        <w:rPr>
          <w:rFonts w:ascii="Times New Roman"/>
          <w:b w:val="false"/>
          <w:i w:val="false"/>
          <w:color w:val="000000"/>
          <w:sz w:val="28"/>
        </w:rPr>
        <w:t>
      11. «Группа по поддержке реализации» или «ГПР» означает консалтинговую фирму, которая будет привлечена Заемщиком через Министерство юстиции для оказания практической поддержки ГРП по реализации Проекта в соответствии с Разделом I.A1 (b) Дополнения 2 к настоящему Соглашению.</w:t>
      </w:r>
      <w:r>
        <w:br/>
      </w:r>
      <w:r>
        <w:rPr>
          <w:rFonts w:ascii="Times New Roman"/>
          <w:b w:val="false"/>
          <w:i w:val="false"/>
          <w:color w:val="000000"/>
          <w:sz w:val="28"/>
        </w:rPr>
        <w:t xml:space="preserve">
      12. «Дополнительные операционные расходы» означает обоснованные и необходимые дополнительные расходы в связи с реализацией, управлением, координацией, мониторингом и оценкой Проекта, утвержденные Банком на основе полугодовых бюджетов, приемлемых для Банка, которые включают, </w:t>
      </w:r>
      <w:r>
        <w:rPr>
          <w:rFonts w:ascii="Times New Roman"/>
          <w:b w:val="false"/>
          <w:i/>
          <w:color w:val="000000"/>
          <w:sz w:val="28"/>
        </w:rPr>
        <w:t xml:space="preserve">среди прочего, </w:t>
      </w:r>
      <w:r>
        <w:rPr>
          <w:rFonts w:ascii="Times New Roman"/>
          <w:b w:val="false"/>
          <w:i w:val="false"/>
          <w:color w:val="000000"/>
          <w:sz w:val="28"/>
        </w:rPr>
        <w:t>затраты на: (i) коммунальные услуги и связь; (ii) организацию семинаров; (iii) транспортные расходы и командировочные, в том числе должностных лиц и экспертов, участвующих в реализации Проекта; (iv) расходные офисные материалы; (v) связи со СМИ и рекламные объявления, печать и публикации; (vi) устный и письменный перевод; (vii) уплату банковских комиссий и (viii) аренду транспортных средств и горючее. Независимо от вышесказанного, дополнительные операционные расходы не будут включать заработную плату или денежные пособия государственных служащих Заемщика.</w:t>
      </w:r>
      <w:r>
        <w:br/>
      </w:r>
      <w:r>
        <w:rPr>
          <w:rFonts w:ascii="Times New Roman"/>
          <w:b w:val="false"/>
          <w:i w:val="false"/>
          <w:color w:val="000000"/>
          <w:sz w:val="28"/>
        </w:rPr>
        <w:t>
      13. «Институт правосудия» означает Институт правосудия Академии государственного управления Заемщика при Президенте Республики Казахстан, созданный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31 мая 2005 года № 1583, и любого его правопреемника.</w:t>
      </w:r>
      <w:r>
        <w:br/>
      </w:r>
      <w:r>
        <w:rPr>
          <w:rFonts w:ascii="Times New Roman"/>
          <w:b w:val="false"/>
          <w:i w:val="false"/>
          <w:color w:val="000000"/>
          <w:sz w:val="28"/>
        </w:rPr>
        <w:t>
      14. «Закон о бесплатной правовой помощи» означает </w:t>
      </w:r>
      <w:r>
        <w:rPr>
          <w:rFonts w:ascii="Times New Roman"/>
          <w:b w:val="false"/>
          <w:i w:val="false"/>
          <w:color w:val="000000"/>
          <w:sz w:val="28"/>
        </w:rPr>
        <w:t>Закон</w:t>
      </w:r>
      <w:r>
        <w:rPr>
          <w:rFonts w:ascii="Times New Roman"/>
          <w:b w:val="false"/>
          <w:i w:val="false"/>
          <w:color w:val="000000"/>
          <w:sz w:val="28"/>
        </w:rPr>
        <w:t xml:space="preserve"> Заемщика от 3 июля 2013 года (№ 122-V) «О гарантированной государством юридической помощи» с поправками, которые могут время от времени в него вноситься.</w:t>
      </w:r>
      <w:r>
        <w:br/>
      </w:r>
      <w:r>
        <w:rPr>
          <w:rFonts w:ascii="Times New Roman"/>
          <w:b w:val="false"/>
          <w:i w:val="false"/>
          <w:color w:val="000000"/>
          <w:sz w:val="28"/>
        </w:rPr>
        <w:t>
      15. «Закон о саморегулируемых профессиональных организациях» означает закон о саморегулируемых профессиональных организациях, который будет разработан Заемщиком и который упоминается в Части А.2. Дополнения 1 к настоящему Соглашению.</w:t>
      </w:r>
      <w:r>
        <w:br/>
      </w:r>
      <w:r>
        <w:rPr>
          <w:rFonts w:ascii="Times New Roman"/>
          <w:b w:val="false"/>
          <w:i w:val="false"/>
          <w:color w:val="000000"/>
          <w:sz w:val="28"/>
        </w:rPr>
        <w:t>
      16. «Уголовно-исполнительный кодекс» означает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Заемщика от 13 декабря 1997 года (№ 208)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15 января 2014 года (№ 164-V) «О внесении изменений и дополнений в некоторые законодательные акты Республики Казахстан по вопросам совершенствования исполнительного производства», а также с другими поправками, которые могут время от времени в него вноситься.</w:t>
      </w:r>
      <w:r>
        <w:br/>
      </w:r>
      <w:r>
        <w:rPr>
          <w:rFonts w:ascii="Times New Roman"/>
          <w:b w:val="false"/>
          <w:i w:val="false"/>
          <w:color w:val="000000"/>
          <w:sz w:val="28"/>
        </w:rPr>
        <w:t>
      17.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w:t>
      </w:r>
      <w:r>
        <w:br/>
      </w:r>
      <w:r>
        <w:rPr>
          <w:rFonts w:ascii="Times New Roman"/>
          <w:b w:val="false"/>
          <w:i w:val="false"/>
          <w:color w:val="000000"/>
          <w:sz w:val="28"/>
        </w:rPr>
        <w:t>
      18. «План закупок» означает план закупок Заемщика для Проекта от 10 февраля 2014 года, который упоминается в пункте 1.18 Руководства по закупкам и в пункте 1.25 Руководства по отбору и найму консультантов. План будет периодически обновляться в соответствии с положениями указанных пунктов.</w:t>
      </w:r>
      <w:r>
        <w:br/>
      </w:r>
      <w:r>
        <w:rPr>
          <w:rFonts w:ascii="Times New Roman"/>
          <w:b w:val="false"/>
          <w:i w:val="false"/>
          <w:color w:val="000000"/>
          <w:sz w:val="28"/>
        </w:rPr>
        <w:t>
      19. «Группа реализации проекта» или «ГРП» означает группу реализации проекта при Министерстве юстиции, которая отвечает за реализацию Проекта.</w:t>
      </w:r>
      <w:r>
        <w:br/>
      </w:r>
      <w:r>
        <w:rPr>
          <w:rFonts w:ascii="Times New Roman"/>
          <w:b w:val="false"/>
          <w:i w:val="false"/>
          <w:color w:val="000000"/>
          <w:sz w:val="28"/>
        </w:rPr>
        <w:t>
      20. «Министерство экономики и бюджетного планирования» означает Министерство экономики и бюджетного планирования Заемщика и любого его правопреемника.</w:t>
      </w:r>
      <w:r>
        <w:br/>
      </w:r>
      <w:r>
        <w:rPr>
          <w:rFonts w:ascii="Times New Roman"/>
          <w:b w:val="false"/>
          <w:i w:val="false"/>
          <w:color w:val="000000"/>
          <w:sz w:val="28"/>
        </w:rPr>
        <w:t>
      21. «Министерство внутренних дел» означает Министерство внутренних дел Заемщика и любого его правопреемника.</w:t>
      </w:r>
      <w:r>
        <w:br/>
      </w:r>
      <w:r>
        <w:rPr>
          <w:rFonts w:ascii="Times New Roman"/>
          <w:b w:val="false"/>
          <w:i w:val="false"/>
          <w:color w:val="000000"/>
          <w:sz w:val="28"/>
        </w:rPr>
        <w:t>
      22. «Министерство юстиции» означает Министерство юстиции Заемщика и любого его правопреемника.</w:t>
      </w:r>
      <w:r>
        <w:br/>
      </w:r>
      <w:r>
        <w:rPr>
          <w:rFonts w:ascii="Times New Roman"/>
          <w:b w:val="false"/>
          <w:i w:val="false"/>
          <w:color w:val="000000"/>
          <w:sz w:val="28"/>
        </w:rPr>
        <w:t>
      23. «Руководство по реализации проекта» означает руководство, которое будет принято Заемщиком и которое упоминается в Разделе I.B.1 Дополнения 2 к настоящему Соглашению.</w:t>
      </w:r>
      <w:r>
        <w:br/>
      </w:r>
      <w:r>
        <w:rPr>
          <w:rFonts w:ascii="Times New Roman"/>
          <w:b w:val="false"/>
          <w:i w:val="false"/>
          <w:color w:val="000000"/>
          <w:sz w:val="28"/>
        </w:rPr>
        <w:t>
      24. «Отобранные учреждения Заемщика» означает любое из следующего: (a) Министерство юстиции; (b) Министерство экономики и бюджетного планирования, (c) Министерство регионального развития, (d) Министерство внутренних дел, (e) Верховный Суд, или (f) другой государственный орган Заемщика, отобранный в соответствии с критериями, указанными в Руководстве по реализации проекта.</w:t>
      </w:r>
      <w:r>
        <w:br/>
      </w:r>
      <w:r>
        <w:rPr>
          <w:rFonts w:ascii="Times New Roman"/>
          <w:b w:val="false"/>
          <w:i w:val="false"/>
          <w:color w:val="000000"/>
          <w:sz w:val="28"/>
        </w:rPr>
        <w:t>
      25. «Отобранные суды» означает суды первой инстанции Заемщика, расположенные в Алматы, Астане, Актобе, Семее, Павлодаре и Караганде, или другие суды, отобранные в соответствии с критериями, указанными в Руководстве по реализации проекта.</w:t>
      </w:r>
      <w:r>
        <w:br/>
      </w:r>
      <w:r>
        <w:rPr>
          <w:rFonts w:ascii="Times New Roman"/>
          <w:b w:val="false"/>
          <w:i w:val="false"/>
          <w:color w:val="000000"/>
          <w:sz w:val="28"/>
        </w:rPr>
        <w:t>
      26. «Верховный Суд» означает Верховный Суд Заемщика и любого его правопреемника.</w:t>
      </w:r>
      <w:r>
        <w:br/>
      </w:r>
      <w:r>
        <w:rPr>
          <w:rFonts w:ascii="Times New Roman"/>
          <w:b w:val="false"/>
          <w:i w:val="false"/>
          <w:color w:val="000000"/>
          <w:sz w:val="28"/>
        </w:rPr>
        <w:t>
      27. «Обучение» означает мероприятия по обучению (помимо консультационных услуг), которые должны проводиться в рамках Проекта после утверждения Банком на основе полугодовых приемлемых для Банка планов обучения и ознакомительных поездок, в том числе обоснованные и необходимые расходы на поездки внутри страны и международные поездки и получение виз, которые несут участники во время обучающих семинаров, а также расходы на проживание, питание, командировочные расходы для местных и международных поездок в соответствии с нормативными документами Заемщика, регистрацию, оплату за обучение и услуги кураторов, несущественные организационные расходы (в том числе стоимость канцелярских товаров, раздаточных и учебных материалов), затраты на письменный и устный переводы, затраты на аренду помещений и другие расходы, напрямую связанные с обучающими семинарами и ознакомительными поездками.</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 на английском языке.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Развития государственного</w:t>
      </w:r>
      <w:r>
        <w:br/>
      </w:r>
      <w:r>
        <w:rPr>
          <w:rFonts w:ascii="Times New Roman"/>
          <w:b w:val="false"/>
          <w:i w:val="false"/>
          <w:color w:val="000000"/>
          <w:sz w:val="28"/>
        </w:rPr>
        <w:t>
</w:t>
      </w:r>
      <w:r>
        <w:rPr>
          <w:rFonts w:ascii="Times New Roman"/>
          <w:b w:val="false"/>
          <w:i/>
          <w:color w:val="000000"/>
          <w:sz w:val="28"/>
        </w:rPr>
        <w:t>      языка редактирования</w:t>
      </w:r>
      <w:r>
        <w:br/>
      </w:r>
      <w:r>
        <w:rPr>
          <w:rFonts w:ascii="Times New Roman"/>
          <w:b w:val="false"/>
          <w:i w:val="false"/>
          <w:color w:val="000000"/>
          <w:sz w:val="28"/>
        </w:rPr>
        <w:t>
</w:t>
      </w:r>
      <w:r>
        <w:rPr>
          <w:rFonts w:ascii="Times New Roman"/>
          <w:b w:val="false"/>
          <w:i/>
          <w:color w:val="000000"/>
          <w:sz w:val="28"/>
        </w:rPr>
        <w:t>      Департамента обеспечения</w:t>
      </w:r>
      <w:r>
        <w:br/>
      </w:r>
      <w:r>
        <w:rPr>
          <w:rFonts w:ascii="Times New Roman"/>
          <w:b w:val="false"/>
          <w:i w:val="false"/>
          <w:color w:val="000000"/>
          <w:sz w:val="28"/>
        </w:rPr>
        <w:t>
</w:t>
      </w:r>
      <w:r>
        <w:rPr>
          <w:rFonts w:ascii="Times New Roman"/>
          <w:b w:val="false"/>
          <w:i/>
          <w:color w:val="000000"/>
          <w:sz w:val="28"/>
        </w:rPr>
        <w:t>      документооборота и контроля,</w:t>
      </w:r>
      <w:r>
        <w:br/>
      </w:r>
      <w:r>
        <w:rPr>
          <w:rFonts w:ascii="Times New Roman"/>
          <w:b w:val="false"/>
          <w:i w:val="false"/>
          <w:color w:val="000000"/>
          <w:sz w:val="28"/>
        </w:rPr>
        <w:t>
</w:t>
      </w:r>
      <w:r>
        <w:rPr>
          <w:rFonts w:ascii="Times New Roman"/>
          <w:b w:val="false"/>
          <w:i/>
          <w:color w:val="000000"/>
          <w:sz w:val="28"/>
        </w:rPr>
        <w:t>      развития государственного языка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