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320b1" w14:textId="12320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Стратегии развития акционерного общества "Национальная компания "Социально-предпринимательская корпорация "Ертіс" на 2014-2023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6 мая 2014 года № 461. Утратило силу постановлением Правительства Республики Казахстан от 10 декабря 2018 года № 818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10.12.2018 </w:t>
      </w:r>
      <w:r>
        <w:rPr>
          <w:rFonts w:ascii="Times New Roman"/>
          <w:b w:val="false"/>
          <w:i w:val="false"/>
          <w:color w:val="ff0000"/>
          <w:sz w:val="28"/>
        </w:rPr>
        <w:t>№ 818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184 Закона Республики Казахстан от 1 марта 2011 года "О государственном имуществе"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Стратегию</w:t>
      </w:r>
      <w:r>
        <w:rPr>
          <w:rFonts w:ascii="Times New Roman"/>
          <w:b w:val="false"/>
          <w:i w:val="false"/>
          <w:color w:val="000000"/>
          <w:sz w:val="28"/>
        </w:rPr>
        <w:t xml:space="preserve"> развития акционерного общества "Национальная компания "Социально-предпринимательская корпорация "Ертіс" на 2014-2023 годы. </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со дня подписания.</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мая 2014 года № 461</w:t>
            </w:r>
          </w:p>
        </w:tc>
      </w:tr>
    </w:tbl>
    <w:bookmarkStart w:name="z5" w:id="3"/>
    <w:p>
      <w:pPr>
        <w:spacing w:after="0"/>
        <w:ind w:left="0"/>
        <w:jc w:val="left"/>
      </w:pPr>
      <w:r>
        <w:rPr>
          <w:rFonts w:ascii="Times New Roman"/>
          <w:b/>
          <w:i w:val="false"/>
          <w:color w:val="000000"/>
        </w:rPr>
        <w:t xml:space="preserve"> Стратегия</w:t>
      </w:r>
      <w:r>
        <w:br/>
      </w:r>
      <w:r>
        <w:rPr>
          <w:rFonts w:ascii="Times New Roman"/>
          <w:b/>
          <w:i w:val="false"/>
          <w:color w:val="000000"/>
        </w:rPr>
        <w:t>развития акционерного общества</w:t>
      </w:r>
      <w:r>
        <w:br/>
      </w:r>
      <w:r>
        <w:rPr>
          <w:rFonts w:ascii="Times New Roman"/>
          <w:b/>
          <w:i w:val="false"/>
          <w:color w:val="000000"/>
        </w:rPr>
        <w:t>"Национальная компания "Социально-предпринимательская</w:t>
      </w:r>
      <w:r>
        <w:br/>
      </w:r>
      <w:r>
        <w:rPr>
          <w:rFonts w:ascii="Times New Roman"/>
          <w:b/>
          <w:i w:val="false"/>
          <w:color w:val="000000"/>
        </w:rPr>
        <w:t>корпорация "Ертіс" на 2014 – 2023 годы</w:t>
      </w:r>
    </w:p>
    <w:bookmarkEnd w:id="3"/>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 184</w:t>
      </w:r>
      <w:r>
        <w:rPr>
          <w:rFonts w:ascii="Times New Roman"/>
          <w:b w:val="false"/>
          <w:i w:val="false"/>
          <w:color w:val="000000"/>
          <w:sz w:val="28"/>
        </w:rPr>
        <w:t xml:space="preserve"> Закона Республики Казахстан "О государственном имуществе" от 1 марта 2011 года национальные управляющие холдинги, национальные холдинги и национальные компании разрабатывают стратегии развития на десятилетний период.</w:t>
      </w:r>
    </w:p>
    <w:p>
      <w:pPr>
        <w:spacing w:after="0"/>
        <w:ind w:left="0"/>
        <w:jc w:val="both"/>
      </w:pPr>
      <w:r>
        <w:rPr>
          <w:rFonts w:ascii="Times New Roman"/>
          <w:b w:val="false"/>
          <w:i w:val="false"/>
          <w:color w:val="000000"/>
          <w:sz w:val="28"/>
        </w:rPr>
        <w:t>
      В связи с вышеизложенным АО "НК "СПК "Ертіс", как управляющая компания, разработала Стратегию развития на 2014 – 2023 годы (далее – Стратегия).</w:t>
      </w:r>
    </w:p>
    <w:p>
      <w:pPr>
        <w:spacing w:after="0"/>
        <w:ind w:left="0"/>
        <w:jc w:val="both"/>
      </w:pPr>
      <w:r>
        <w:rPr>
          <w:rFonts w:ascii="Times New Roman"/>
          <w:b w:val="false"/>
          <w:i w:val="false"/>
          <w:color w:val="000000"/>
          <w:sz w:val="28"/>
        </w:rPr>
        <w:t>
      Процесс стратегического планирования применен к конкретной компании и рынку, как бизнес-среде Восточно-Казахстанской области – зоне "ответственности" компании.</w:t>
      </w:r>
    </w:p>
    <w:p>
      <w:pPr>
        <w:spacing w:after="0"/>
        <w:ind w:left="0"/>
        <w:jc w:val="both"/>
      </w:pPr>
      <w:r>
        <w:rPr>
          <w:rFonts w:ascii="Times New Roman"/>
          <w:b w:val="false"/>
          <w:i w:val="false"/>
          <w:color w:val="000000"/>
          <w:sz w:val="28"/>
        </w:rPr>
        <w:t>
      Настоящий документ определяет основные стратегические направления, цели и задачи развития на десятилетний период.</w:t>
      </w:r>
    </w:p>
    <w:p>
      <w:pPr>
        <w:spacing w:after="0"/>
        <w:ind w:left="0"/>
        <w:jc w:val="both"/>
      </w:pPr>
      <w:r>
        <w:rPr>
          <w:rFonts w:ascii="Times New Roman"/>
          <w:b w:val="false"/>
          <w:i w:val="false"/>
          <w:color w:val="000000"/>
          <w:sz w:val="28"/>
        </w:rPr>
        <w:t>
      Реализация поставленных в Стратегии целей и задач будет обеспечена за счет эффективного управления дочерними организациями СПК. По результатам реализации Стратегии планируется оценка деятельности СПК.</w:t>
      </w:r>
    </w:p>
    <w:p>
      <w:pPr>
        <w:spacing w:after="0"/>
        <w:ind w:left="0"/>
        <w:jc w:val="both"/>
      </w:pPr>
      <w:r>
        <w:rPr>
          <w:rFonts w:ascii="Times New Roman"/>
          <w:b w:val="false"/>
          <w:i w:val="false"/>
          <w:color w:val="000000"/>
          <w:sz w:val="28"/>
        </w:rPr>
        <w:t>
      Все программные и плановые документы СПК и ее дочерних организаций будут разрабатываться с учетом положений настоящей Стратегии либо будут приведены в соответствие с ней.</w:t>
      </w:r>
    </w:p>
    <w:p>
      <w:pPr>
        <w:spacing w:after="0"/>
        <w:ind w:left="0"/>
        <w:jc w:val="both"/>
      </w:pPr>
      <w:r>
        <w:rPr>
          <w:rFonts w:ascii="Times New Roman"/>
          <w:b w:val="false"/>
          <w:i w:val="false"/>
          <w:color w:val="000000"/>
          <w:sz w:val="28"/>
        </w:rPr>
        <w:t xml:space="preserve">
      Реализация Стратегии основывается на основных направлениях Стратегического </w:t>
      </w:r>
      <w:r>
        <w:rPr>
          <w:rFonts w:ascii="Times New Roman"/>
          <w:b w:val="false"/>
          <w:i w:val="false"/>
          <w:color w:val="000000"/>
          <w:sz w:val="28"/>
        </w:rPr>
        <w:t>плана</w:t>
      </w:r>
      <w:r>
        <w:rPr>
          <w:rFonts w:ascii="Times New Roman"/>
          <w:b w:val="false"/>
          <w:i w:val="false"/>
          <w:color w:val="000000"/>
          <w:sz w:val="28"/>
        </w:rPr>
        <w:t xml:space="preserve"> развития Республики Казахстан до 2020 года, утвержденного Указом Президента Республики Казахстан от 1 февраля 2010 года № 922, Государственной </w:t>
      </w:r>
      <w:r>
        <w:rPr>
          <w:rFonts w:ascii="Times New Roman"/>
          <w:b w:val="false"/>
          <w:i w:val="false"/>
          <w:color w:val="000000"/>
          <w:sz w:val="28"/>
        </w:rPr>
        <w:t>программы</w:t>
      </w:r>
      <w:r>
        <w:rPr>
          <w:rFonts w:ascii="Times New Roman"/>
          <w:b w:val="false"/>
          <w:i w:val="false"/>
          <w:color w:val="000000"/>
          <w:sz w:val="28"/>
        </w:rPr>
        <w:t xml:space="preserve"> по форсированному индустриально-инновационному развитию Республики Казахстан на 2010 – 2014 годы, утвержденной Указом Президента Республики Казахстан от 19 марта 2010 года № 958, </w:t>
      </w:r>
      <w:r>
        <w:rPr>
          <w:rFonts w:ascii="Times New Roman"/>
          <w:b w:val="false"/>
          <w:i w:val="false"/>
          <w:color w:val="000000"/>
          <w:sz w:val="28"/>
        </w:rPr>
        <w:t>Концепции</w:t>
      </w:r>
      <w:r>
        <w:rPr>
          <w:rFonts w:ascii="Times New Roman"/>
          <w:b w:val="false"/>
          <w:i w:val="false"/>
          <w:color w:val="000000"/>
          <w:sz w:val="28"/>
        </w:rPr>
        <w:t xml:space="preserve"> инновационного развития Республики Казахстан до 2020 года, утвержденной Указом Президента Республики Казахстан от 4 июня 2013 года № 579, Прогнозной </w:t>
      </w:r>
      <w:r>
        <w:rPr>
          <w:rFonts w:ascii="Times New Roman"/>
          <w:b w:val="false"/>
          <w:i w:val="false"/>
          <w:color w:val="000000"/>
          <w:sz w:val="28"/>
        </w:rPr>
        <w:t>схемы</w:t>
      </w:r>
      <w:r>
        <w:rPr>
          <w:rFonts w:ascii="Times New Roman"/>
          <w:b w:val="false"/>
          <w:i w:val="false"/>
          <w:color w:val="000000"/>
          <w:sz w:val="28"/>
        </w:rPr>
        <w:t xml:space="preserve"> территориально-пространственного развития страны до 2020 года, утвержденной Указом Президента Республики Казахстан от 21 июля 2011 года № 118, </w:t>
      </w:r>
      <w:r>
        <w:rPr>
          <w:rFonts w:ascii="Times New Roman"/>
          <w:b w:val="false"/>
          <w:i w:val="false"/>
          <w:color w:val="000000"/>
          <w:sz w:val="28"/>
        </w:rPr>
        <w:t>Концепции</w:t>
      </w:r>
      <w:r>
        <w:rPr>
          <w:rFonts w:ascii="Times New Roman"/>
          <w:b w:val="false"/>
          <w:i w:val="false"/>
          <w:color w:val="000000"/>
          <w:sz w:val="28"/>
        </w:rPr>
        <w:t xml:space="preserve"> развития социально-предпринимательских корпораций, одобренной постановлением Правительства Республики Казахстан № 1382 от 31 октября 2012 года.</w:t>
      </w:r>
    </w:p>
    <w:bookmarkStart w:name="z6" w:id="4"/>
    <w:p>
      <w:pPr>
        <w:spacing w:after="0"/>
        <w:ind w:left="0"/>
        <w:jc w:val="both"/>
      </w:pPr>
      <w:r>
        <w:rPr>
          <w:rFonts w:ascii="Times New Roman"/>
          <w:b w:val="false"/>
          <w:i w:val="false"/>
          <w:color w:val="000000"/>
          <w:sz w:val="28"/>
        </w:rPr>
        <w:t>
      Анализ текущего состояния</w:t>
      </w:r>
    </w:p>
    <w:bookmarkEnd w:id="4"/>
    <w:bookmarkStart w:name="z7" w:id="5"/>
    <w:p>
      <w:pPr>
        <w:spacing w:after="0"/>
        <w:ind w:left="0"/>
        <w:jc w:val="both"/>
      </w:pPr>
      <w:r>
        <w:rPr>
          <w:rFonts w:ascii="Times New Roman"/>
          <w:b w:val="false"/>
          <w:i w:val="false"/>
          <w:color w:val="000000"/>
          <w:sz w:val="28"/>
        </w:rPr>
        <w:t xml:space="preserve">
      1. Анализ внешней среды </w:t>
      </w:r>
    </w:p>
    <w:bookmarkEnd w:id="5"/>
    <w:bookmarkStart w:name="z8" w:id="6"/>
    <w:p>
      <w:pPr>
        <w:spacing w:after="0"/>
        <w:ind w:left="0"/>
        <w:jc w:val="both"/>
      </w:pPr>
      <w:r>
        <w:rPr>
          <w:rFonts w:ascii="Times New Roman"/>
          <w:b w:val="false"/>
          <w:i w:val="false"/>
          <w:color w:val="000000"/>
          <w:sz w:val="28"/>
        </w:rPr>
        <w:t>
      Общая характеристика</w:t>
      </w:r>
    </w:p>
    <w:bookmarkEnd w:id="6"/>
    <w:p>
      <w:pPr>
        <w:spacing w:after="0"/>
        <w:ind w:left="0"/>
        <w:jc w:val="both"/>
      </w:pPr>
      <w:r>
        <w:rPr>
          <w:rFonts w:ascii="Times New Roman"/>
          <w:b w:val="false"/>
          <w:i w:val="false"/>
          <w:color w:val="000000"/>
          <w:sz w:val="28"/>
        </w:rPr>
        <w:t xml:space="preserve">
      Восточно-Казахстанской области </w:t>
      </w:r>
    </w:p>
    <w:p>
      <w:pPr>
        <w:spacing w:after="0"/>
        <w:ind w:left="0"/>
        <w:jc w:val="both"/>
      </w:pPr>
      <w:r>
        <w:rPr>
          <w:rFonts w:ascii="Times New Roman"/>
          <w:b w:val="false"/>
          <w:i w:val="false"/>
          <w:color w:val="000000"/>
          <w:sz w:val="28"/>
        </w:rPr>
        <w:t>
      Восточно-Казахстанская область расположена на северо-востоке Республики Казахстан, образована 20 февраля 1932 года. В настоящее время административным центром области является город Усть-Каменогорск.</w:t>
      </w:r>
    </w:p>
    <w:p>
      <w:pPr>
        <w:spacing w:after="0"/>
        <w:ind w:left="0"/>
        <w:jc w:val="both"/>
      </w:pPr>
      <w:r>
        <w:rPr>
          <w:rFonts w:ascii="Times New Roman"/>
          <w:b w:val="false"/>
          <w:i w:val="false"/>
          <w:color w:val="000000"/>
          <w:sz w:val="28"/>
        </w:rPr>
        <w:t>
      Регион имеет выгодное географическое положение: граничит с Российской Федерацией, КНР, а также с тремя областями Казахстана.</w:t>
      </w:r>
    </w:p>
    <w:p>
      <w:pPr>
        <w:spacing w:after="0"/>
        <w:ind w:left="0"/>
        <w:jc w:val="both"/>
      </w:pPr>
      <w:r>
        <w:rPr>
          <w:rFonts w:ascii="Times New Roman"/>
          <w:b w:val="false"/>
          <w:i w:val="false"/>
          <w:color w:val="000000"/>
          <w:sz w:val="28"/>
        </w:rPr>
        <w:t xml:space="preserve">
      Непосредственная близость таких потенциально емких рынков, как Синьцзян-Уйгурский автономный район КНР, Алтайский край и Республика Алтай, Алматинская, Карагандинская и Павлодарская области Республики Казахстан, обеспечивает конкурентное преимущество для сбыта продукции агропромышленного комплекса и горнодобывающей промышленности. Кроме того, приграничное соседство с КНР дает возможность развития экспортоориентированного производства и приграничной торговли. </w:t>
      </w:r>
    </w:p>
    <w:p>
      <w:pPr>
        <w:spacing w:after="0"/>
        <w:ind w:left="0"/>
        <w:jc w:val="both"/>
      </w:pPr>
      <w:r>
        <w:rPr>
          <w:rFonts w:ascii="Times New Roman"/>
          <w:b w:val="false"/>
          <w:i w:val="false"/>
          <w:color w:val="000000"/>
          <w:sz w:val="28"/>
        </w:rPr>
        <w:t xml:space="preserve">
      Согласно данных Агентства Республики Казахстан по статистике население Восточно-Казахстанской области на 1 января 2014 года составило 1 394 114 человек. Таким образом, плотность населения в среднем по области на 1 квадратный километр составила 4,9 человек. </w:t>
      </w:r>
    </w:p>
    <w:bookmarkStart w:name="z9" w:id="7"/>
    <w:p>
      <w:pPr>
        <w:spacing w:after="0"/>
        <w:ind w:left="0"/>
        <w:jc w:val="both"/>
      </w:pPr>
      <w:r>
        <w:rPr>
          <w:rFonts w:ascii="Times New Roman"/>
          <w:b w:val="false"/>
          <w:i w:val="false"/>
          <w:color w:val="000000"/>
          <w:sz w:val="28"/>
        </w:rPr>
        <w:t>
      Оценка природно-ресурсного потенциала области</w:t>
      </w:r>
    </w:p>
    <w:bookmarkEnd w:id="7"/>
    <w:p>
      <w:pPr>
        <w:spacing w:after="0"/>
        <w:ind w:left="0"/>
        <w:jc w:val="both"/>
      </w:pPr>
      <w:r>
        <w:rPr>
          <w:rFonts w:ascii="Times New Roman"/>
          <w:b w:val="false"/>
          <w:i w:val="false"/>
          <w:color w:val="000000"/>
          <w:sz w:val="28"/>
        </w:rPr>
        <w:t xml:space="preserve">
      В природно-климатическом отношении Восточный Казахстан является уникальным регионом. В нем соседствуют степной, пустынный и горно-таежный ландшафты. </w:t>
      </w:r>
    </w:p>
    <w:p>
      <w:pPr>
        <w:spacing w:after="0"/>
        <w:ind w:left="0"/>
        <w:jc w:val="both"/>
      </w:pPr>
      <w:r>
        <w:rPr>
          <w:rFonts w:ascii="Times New Roman"/>
          <w:b w:val="false"/>
          <w:i w:val="false"/>
          <w:color w:val="000000"/>
          <w:sz w:val="28"/>
        </w:rPr>
        <w:t xml:space="preserve">
      Территория области богата водными ресурсами, здесь протекает более 800 рек, общая протяженность которых составляет свыше 10 тысяч километров. Главной водной артерией является река Иртыш с многоводными притоками – горными реками Ульба, Уба, Каракаба, Кальджир, Курчум, Нарым, Бухтарма и другими. В регионе находятся крупные озера Зайсан, Маркаколь, Алаколь, Сасыкколь. Кроме того, имеется большое количество мелких озер, водохранилищ, из которых самым крупным является Бухтарминское. </w:t>
      </w:r>
    </w:p>
    <w:p>
      <w:pPr>
        <w:spacing w:after="0"/>
        <w:ind w:left="0"/>
        <w:jc w:val="both"/>
      </w:pPr>
      <w:r>
        <w:rPr>
          <w:rFonts w:ascii="Times New Roman"/>
          <w:b w:val="false"/>
          <w:i w:val="false"/>
          <w:color w:val="000000"/>
          <w:sz w:val="28"/>
        </w:rPr>
        <w:t xml:space="preserve">
      Климат области резко континентальный, с большой амплитудой суточных, сезонных и среднегодовых колебаний температуры воздуха. </w:t>
      </w:r>
    </w:p>
    <w:p>
      <w:pPr>
        <w:spacing w:after="0"/>
        <w:ind w:left="0"/>
        <w:jc w:val="both"/>
      </w:pPr>
      <w:r>
        <w:rPr>
          <w:rFonts w:ascii="Times New Roman"/>
          <w:b w:val="false"/>
          <w:i w:val="false"/>
          <w:color w:val="000000"/>
          <w:sz w:val="28"/>
        </w:rPr>
        <w:t>
      Около 30 % территории региона покрыто лесами, в которых сосредоточены 70 % запасов деловой древесины Республики Казахстан.</w:t>
      </w:r>
    </w:p>
    <w:p>
      <w:pPr>
        <w:spacing w:after="0"/>
        <w:ind w:left="0"/>
        <w:jc w:val="both"/>
      </w:pPr>
      <w:r>
        <w:rPr>
          <w:rFonts w:ascii="Times New Roman"/>
          <w:b w:val="false"/>
          <w:i w:val="false"/>
          <w:color w:val="000000"/>
          <w:sz w:val="28"/>
        </w:rPr>
        <w:t>
      Область имеет значительные запасы минерально-сырьевых ресурсов и ее главное богатство – полиметаллические руды, которые содержат цинк, свинец, медь, редкие и благородные металлы, имеются месторождения каменного угля, также имеются значительные запасы золота, редких и редкоземельных металлов, сырья для производства цемента, стекольных шлаков, залежи сланца и цеолита.</w:t>
      </w:r>
    </w:p>
    <w:p>
      <w:pPr>
        <w:spacing w:after="0"/>
        <w:ind w:left="0"/>
        <w:jc w:val="both"/>
      </w:pPr>
      <w:r>
        <w:rPr>
          <w:rFonts w:ascii="Times New Roman"/>
          <w:b w:val="false"/>
          <w:i w:val="false"/>
          <w:color w:val="000000"/>
          <w:sz w:val="28"/>
        </w:rPr>
        <w:t xml:space="preserve">
      Наличие богатых месторождений полезных ископаемых создает условия для роста экономики области. Базовой отраслью экономики является цветная металлургия, на долю которой приходится около </w:t>
      </w:r>
    </w:p>
    <w:p>
      <w:pPr>
        <w:spacing w:after="0"/>
        <w:ind w:left="0"/>
        <w:jc w:val="both"/>
      </w:pPr>
      <w:r>
        <w:rPr>
          <w:rFonts w:ascii="Times New Roman"/>
          <w:b w:val="false"/>
          <w:i w:val="false"/>
          <w:color w:val="000000"/>
          <w:sz w:val="28"/>
        </w:rPr>
        <w:t>
      60 % промышленного потенциала области. В номенклатуре выпускаемой металлургическими предприятиями продукции весомую долю занимают свинец, цинк, золото, серебро, титан и магний. В общереспубликанском объеме удельный вес производимого в области свинца составляет 98,4 %, цинка – 96,6 %, аффинированного золота – 56,1 %, аффинированного серебра – 15,7 %, титана, магния, тантала, бериллия и топлива для атомных электростанций – 100 %.</w:t>
      </w:r>
    </w:p>
    <w:p>
      <w:pPr>
        <w:spacing w:after="0"/>
        <w:ind w:left="0"/>
        <w:jc w:val="both"/>
      </w:pPr>
      <w:r>
        <w:rPr>
          <w:rFonts w:ascii="Times New Roman"/>
          <w:b w:val="false"/>
          <w:i w:val="false"/>
          <w:color w:val="000000"/>
          <w:sz w:val="28"/>
        </w:rPr>
        <w:t>
      В регионе также развито машиностроение и металлообработка, лесная и деревообрабатывающая, легкая, пищевая промышленности.</w:t>
      </w:r>
    </w:p>
    <w:p>
      <w:pPr>
        <w:spacing w:after="0"/>
        <w:ind w:left="0"/>
        <w:jc w:val="both"/>
      </w:pPr>
      <w:r>
        <w:rPr>
          <w:rFonts w:ascii="Times New Roman"/>
          <w:b w:val="false"/>
          <w:i w:val="false"/>
          <w:color w:val="000000"/>
          <w:sz w:val="28"/>
        </w:rPr>
        <w:t>
      Энергетический комплекс представлен тремя гидроэнергетическими (Усть-Каменогорская, Бухтарминская, Шульбинская и Лениногорский каскад ГЭС) и четырьмя тепловыми станциями (Усть-Каменогорская, Семипалатинская, Лениногорская, Согринская ТЭЦ).</w:t>
      </w:r>
    </w:p>
    <w:p>
      <w:pPr>
        <w:spacing w:after="0"/>
        <w:ind w:left="0"/>
        <w:jc w:val="both"/>
      </w:pPr>
      <w:r>
        <w:rPr>
          <w:rFonts w:ascii="Times New Roman"/>
          <w:b w:val="false"/>
          <w:i w:val="false"/>
          <w:color w:val="000000"/>
          <w:sz w:val="28"/>
        </w:rPr>
        <w:t xml:space="preserve">
      Транспортный комплекс области включает в себя все виды сообщения: автомобильный, железнодорожный, водный и воздушный. Регион располагает самой протяженной в Республике Казахстан сетью автомобильных дорог общего пользования – 11 841,8 километров. Доля внутренних автомобильных дорог с твердым покрытием составляет 90,9 % от общей их протяженности. По территории региона проходят два магистральных автотранспортных коридора: Омск – Майкапчагай и Алматы – Риддер – граница Российской Федерации. </w:t>
      </w:r>
    </w:p>
    <w:p>
      <w:pPr>
        <w:spacing w:after="0"/>
        <w:ind w:left="0"/>
        <w:jc w:val="both"/>
      </w:pPr>
      <w:r>
        <w:rPr>
          <w:rFonts w:ascii="Times New Roman"/>
          <w:b w:val="false"/>
          <w:i w:val="false"/>
          <w:color w:val="000000"/>
          <w:sz w:val="28"/>
        </w:rPr>
        <w:t>
      Регион имеет достаточную разветвленную железнодорожную сеть: ст. Защита – Алматы, Алматы – Аягоз – Шар – Семей – Локоть (Российская Федерация), Шар – Усть-Каменогорск – Шемонаиха – Локоть (Российская Федерация), Усть-Каменогорск – Риддер, Усть-Каменогорск – Зыряновск, Семей – Курчатов – Аксу – Павлодар.</w:t>
      </w:r>
    </w:p>
    <w:p>
      <w:pPr>
        <w:spacing w:after="0"/>
        <w:ind w:left="0"/>
        <w:jc w:val="both"/>
      </w:pPr>
      <w:r>
        <w:rPr>
          <w:rFonts w:ascii="Times New Roman"/>
          <w:b w:val="false"/>
          <w:i w:val="false"/>
          <w:color w:val="000000"/>
          <w:sz w:val="28"/>
        </w:rPr>
        <w:t>
      Перевозку пассажиров и грузов по речным судоходным путям осуществляют три предприятия речного транспорта, функционируют два грузовых порта.</w:t>
      </w:r>
    </w:p>
    <w:bookmarkStart w:name="z10" w:id="8"/>
    <w:p>
      <w:pPr>
        <w:spacing w:after="0"/>
        <w:ind w:left="0"/>
        <w:jc w:val="both"/>
      </w:pPr>
      <w:r>
        <w:rPr>
          <w:rFonts w:ascii="Times New Roman"/>
          <w:b w:val="false"/>
          <w:i w:val="false"/>
          <w:color w:val="000000"/>
          <w:sz w:val="28"/>
        </w:rPr>
        <w:t>
      Оценка экономической ситуации области</w:t>
      </w:r>
    </w:p>
    <w:bookmarkEnd w:id="8"/>
    <w:p>
      <w:pPr>
        <w:spacing w:after="0"/>
        <w:ind w:left="0"/>
        <w:jc w:val="both"/>
      </w:pPr>
      <w:r>
        <w:rPr>
          <w:rFonts w:ascii="Times New Roman"/>
          <w:b w:val="false"/>
          <w:i w:val="false"/>
          <w:color w:val="000000"/>
          <w:sz w:val="28"/>
        </w:rPr>
        <w:t>
      Состояние экономического развития региона характеризуется положительной динамикой развития.</w:t>
      </w:r>
    </w:p>
    <w:p>
      <w:pPr>
        <w:spacing w:after="0"/>
        <w:ind w:left="0"/>
        <w:jc w:val="both"/>
      </w:pPr>
      <w:r>
        <w:rPr>
          <w:rFonts w:ascii="Times New Roman"/>
          <w:b w:val="false"/>
          <w:i w:val="false"/>
          <w:color w:val="000000"/>
          <w:sz w:val="28"/>
        </w:rPr>
        <w:t xml:space="preserve">
      Объем валового регионального продукта с 2006 по 2013 годы увеличился в 3,1 раз. В 2013 году валовый региональный продукт составил 1 761 миллиардов тенге с ростом на 6,8 % к уровню 2012 года (приложение 1, </w:t>
      </w:r>
      <w:r>
        <w:rPr>
          <w:rFonts w:ascii="Times New Roman"/>
          <w:b w:val="false"/>
          <w:i w:val="false"/>
          <w:color w:val="000000"/>
          <w:sz w:val="28"/>
        </w:rPr>
        <w:t>диаграмма 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Объем производства промышленной продукции составил </w:t>
      </w:r>
    </w:p>
    <w:p>
      <w:pPr>
        <w:spacing w:after="0"/>
        <w:ind w:left="0"/>
        <w:jc w:val="both"/>
      </w:pPr>
      <w:r>
        <w:rPr>
          <w:rFonts w:ascii="Times New Roman"/>
          <w:b w:val="false"/>
          <w:i w:val="false"/>
          <w:color w:val="000000"/>
          <w:sz w:val="28"/>
        </w:rPr>
        <w:t>
      1 007,3 миллиардов тенге с ростом к 2012 году на 6,8 % (</w:t>
      </w:r>
      <w:r>
        <w:rPr>
          <w:rFonts w:ascii="Times New Roman"/>
          <w:b w:val="false"/>
          <w:i w:val="false"/>
          <w:color w:val="000000"/>
          <w:sz w:val="28"/>
        </w:rPr>
        <w:t>диаграмма 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Объем валовой продукции сельского хозяйства в 2013 году составил 296,3 миллиардов тенге, с ростом на 25 % по сравнению с аналогичным периодом 2012 года. </w:t>
      </w:r>
    </w:p>
    <w:p>
      <w:pPr>
        <w:spacing w:after="0"/>
        <w:ind w:left="0"/>
        <w:jc w:val="both"/>
      </w:pPr>
      <w:r>
        <w:rPr>
          <w:rFonts w:ascii="Times New Roman"/>
          <w:b w:val="false"/>
          <w:i w:val="false"/>
          <w:color w:val="000000"/>
          <w:sz w:val="28"/>
        </w:rPr>
        <w:t>
      Объем инвестиций в основной капитал составили 301,1 миллиардов тенге, увеличился на 14,3 % по сравнению с аналогичным периодом 2012 года.</w:t>
      </w:r>
    </w:p>
    <w:p>
      <w:pPr>
        <w:spacing w:after="0"/>
        <w:ind w:left="0"/>
        <w:jc w:val="both"/>
      </w:pPr>
      <w:r>
        <w:rPr>
          <w:rFonts w:ascii="Times New Roman"/>
          <w:b w:val="false"/>
          <w:i w:val="false"/>
          <w:color w:val="000000"/>
          <w:sz w:val="28"/>
        </w:rPr>
        <w:t>
      По источникам финансирования большую долю составили собственные средства предприятий 193,9 миллиардов тенге, республиканский бюджет – 53,2 миллиарда тенге, заемные средства – 29 миллиардов тенге, местный бюджет – 16 миллиардов тенге, иностранные инвестиции – 9 миллиардов тенге.</w:t>
      </w:r>
    </w:p>
    <w:p>
      <w:pPr>
        <w:spacing w:after="0"/>
        <w:ind w:left="0"/>
        <w:jc w:val="both"/>
      </w:pPr>
      <w:r>
        <w:rPr>
          <w:rFonts w:ascii="Times New Roman"/>
          <w:b w:val="false"/>
          <w:i w:val="false"/>
          <w:color w:val="000000"/>
          <w:sz w:val="28"/>
        </w:rPr>
        <w:t>
      Ввод жилья в эксплуатацию за 2013 год увеличился на 19,4 % по сравнению с аналогичным периодом 2012 года и составил 291,3 тысячи квадратных метров общей площади.</w:t>
      </w:r>
    </w:p>
    <w:p>
      <w:pPr>
        <w:spacing w:after="0"/>
        <w:ind w:left="0"/>
        <w:jc w:val="both"/>
      </w:pPr>
      <w:r>
        <w:rPr>
          <w:rFonts w:ascii="Times New Roman"/>
          <w:b w:val="false"/>
          <w:i w:val="false"/>
          <w:color w:val="000000"/>
          <w:sz w:val="28"/>
        </w:rPr>
        <w:t>
      Увеличение темпов роста реального сектора благоприятно сказалось на объемах бюджета. За 2013 год поступления в государственный бюджет составили 183,6 миллиардов тенге, из них в бюджет области поступило доходов на сумму 70,2 миллиардов тенге.</w:t>
      </w:r>
    </w:p>
    <w:p>
      <w:pPr>
        <w:spacing w:after="0"/>
        <w:ind w:left="0"/>
        <w:jc w:val="both"/>
      </w:pPr>
      <w:r>
        <w:rPr>
          <w:rFonts w:ascii="Times New Roman"/>
          <w:b w:val="false"/>
          <w:i w:val="false"/>
          <w:color w:val="000000"/>
          <w:sz w:val="28"/>
        </w:rPr>
        <w:t xml:space="preserve">
      В социальной сфере уровень безработицы в 2013 году сохранился по сравнению в 2012 годом и составил 5,1 %. </w:t>
      </w:r>
    </w:p>
    <w:p>
      <w:pPr>
        <w:spacing w:after="0"/>
        <w:ind w:left="0"/>
        <w:jc w:val="both"/>
      </w:pPr>
      <w:r>
        <w:rPr>
          <w:rFonts w:ascii="Times New Roman"/>
          <w:b w:val="false"/>
          <w:i w:val="false"/>
          <w:color w:val="000000"/>
          <w:sz w:val="28"/>
        </w:rPr>
        <w:t xml:space="preserve">
      Количество активных субъектов малого и среднего бизнеса (с учетом индивидуальных предпринимателей и крестьянских хозяйств) составило 75 776 единиц (основную долю занимают индивидуальные предприниматели – 75 %, крестьянские хозяйства – 17,3 %, юридических лиц – 7,7 %), что на 10 % больше уровня соответствующего периода 2012 года (приложение 1, </w:t>
      </w:r>
      <w:r>
        <w:rPr>
          <w:rFonts w:ascii="Times New Roman"/>
          <w:b w:val="false"/>
          <w:i w:val="false"/>
          <w:color w:val="000000"/>
          <w:sz w:val="28"/>
        </w:rPr>
        <w:t>таблица 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Численность занятых в этой сфере выросла на 0,2 % и составила 231,2 тысяч человек. Доля занятых в малом и среднем бизнесе составила 30,8 % от общего количества экономически активного населения области, что на 0,4 % больше чем в предыдущем году. </w:t>
      </w:r>
    </w:p>
    <w:p>
      <w:pPr>
        <w:spacing w:after="0"/>
        <w:ind w:left="0"/>
        <w:jc w:val="both"/>
      </w:pPr>
      <w:r>
        <w:rPr>
          <w:rFonts w:ascii="Times New Roman"/>
          <w:b w:val="false"/>
          <w:i w:val="false"/>
          <w:color w:val="000000"/>
          <w:sz w:val="28"/>
        </w:rPr>
        <w:t>
      Выпуск продукции (товаров, услуг) субъектами малого и среднего бизнеса составил 464,3 миллиардов тенге или 106,2 % к 2011 году. Индекс выпуска продукции составил 101,1 % при среднереспубликанском показателе – 100,2 %.</w:t>
      </w:r>
    </w:p>
    <w:p>
      <w:pPr>
        <w:spacing w:after="0"/>
        <w:ind w:left="0"/>
        <w:jc w:val="both"/>
      </w:pPr>
      <w:r>
        <w:rPr>
          <w:rFonts w:ascii="Times New Roman"/>
          <w:b w:val="false"/>
          <w:i w:val="false"/>
          <w:color w:val="000000"/>
          <w:sz w:val="28"/>
        </w:rPr>
        <w:t xml:space="preserve">
      В целях развития бизнеса на селе, СПК как уполномоченная местным исполнительным органом региональная организация по организации микрокредитования, участвовала в реализации </w:t>
      </w:r>
      <w:r>
        <w:rPr>
          <w:rFonts w:ascii="Times New Roman"/>
          <w:b w:val="false"/>
          <w:i w:val="false"/>
          <w:color w:val="000000"/>
          <w:sz w:val="28"/>
        </w:rPr>
        <w:t>"Программы занятости 2020"</w:t>
      </w:r>
      <w:r>
        <w:rPr>
          <w:rFonts w:ascii="Times New Roman"/>
          <w:b w:val="false"/>
          <w:i w:val="false"/>
          <w:color w:val="000000"/>
          <w:sz w:val="28"/>
        </w:rPr>
        <w:t>, утвержденной постановлением Правительства Республики Казахстан от 31 марта 2011 года № 316.</w:t>
      </w:r>
    </w:p>
    <w:p>
      <w:pPr>
        <w:spacing w:after="0"/>
        <w:ind w:left="0"/>
        <w:jc w:val="both"/>
      </w:pPr>
      <w:r>
        <w:rPr>
          <w:rFonts w:ascii="Times New Roman"/>
          <w:b w:val="false"/>
          <w:i w:val="false"/>
          <w:color w:val="000000"/>
          <w:sz w:val="28"/>
        </w:rPr>
        <w:t>
      В рамках второго направления "Программы занятости 2020" в целях предоставления микрокредитов населению было выделено 3,1 миллиарда тенге. В 2013 году СПК для микрокредитования выделено 6 миллиардов тенге. СПК выданы кредиты 200 кредитным товариществам и 1 микрокредитной организации, которые в свою очередь прокредитовали 3 997 заемщиков.</w:t>
      </w:r>
    </w:p>
    <w:p>
      <w:pPr>
        <w:spacing w:after="0"/>
        <w:ind w:left="0"/>
        <w:jc w:val="both"/>
      </w:pPr>
      <w:r>
        <w:rPr>
          <w:rFonts w:ascii="Times New Roman"/>
          <w:b w:val="false"/>
          <w:i w:val="false"/>
          <w:color w:val="000000"/>
          <w:sz w:val="28"/>
        </w:rPr>
        <w:t xml:space="preserve">
      В 2013 году в рамках реализации "Программы развития моногородов на 2012 – 2020 годы",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мая 2012 года № 683, между СПК, акиматами моногородов и отделами предпринимательства моногородов заключены кредитные договора на общую сумму 211,2 миллионов тенге, в том числе: г. Курчатов – 48,89 миллионов тенге; г. Риддер – 50 миллионов тенге; Зыряновский район (г. Зыряновск, г. Серебрянск) – 112, 35 миллионов тенге.</w:t>
      </w:r>
    </w:p>
    <w:p>
      <w:pPr>
        <w:spacing w:after="0"/>
        <w:ind w:left="0"/>
        <w:jc w:val="both"/>
      </w:pPr>
      <w:r>
        <w:rPr>
          <w:rFonts w:ascii="Times New Roman"/>
          <w:b w:val="false"/>
          <w:i w:val="false"/>
          <w:color w:val="000000"/>
          <w:sz w:val="28"/>
        </w:rPr>
        <w:t xml:space="preserve">
      По результатам проведенного конкурса по отбору микрофинансовых организации для последующего микрокредитования участников Программы развития моногородов, заключены договора о предоставлении кредита с 6 кредитными товариществами, на общую сумму 211,24 миллионов тенге. </w:t>
      </w:r>
    </w:p>
    <w:p>
      <w:pPr>
        <w:spacing w:after="0"/>
        <w:ind w:left="0"/>
        <w:jc w:val="both"/>
      </w:pPr>
      <w:r>
        <w:rPr>
          <w:rFonts w:ascii="Times New Roman"/>
          <w:b w:val="false"/>
          <w:i w:val="false"/>
          <w:color w:val="000000"/>
          <w:sz w:val="28"/>
        </w:rPr>
        <w:t xml:space="preserve">
      Общее количество участников Программы развития моногородов в 2013 году составило – 74 заемщика, в том числе: г. Курчатов – 17 заемщиков, г. Риддер – 17 заемщиков, г. Зыряновск и г. Серебрянск – 40 заемщиков. </w:t>
      </w:r>
    </w:p>
    <w:p>
      <w:pPr>
        <w:spacing w:after="0"/>
        <w:ind w:left="0"/>
        <w:jc w:val="both"/>
      </w:pPr>
      <w:r>
        <w:rPr>
          <w:rFonts w:ascii="Times New Roman"/>
          <w:b w:val="false"/>
          <w:i w:val="false"/>
          <w:color w:val="000000"/>
          <w:sz w:val="28"/>
        </w:rPr>
        <w:t>
      В целях развития малого и среднего предпринимательства в сфере промышленности созданы индустриальные зоны в гг. Семей и Усть-Каменогорск. На сегодняшний день поданы заявки предпринимателей на реализацию инвестиционных проектов по открытию производств по выпуску металлоконструкций, строительных материалов, полиэфирных смол и композитных материалов, тормозных колодок для подвижного железнодорожного состава, комплексной переработки шерсти и др.</w:t>
      </w:r>
    </w:p>
    <w:p>
      <w:pPr>
        <w:spacing w:after="0"/>
        <w:ind w:left="0"/>
        <w:jc w:val="both"/>
      </w:pPr>
      <w:r>
        <w:rPr>
          <w:rFonts w:ascii="Times New Roman"/>
          <w:b w:val="false"/>
          <w:i w:val="false"/>
          <w:color w:val="000000"/>
          <w:sz w:val="28"/>
        </w:rPr>
        <w:t>
      Кроме того, для развития сектора малого и среднего предпринимательства СПК будет оказывать нефинансовую поддержку бизнесу в рамках своей деятельности. Данный вид помощи включает в себя сопровождение деятельности субъектов малого и среднего предпринимательства в вопросах организации современных конкурентоспособных производств и инновационной деятельности; оказание информационно-аналитической поддержки бизнес-сообществу; проведение круглых столов, семинаров с представителями бизнеса, холдингов и иностранных компаний по актуальным вопросам и другое.</w:t>
      </w:r>
    </w:p>
    <w:p>
      <w:pPr>
        <w:spacing w:after="0"/>
        <w:ind w:left="0"/>
        <w:jc w:val="both"/>
      </w:pPr>
      <w:r>
        <w:rPr>
          <w:rFonts w:ascii="Times New Roman"/>
          <w:b w:val="false"/>
          <w:i w:val="false"/>
          <w:color w:val="000000"/>
          <w:sz w:val="28"/>
        </w:rPr>
        <w:t xml:space="preserve">
      На основании вышеизложенного, отмечаем, что положительная динамика социально-экономического развития области (приложение 1, </w:t>
      </w:r>
      <w:r>
        <w:rPr>
          <w:rFonts w:ascii="Times New Roman"/>
          <w:b w:val="false"/>
          <w:i w:val="false"/>
          <w:color w:val="000000"/>
          <w:sz w:val="28"/>
        </w:rPr>
        <w:t>таблица 2</w:t>
      </w:r>
      <w:r>
        <w:rPr>
          <w:rFonts w:ascii="Times New Roman"/>
          <w:b w:val="false"/>
          <w:i w:val="false"/>
          <w:color w:val="000000"/>
          <w:sz w:val="28"/>
        </w:rPr>
        <w:t xml:space="preserve">), природный потенциал, а также потенциал сферы малого и среднего бизнеса открывают для СПК объективные возможности в развитии экономики региона. </w:t>
      </w:r>
    </w:p>
    <w:p>
      <w:pPr>
        <w:spacing w:after="0"/>
        <w:ind w:left="0"/>
        <w:jc w:val="both"/>
      </w:pPr>
      <w:r>
        <w:rPr>
          <w:rFonts w:ascii="Times New Roman"/>
          <w:b w:val="false"/>
          <w:i w:val="false"/>
          <w:color w:val="000000"/>
          <w:sz w:val="28"/>
        </w:rPr>
        <w:t>
      Дальнейший социально-экономический рост в области с участием СПК возможен путем создания условий для развития крупного, среднего и малого бизнеса и соответствующей инфраструктуры "в точках роста".</w:t>
      </w:r>
    </w:p>
    <w:bookmarkStart w:name="z11" w:id="9"/>
    <w:p>
      <w:pPr>
        <w:spacing w:after="0"/>
        <w:ind w:left="0"/>
        <w:jc w:val="both"/>
      </w:pPr>
      <w:r>
        <w:rPr>
          <w:rFonts w:ascii="Times New Roman"/>
          <w:b w:val="false"/>
          <w:i w:val="false"/>
          <w:color w:val="000000"/>
          <w:sz w:val="28"/>
        </w:rPr>
        <w:t>
      Анализ состояния приоритетных отраслей области</w:t>
      </w:r>
    </w:p>
    <w:bookmarkEnd w:id="9"/>
    <w:p>
      <w:pPr>
        <w:spacing w:after="0"/>
        <w:ind w:left="0"/>
        <w:jc w:val="both"/>
      </w:pPr>
      <w:r>
        <w:rPr>
          <w:rFonts w:ascii="Times New Roman"/>
          <w:b w:val="false"/>
          <w:i w:val="false"/>
          <w:color w:val="000000"/>
          <w:sz w:val="28"/>
        </w:rPr>
        <w:t>
      Основу горнодобывающей промышленности составляют 62 действующих предприятия, из них 47 малых, 11 средних и 4 крупных, которые занимаются также добычей общераспространенных полезных ископаемых.</w:t>
      </w:r>
    </w:p>
    <w:p>
      <w:pPr>
        <w:spacing w:after="0"/>
        <w:ind w:left="0"/>
        <w:jc w:val="both"/>
      </w:pPr>
      <w:r>
        <w:rPr>
          <w:rFonts w:ascii="Times New Roman"/>
          <w:b w:val="false"/>
          <w:i w:val="false"/>
          <w:color w:val="000000"/>
          <w:sz w:val="28"/>
        </w:rPr>
        <w:t>
      Доля горнодобывающей промышленности в общем объеме промышленного производства составляет порядка 18 %.</w:t>
      </w:r>
    </w:p>
    <w:p>
      <w:pPr>
        <w:spacing w:after="0"/>
        <w:ind w:left="0"/>
        <w:jc w:val="both"/>
      </w:pPr>
      <w:r>
        <w:rPr>
          <w:rFonts w:ascii="Times New Roman"/>
          <w:b w:val="false"/>
          <w:i w:val="false"/>
          <w:color w:val="000000"/>
          <w:sz w:val="28"/>
        </w:rPr>
        <w:t>
      Динамика производства товарной продукции в горнодобывающей промышленности за последние 5 лет показывает стабильный рост, однако необходимо отметить, что объем добычи зависит от динамики цен на металлы на мировых фондовых биржах.</w:t>
      </w:r>
    </w:p>
    <w:p>
      <w:pPr>
        <w:spacing w:after="0"/>
        <w:ind w:left="0"/>
        <w:jc w:val="both"/>
      </w:pPr>
      <w:r>
        <w:rPr>
          <w:rFonts w:ascii="Times New Roman"/>
          <w:b w:val="false"/>
          <w:i w:val="false"/>
          <w:color w:val="000000"/>
          <w:sz w:val="28"/>
        </w:rPr>
        <w:t>
      Обрабатывающая промышленность, являющаяся основой диверсификации промышленного производства, включает следующие подотрасли: металлургическая промышленность и производство готовых металлических изделий (с удельным весом в отрасли 57,2 %), машиностроение (13,7 %), производство прочих неметаллических минеральных продуктов (7,2 %), производство резиновых и пластмассовых изделий (1 %), химическая промышленность (2,5 %), целлюлозно-бумажная промышленность и издательское дело (0,8 %), обработка древесины и производство изделий из дерева (0,4 %), текстильная и швейная промышленность (0,4 %). В обрабатывающей промышленности задействовано 798 предприятий, в том числе 103 крупных и средних.</w:t>
      </w:r>
    </w:p>
    <w:p>
      <w:pPr>
        <w:spacing w:after="0"/>
        <w:ind w:left="0"/>
        <w:jc w:val="both"/>
      </w:pPr>
      <w:r>
        <w:rPr>
          <w:rFonts w:ascii="Times New Roman"/>
          <w:b w:val="false"/>
          <w:i w:val="false"/>
          <w:color w:val="000000"/>
          <w:sz w:val="28"/>
        </w:rPr>
        <w:t>
      Доля обрабатывающей промышленности в общем объеме промышленного потенциала области составляет 72 %.</w:t>
      </w:r>
    </w:p>
    <w:p>
      <w:pPr>
        <w:spacing w:after="0"/>
        <w:ind w:left="0"/>
        <w:jc w:val="both"/>
      </w:pPr>
      <w:r>
        <w:rPr>
          <w:rFonts w:ascii="Times New Roman"/>
          <w:b w:val="false"/>
          <w:i w:val="false"/>
          <w:color w:val="000000"/>
          <w:sz w:val="28"/>
        </w:rPr>
        <w:t xml:space="preserve">
      В сфере обрабатывающей промышленности с 2009 года СПК совместно с ТОО "Теньши" реализует проект по созданию в регионе предприятия по выпуску комовой негашеной извести. </w:t>
      </w:r>
    </w:p>
    <w:p>
      <w:pPr>
        <w:spacing w:after="0"/>
        <w:ind w:left="0"/>
        <w:jc w:val="both"/>
      </w:pPr>
      <w:r>
        <w:rPr>
          <w:rFonts w:ascii="Times New Roman"/>
          <w:b w:val="false"/>
          <w:i w:val="false"/>
          <w:color w:val="000000"/>
          <w:sz w:val="28"/>
        </w:rPr>
        <w:t>
      На сегодняшний день СПК провело прямые переговоры с Министерством индустрии и новых технологий Республики Казахстан на заключение контракта на недропользование по 49 объектам с общим объемом инвестиций около 35 миллиардов тенге, с общей суммой отчислений на социально-экономическое развитие региона и его инфраструктуры – 736 миллионов тенге ежегодно.</w:t>
      </w:r>
    </w:p>
    <w:p>
      <w:pPr>
        <w:spacing w:after="0"/>
        <w:ind w:left="0"/>
        <w:jc w:val="both"/>
      </w:pPr>
      <w:r>
        <w:rPr>
          <w:rFonts w:ascii="Times New Roman"/>
          <w:b w:val="false"/>
          <w:i w:val="false"/>
          <w:color w:val="000000"/>
          <w:sz w:val="28"/>
        </w:rPr>
        <w:t xml:space="preserve">
      Основные работы связаны с разведкой месторождений. На сегодняшний день СПК заключено 13 контрактов на недропользование, сумма инвестиций 8,028 миллиардов тенге, ежегодные отчисления на социально-экономическое развитие региона и его инфраструктуры – 30,35 миллионов тенге. Из них, за 2013 год – 10 контрактов на сумму инвестиций – 6,4 миллиардов тенге, ежегодные отчисления на социально-экономическое развитие региона и его инфраструктуры – 23,75 миллионов тенге (3 контракта заключены в 2012 году). По 10 объектам (инвестиции 16,7 миллиардов тенге) проектные документы прошли согласование в центральной комиссии по разведке и разработке полезных ископаемых, по 26 объектам (инвестиции – 10,1 миллиардов тенге) ведутся работы по разработке и согласованию проектной документации. </w:t>
      </w:r>
    </w:p>
    <w:p>
      <w:pPr>
        <w:spacing w:after="0"/>
        <w:ind w:left="0"/>
        <w:jc w:val="both"/>
      </w:pPr>
      <w:r>
        <w:rPr>
          <w:rFonts w:ascii="Times New Roman"/>
          <w:b w:val="false"/>
          <w:i w:val="false"/>
          <w:color w:val="000000"/>
          <w:sz w:val="28"/>
        </w:rPr>
        <w:t>
      Машиностроительный комплекс является одним из динамично развивающихся в регионе. В области активно действуют более 130 хозяйствующих субъектов, выпускающих машиностроительную продукцию. Наибольший удельный вес в структуре промышленного производства всех типов предприятий занимают 18 крупных и средних предприятий, их вклад в объеме машиностроения составляет более 80 %.</w:t>
      </w:r>
    </w:p>
    <w:p>
      <w:pPr>
        <w:spacing w:after="0"/>
        <w:ind w:left="0"/>
        <w:jc w:val="both"/>
      </w:pPr>
      <w:r>
        <w:rPr>
          <w:rFonts w:ascii="Times New Roman"/>
          <w:b w:val="false"/>
          <w:i w:val="false"/>
          <w:color w:val="000000"/>
          <w:sz w:val="28"/>
        </w:rPr>
        <w:t xml:space="preserve">
      Для развития машиностроительной отрасли СПК приступило к реализации крупномасштабного проекта "Строительство автозавода полного цикла и технопарка по производству автокомпонентов в городе Усть-Каменогорск", включенного в </w:t>
      </w:r>
      <w:r>
        <w:rPr>
          <w:rFonts w:ascii="Times New Roman"/>
          <w:b w:val="false"/>
          <w:i w:val="false"/>
          <w:color w:val="000000"/>
          <w:sz w:val="28"/>
        </w:rPr>
        <w:t>Республиканскую карту</w:t>
      </w:r>
      <w:r>
        <w:rPr>
          <w:rFonts w:ascii="Times New Roman"/>
          <w:b w:val="false"/>
          <w:i w:val="false"/>
          <w:color w:val="000000"/>
          <w:sz w:val="28"/>
        </w:rPr>
        <w:t xml:space="preserve"> индустриализации на 2010 – 2014 годы с привлечением крупного инвестора в лице ОАО "АВТОВАЗ". </w:t>
      </w:r>
    </w:p>
    <w:p>
      <w:pPr>
        <w:spacing w:after="0"/>
        <w:ind w:left="0"/>
        <w:jc w:val="both"/>
      </w:pPr>
      <w:r>
        <w:rPr>
          <w:rFonts w:ascii="Times New Roman"/>
          <w:b w:val="false"/>
          <w:i w:val="false"/>
          <w:color w:val="000000"/>
          <w:sz w:val="28"/>
        </w:rPr>
        <w:t xml:space="preserve">
      Завершение проекта планируется в 2015 году. Проектная мощность составит 120 тысяч автомобилей в год. </w:t>
      </w:r>
    </w:p>
    <w:p>
      <w:pPr>
        <w:spacing w:after="0"/>
        <w:ind w:left="0"/>
        <w:jc w:val="both"/>
      </w:pPr>
      <w:r>
        <w:rPr>
          <w:rFonts w:ascii="Times New Roman"/>
          <w:b w:val="false"/>
          <w:i w:val="false"/>
          <w:color w:val="000000"/>
          <w:sz w:val="28"/>
        </w:rPr>
        <w:t>
      При выходе на проектную мощность, число работающих на автозаводе составит 4 тысячи человек, с учетом смежного производства численность рабочих мест превысит 12 тысяч человек. Это значительно превышает не только региональный показатель, но и лучшие показатели по отрасли в целом. Кроме этого, проект значительно снизит уровень безработицы в регионе (общее количество незанятых в ВКО составляет 38,2 тысяч человек).</w:t>
      </w:r>
    </w:p>
    <w:p>
      <w:pPr>
        <w:spacing w:after="0"/>
        <w:ind w:left="0"/>
        <w:jc w:val="both"/>
      </w:pPr>
      <w:r>
        <w:rPr>
          <w:rFonts w:ascii="Times New Roman"/>
          <w:b w:val="false"/>
          <w:i w:val="false"/>
          <w:color w:val="000000"/>
          <w:sz w:val="28"/>
        </w:rPr>
        <w:t>
      При выходе на запланированную мощность и запуск производств автокомпонентов в технопарке, доля казахстанского содержания превысит 50 %. При этом доля содержания товаров Таможенного союза в конечном продукте составит более 90 %.</w:t>
      </w:r>
    </w:p>
    <w:p>
      <w:pPr>
        <w:spacing w:after="0"/>
        <w:ind w:left="0"/>
        <w:jc w:val="both"/>
      </w:pPr>
      <w:r>
        <w:rPr>
          <w:rFonts w:ascii="Times New Roman"/>
          <w:b w:val="false"/>
          <w:i w:val="false"/>
          <w:color w:val="000000"/>
          <w:sz w:val="28"/>
        </w:rPr>
        <w:t xml:space="preserve">
      Несмотря на исторический сложившийся индустриальный характер экономики в регионе существует проблема полной или частичной остановки крупных промышленных предприятий в моногородах. </w:t>
      </w:r>
    </w:p>
    <w:p>
      <w:pPr>
        <w:spacing w:after="0"/>
        <w:ind w:left="0"/>
        <w:jc w:val="both"/>
      </w:pPr>
      <w:r>
        <w:rPr>
          <w:rFonts w:ascii="Times New Roman"/>
          <w:b w:val="false"/>
          <w:i w:val="false"/>
          <w:color w:val="000000"/>
          <w:sz w:val="28"/>
        </w:rPr>
        <w:t xml:space="preserve">
      Так, например, производство на ТОО "Серебрянский завод неорганических производств" (ТОО – СЗНП) к началу 2012 года было приостановлено, что отрицательно сказалось на социально-экономической ситуации в Зыряновском районе ВКО. </w:t>
      </w:r>
    </w:p>
    <w:p>
      <w:pPr>
        <w:spacing w:after="0"/>
        <w:ind w:left="0"/>
        <w:jc w:val="both"/>
      </w:pPr>
      <w:r>
        <w:rPr>
          <w:rFonts w:ascii="Times New Roman"/>
          <w:b w:val="false"/>
          <w:i w:val="false"/>
          <w:color w:val="000000"/>
          <w:sz w:val="28"/>
        </w:rPr>
        <w:t xml:space="preserve">
      Для решения этой проблемы акиматом области совместно с СПК создано совместное предприятие со 100 % участием СПК – ТОО "СЗНП Ертiс". </w:t>
      </w:r>
    </w:p>
    <w:p>
      <w:pPr>
        <w:spacing w:after="0"/>
        <w:ind w:left="0"/>
        <w:jc w:val="both"/>
      </w:pPr>
      <w:r>
        <w:rPr>
          <w:rFonts w:ascii="Times New Roman"/>
          <w:b w:val="false"/>
          <w:i w:val="false"/>
          <w:color w:val="000000"/>
          <w:sz w:val="28"/>
        </w:rPr>
        <w:t xml:space="preserve">
      Для полноценного возобновления деятельности ТОО "СЗНП" выделена сумма в размере 100 миллионов тенге из областного бюджета. </w:t>
      </w:r>
    </w:p>
    <w:p>
      <w:pPr>
        <w:spacing w:after="0"/>
        <w:ind w:left="0"/>
        <w:jc w:val="both"/>
      </w:pPr>
      <w:r>
        <w:rPr>
          <w:rFonts w:ascii="Times New Roman"/>
          <w:b w:val="false"/>
          <w:i w:val="false"/>
          <w:color w:val="000000"/>
          <w:sz w:val="28"/>
        </w:rPr>
        <w:t xml:space="preserve">
      Работа между ТОО "СЗНП" и ТОО "СЗНП "Ертiс" была основана на договоре переработки давальческого сырья. ТОО "СЗНП "Ертiс" приобрело сырье на сумму 70 миллионов тенге, а также закупило услуги ТОО "СЗНП" по его переработке в размере 40 миллионов тенге. </w:t>
      </w:r>
    </w:p>
    <w:p>
      <w:pPr>
        <w:spacing w:after="0"/>
        <w:ind w:left="0"/>
        <w:jc w:val="both"/>
      </w:pPr>
      <w:r>
        <w:rPr>
          <w:rFonts w:ascii="Times New Roman"/>
          <w:b w:val="false"/>
          <w:i w:val="false"/>
          <w:color w:val="000000"/>
          <w:sz w:val="28"/>
        </w:rPr>
        <w:t>
      За 2012 – 2013 годы произведено продукции на 130 миллионов тенге, в период переработки сырья трудоустроено более 300 человек.</w:t>
      </w:r>
    </w:p>
    <w:p>
      <w:pPr>
        <w:spacing w:after="0"/>
        <w:ind w:left="0"/>
        <w:jc w:val="both"/>
      </w:pPr>
      <w:r>
        <w:rPr>
          <w:rFonts w:ascii="Times New Roman"/>
          <w:b w:val="false"/>
          <w:i w:val="false"/>
          <w:color w:val="000000"/>
          <w:sz w:val="28"/>
        </w:rPr>
        <w:t>
      В настоящее время деятельность ТОО "СЗНП Ертiс" сводится к реализации готовой продукции, накопленной на складах предприятия. Реализация готовой продукции осуществляется ТОО "СЗНП", которое, в свою очередь, использует ее для выполнения обязательств по договорам, заключенным с крупными промышленными предприятиями области.</w:t>
      </w:r>
    </w:p>
    <w:p>
      <w:pPr>
        <w:spacing w:after="0"/>
        <w:ind w:left="0"/>
        <w:jc w:val="both"/>
      </w:pPr>
      <w:r>
        <w:rPr>
          <w:rFonts w:ascii="Times New Roman"/>
          <w:b w:val="false"/>
          <w:i w:val="false"/>
          <w:color w:val="000000"/>
          <w:sz w:val="28"/>
        </w:rPr>
        <w:t>
      Важная роль в развитии экономики области принадлежит агропромышленному комплексу, где сосредоточен значительный экономический потенциал. Развитие его в решающей степени определяет уровень продовольственной безопасности области и республики и социально-экономическую обстановку в области. На долю АПК приходится от 8 до 10 % общеобластного внутреннего валового продукта.</w:t>
      </w:r>
    </w:p>
    <w:p>
      <w:pPr>
        <w:spacing w:after="0"/>
        <w:ind w:left="0"/>
        <w:jc w:val="both"/>
      </w:pPr>
      <w:r>
        <w:rPr>
          <w:rFonts w:ascii="Times New Roman"/>
          <w:b w:val="false"/>
          <w:i w:val="false"/>
          <w:color w:val="000000"/>
          <w:sz w:val="28"/>
        </w:rPr>
        <w:t>
      По своей специализации сельское хозяйство области имеет животноводческое направление с развитым растениеводством. Животноводство в структуре валовой продукции сельского хозяйства занимает 60 %.</w:t>
      </w:r>
    </w:p>
    <w:p>
      <w:pPr>
        <w:spacing w:after="0"/>
        <w:ind w:left="0"/>
        <w:jc w:val="both"/>
      </w:pPr>
      <w:r>
        <w:rPr>
          <w:rFonts w:ascii="Times New Roman"/>
          <w:b w:val="false"/>
          <w:i w:val="false"/>
          <w:color w:val="000000"/>
          <w:sz w:val="28"/>
        </w:rPr>
        <w:t xml:space="preserve">
      В 2013 году СПК начала реализацию 2-х совместных проектов: </w:t>
      </w:r>
    </w:p>
    <w:p>
      <w:pPr>
        <w:spacing w:after="0"/>
        <w:ind w:left="0"/>
        <w:jc w:val="both"/>
      </w:pPr>
      <w:r>
        <w:rPr>
          <w:rFonts w:ascii="Times New Roman"/>
          <w:b w:val="false"/>
          <w:i w:val="false"/>
          <w:color w:val="000000"/>
          <w:sz w:val="28"/>
        </w:rPr>
        <w:t xml:space="preserve">
      "Строительство доильного зала на 600 коров в с. Чиркаин Зыряновского района ТОО "Средигорненский", стоимостью 426,8 миллионов тенге, в том числе вклад СПК 41,7 миллионов тенге или 9,8 % от общей стоимости проекта, вклад ТОО – 385,1 миллионов тенге или 90,2 %. Объект введен в эксплуатацию 20 декабря 2013 г., при финансировании АО "КазАгроФинанс" было приобретено оборудование. Так же на основании решения сессии областного маслихата ТОО "Средигорненский" получены субсидии на удешевление затрат строительно-монтажных работ по молочно-товарной ферме в сумме 20,0 миллионов тенге. </w:t>
      </w:r>
    </w:p>
    <w:p>
      <w:pPr>
        <w:spacing w:after="0"/>
        <w:ind w:left="0"/>
        <w:jc w:val="both"/>
      </w:pPr>
      <w:r>
        <w:rPr>
          <w:rFonts w:ascii="Times New Roman"/>
          <w:b w:val="false"/>
          <w:i w:val="false"/>
          <w:color w:val="000000"/>
          <w:sz w:val="28"/>
        </w:rPr>
        <w:t>
      "Организация безотходной переработки шерсти с обезжириванием и повторным использованием воды ТОО "Дерикар" – стоимостью 67,1 миллионов тенге, в том числе вклад СПК 25,0 миллионов тенге или 37,3 % от общей стоимости проекта, создано совместное предприятие ТОО "Дерикар Ертіс" на базе ТОО "Дерикар" численностью 70 человек. В настоящее время реализовано 25,5 тонн мытой шерсти в г. Кокчетав на войлочную фабрику на 4 миллиона тенге по цене 1,1 условная единица за 1 кг. Проект запущен 25 сентября 2013 года. Одновременно ведутся переговоры с возможными покупателями продукции из Российской Федерации (Борская фабрика ПОШ Нижегородская область, Московская шерстопрядильная фабрика г. Москва) и КНР.</w:t>
      </w:r>
    </w:p>
    <w:p>
      <w:pPr>
        <w:spacing w:after="0"/>
        <w:ind w:left="0"/>
        <w:jc w:val="both"/>
      </w:pPr>
      <w:r>
        <w:rPr>
          <w:rFonts w:ascii="Times New Roman"/>
          <w:b w:val="false"/>
          <w:i w:val="false"/>
          <w:color w:val="000000"/>
          <w:sz w:val="28"/>
        </w:rPr>
        <w:t>
      Отличительной особенностью животноводства области является его многоотраслевой характер. В зависимости от природно-климатических условий и хозяйственной деятельности в области успешно развивается молочное и мясное скотоводство, тонкорунное и грубошерстное овцеводство, свиноводство, коневодство, птицеводство, мараловодство и оленеводство, пчеловодство, верблюдоводство. По развитию мараловодства, оленеводства и производству пантов область является доминирующее положение на рынке Республики Казахстан.</w:t>
      </w:r>
    </w:p>
    <w:p>
      <w:pPr>
        <w:spacing w:after="0"/>
        <w:ind w:left="0"/>
        <w:jc w:val="both"/>
      </w:pPr>
      <w:r>
        <w:rPr>
          <w:rFonts w:ascii="Times New Roman"/>
          <w:b w:val="false"/>
          <w:i w:val="false"/>
          <w:color w:val="000000"/>
          <w:sz w:val="28"/>
        </w:rPr>
        <w:t xml:space="preserve">
      За последние пять лет поголовье овец и коз в области возросло на 6,8 %, лошадей на 20 %, свиней на 8,2 %, пчелосемей на 40 %. </w:t>
      </w:r>
    </w:p>
    <w:p>
      <w:pPr>
        <w:spacing w:after="0"/>
        <w:ind w:left="0"/>
        <w:jc w:val="both"/>
      </w:pPr>
      <w:r>
        <w:rPr>
          <w:rFonts w:ascii="Times New Roman"/>
          <w:b w:val="false"/>
          <w:i w:val="false"/>
          <w:color w:val="000000"/>
          <w:sz w:val="28"/>
        </w:rPr>
        <w:t>
      Однако есть проблемы. Так, за этот период в области поголовье крупного рогатого скота сократилось на 4 %. Основной причиной снижения явились стихийные бедствия (снежные заносы, весеннее наводнение) и заболевания.</w:t>
      </w:r>
    </w:p>
    <w:p>
      <w:pPr>
        <w:spacing w:after="0"/>
        <w:ind w:left="0"/>
        <w:jc w:val="both"/>
      </w:pPr>
      <w:r>
        <w:rPr>
          <w:rFonts w:ascii="Times New Roman"/>
          <w:b w:val="false"/>
          <w:i w:val="false"/>
          <w:color w:val="000000"/>
          <w:sz w:val="28"/>
        </w:rPr>
        <w:t>
      Для восстановления поголовья скота СПК реализует Программу льготного кредитования населения, пострадавшего от весенних паводков в Восточно-Казахстанской области. Всего было прокредитовано 423 заемщика, пострадавших районов, на сумму 350 миллионов тенге.</w:t>
      </w:r>
    </w:p>
    <w:p>
      <w:pPr>
        <w:spacing w:after="0"/>
        <w:ind w:left="0"/>
        <w:jc w:val="both"/>
      </w:pPr>
      <w:r>
        <w:rPr>
          <w:rFonts w:ascii="Times New Roman"/>
          <w:b w:val="false"/>
          <w:i w:val="false"/>
          <w:color w:val="000000"/>
          <w:sz w:val="28"/>
        </w:rPr>
        <w:t xml:space="preserve">
      Кроме того, СПК реализует собственную региональную программу "Жайлау", направленную на развитие животноводства в регионе и обеспечение занятости местного населения, путем предоставления сельским жителям овцематок для выращивания и реализации мелкого рогатого скота. За время действия программы было выдано 547,7 миллионов тенге в виде 14,9 тысяч голов малого рогатого скота, количество участников программы составило 149 человек. На сегодня общее количество малого рогатого скота с учетом приплода составляет 35 тысяч голов. </w:t>
      </w:r>
    </w:p>
    <w:p>
      <w:pPr>
        <w:spacing w:after="0"/>
        <w:ind w:left="0"/>
        <w:jc w:val="both"/>
      </w:pPr>
      <w:r>
        <w:rPr>
          <w:rFonts w:ascii="Times New Roman"/>
          <w:b w:val="false"/>
          <w:i w:val="false"/>
          <w:color w:val="000000"/>
          <w:sz w:val="28"/>
        </w:rPr>
        <w:t>
      К другим проблемам агропромышленного комплекса можно отнести физическую и моральную изношенность сельскохозяйственной техники и оборудования; недостаточно развитую сеть сельских потребительских кооперативов и сервисно-заготовительных центров; низкую доступность к кредитным ресурсам сельскохозяйственных товаропроизводителей.</w:t>
      </w:r>
    </w:p>
    <w:p>
      <w:pPr>
        <w:spacing w:after="0"/>
        <w:ind w:left="0"/>
        <w:jc w:val="both"/>
      </w:pPr>
      <w:r>
        <w:rPr>
          <w:rFonts w:ascii="Times New Roman"/>
          <w:b w:val="false"/>
          <w:i w:val="false"/>
          <w:color w:val="000000"/>
          <w:sz w:val="28"/>
        </w:rPr>
        <w:t>
      Для решения данных проблем в 2009 году СПК созданы 2 сервисно-заготовительных центра: ТОО "СЗЦ "Абай", ТОО "СЗЦ "Урджар". Закуплена необходимая техника для обработки почвы, сбора урожая, убоя скота.</w:t>
      </w:r>
    </w:p>
    <w:p>
      <w:pPr>
        <w:spacing w:after="0"/>
        <w:ind w:left="0"/>
        <w:jc w:val="both"/>
      </w:pPr>
      <w:r>
        <w:rPr>
          <w:rFonts w:ascii="Times New Roman"/>
          <w:b w:val="false"/>
          <w:i w:val="false"/>
          <w:color w:val="000000"/>
          <w:sz w:val="28"/>
        </w:rPr>
        <w:t xml:space="preserve">
      В 2012 году для обеспечения сырьем ТОО "Семипалатинский кожевенно-меховой комбинат" создано ТОО "СЗЦ "Семей" с долей СПК 49 %, выделено 200 миллионов тенге. </w:t>
      </w:r>
    </w:p>
    <w:p>
      <w:pPr>
        <w:spacing w:after="0"/>
        <w:ind w:left="0"/>
        <w:jc w:val="both"/>
      </w:pPr>
      <w:r>
        <w:rPr>
          <w:rFonts w:ascii="Times New Roman"/>
          <w:b w:val="false"/>
          <w:i w:val="false"/>
          <w:color w:val="000000"/>
          <w:sz w:val="28"/>
        </w:rPr>
        <w:t>
      С 2012 года заготовлены и доставлены на центральный склад ТОО "СЗЦ "Семей" более 400 тонн шкур крупного рогатого скота на сумму порядка 65 миллионов тенге, из них для обеспечения бесперебойной работы производства переработки шкур крупного рогатого скота, ТОО "Семипалатинский кожевенно-меховой комбинат" передано 312 тонн на сумму около 60 миллионов тенге.</w:t>
      </w:r>
    </w:p>
    <w:p>
      <w:pPr>
        <w:spacing w:after="0"/>
        <w:ind w:left="0"/>
        <w:jc w:val="both"/>
      </w:pPr>
      <w:r>
        <w:rPr>
          <w:rFonts w:ascii="Times New Roman"/>
          <w:b w:val="false"/>
          <w:i w:val="false"/>
          <w:color w:val="000000"/>
          <w:sz w:val="28"/>
        </w:rPr>
        <w:t>
      Для поддержки сельскохозяйственных товаропроизводителей СПК совместно с АО "НК "Продовольственная контрактная корпорация" в 2012 году предоставило 32 гарантии сельхозтоваропроизводителям разных районов на общую сумму 103 миллионов тенге для получения кредитов на проведение весенне-полевых работ. Кредитные средства крестьянскими хозяйствами получены полностью, освоены и возвращены в АО "НК "Продовольственная контрактная корпорация". В 2013 году выданы гарантии 44 сельхозтоваропроизводителям на общую сумму 261,6 миллионов тенге.</w:t>
      </w:r>
    </w:p>
    <w:p>
      <w:pPr>
        <w:spacing w:after="0"/>
        <w:ind w:left="0"/>
        <w:jc w:val="both"/>
      </w:pPr>
      <w:r>
        <w:rPr>
          <w:rFonts w:ascii="Times New Roman"/>
          <w:b w:val="false"/>
          <w:i w:val="false"/>
          <w:color w:val="000000"/>
          <w:sz w:val="28"/>
        </w:rPr>
        <w:t xml:space="preserve">
      Учитывая, что в настоящее время большинство крестьян не имеют ликвидного залогового имущества, то механизм гарантирования СПК является единственным приемлемым выходом для крестьян по привлечению кредитных ресурсов в период весенне-полевых и уборочных работ. </w:t>
      </w:r>
    </w:p>
    <w:p>
      <w:pPr>
        <w:spacing w:after="0"/>
        <w:ind w:left="0"/>
        <w:jc w:val="both"/>
      </w:pPr>
      <w:r>
        <w:rPr>
          <w:rFonts w:ascii="Times New Roman"/>
          <w:b w:val="false"/>
          <w:i w:val="false"/>
          <w:color w:val="000000"/>
          <w:sz w:val="28"/>
        </w:rPr>
        <w:t>
      В этой связи, СПК планирует продолжить в дальнейшем работу по гарантированию сельскохозяйственных товаропроизводителей региона и развитию проектов агропромышленного комплекса в целом.</w:t>
      </w:r>
    </w:p>
    <w:p>
      <w:pPr>
        <w:spacing w:after="0"/>
        <w:ind w:left="0"/>
        <w:jc w:val="both"/>
      </w:pPr>
      <w:r>
        <w:rPr>
          <w:rFonts w:ascii="Times New Roman"/>
          <w:b w:val="false"/>
          <w:i w:val="false"/>
          <w:color w:val="000000"/>
          <w:sz w:val="28"/>
        </w:rPr>
        <w:t>
      На долю отрасли растениеводства области, приходится 40 % общего объема валовой продукции сельского хозяйства. Производство растениеводческой продукции осуществляется в 6 земледельческих зонах.</w:t>
      </w:r>
    </w:p>
    <w:p>
      <w:pPr>
        <w:spacing w:after="0"/>
        <w:ind w:left="0"/>
        <w:jc w:val="both"/>
      </w:pPr>
      <w:r>
        <w:rPr>
          <w:rFonts w:ascii="Times New Roman"/>
          <w:b w:val="false"/>
          <w:i w:val="false"/>
          <w:color w:val="000000"/>
          <w:sz w:val="28"/>
        </w:rPr>
        <w:t xml:space="preserve">
      Одной из проблем развития растениеводства в области является физический износ ирригационной инфраструктуры, теплиц и овощехранилищ. </w:t>
      </w:r>
    </w:p>
    <w:p>
      <w:pPr>
        <w:spacing w:after="0"/>
        <w:ind w:left="0"/>
        <w:jc w:val="both"/>
      </w:pPr>
      <w:r>
        <w:rPr>
          <w:rFonts w:ascii="Times New Roman"/>
          <w:b w:val="false"/>
          <w:i w:val="false"/>
          <w:color w:val="000000"/>
          <w:sz w:val="28"/>
        </w:rPr>
        <w:t>
      В 2011 году СПК начала реализацию совместного проекта по реконструкции комплекса и созданию нового модернизированного овощехранилища общим объемом 5000 тонн в районе г. Усть-Каменогорск на базе имеющегося здания совместно с КХ "Екимбаев Т.К.".</w:t>
      </w:r>
    </w:p>
    <w:p>
      <w:pPr>
        <w:spacing w:after="0"/>
        <w:ind w:left="0"/>
        <w:jc w:val="both"/>
      </w:pPr>
      <w:r>
        <w:rPr>
          <w:rFonts w:ascii="Times New Roman"/>
          <w:b w:val="false"/>
          <w:i w:val="false"/>
          <w:color w:val="000000"/>
          <w:sz w:val="28"/>
        </w:rPr>
        <w:t xml:space="preserve">
      Общая сумма затрат на выполнение строительных работ составляет 161,43 миллионов тенге, в том числе на приобретение оборудования – 102,3 миллионов тенге. </w:t>
      </w:r>
    </w:p>
    <w:p>
      <w:pPr>
        <w:spacing w:after="0"/>
        <w:ind w:left="0"/>
        <w:jc w:val="both"/>
      </w:pPr>
      <w:r>
        <w:rPr>
          <w:rFonts w:ascii="Times New Roman"/>
          <w:b w:val="false"/>
          <w:i w:val="false"/>
          <w:color w:val="000000"/>
          <w:sz w:val="28"/>
        </w:rPr>
        <w:t>
      В настоящее время строительство объекта закончено, подписан акт ввода в эксплуатацию, обеспечено полное задействование мощностей.</w:t>
      </w:r>
    </w:p>
    <w:p>
      <w:pPr>
        <w:spacing w:after="0"/>
        <w:ind w:left="0"/>
        <w:jc w:val="both"/>
      </w:pPr>
      <w:r>
        <w:rPr>
          <w:rFonts w:ascii="Times New Roman"/>
          <w:b w:val="false"/>
          <w:i w:val="false"/>
          <w:color w:val="000000"/>
          <w:sz w:val="28"/>
        </w:rPr>
        <w:t xml:space="preserve">
      Актуальность проекта обуславливается тем, что на сегодняшний день в регионе отсутствует инфраструктура для хранения плодовоовощной продукции, большая часть которой портится, и регион в весенне-летний период вынужден завозить такую продукцию извне. </w:t>
      </w:r>
    </w:p>
    <w:p>
      <w:pPr>
        <w:spacing w:after="0"/>
        <w:ind w:left="0"/>
        <w:jc w:val="both"/>
      </w:pPr>
      <w:r>
        <w:rPr>
          <w:rFonts w:ascii="Times New Roman"/>
          <w:b w:val="false"/>
          <w:i w:val="false"/>
          <w:color w:val="000000"/>
          <w:sz w:val="28"/>
        </w:rPr>
        <w:t xml:space="preserve">
      Еще одной проблемой АПК региона является отсутствие производства товарного яйца, в связи с переориентацией ТОО "Семейкус" из яичного направления в мясное, а также банкротством ТОО "Черемшанская птицефабрика". Все товарное яйцо завозится в область в основном из Российской Федерации. </w:t>
      </w:r>
    </w:p>
    <w:p>
      <w:pPr>
        <w:spacing w:after="0"/>
        <w:ind w:left="0"/>
        <w:jc w:val="both"/>
      </w:pPr>
      <w:r>
        <w:rPr>
          <w:rFonts w:ascii="Times New Roman"/>
          <w:b w:val="false"/>
          <w:i w:val="false"/>
          <w:color w:val="000000"/>
          <w:sz w:val="28"/>
        </w:rPr>
        <w:t>
      В конце 2011 года СПК проинвестировала проект "Реконструкция птицефабрики в селе Малая Актюба, район города Семей". Вклад СПК составил 49 % (147 миллионов тенге), вклад инициатора – 51 % (153 миллионов тенге). Подписаны договора лизинга на сумму 200 миллионов тенге с АО "КазАгроФинанс", обеспечены поставка и монтаж оборудования.</w:t>
      </w:r>
    </w:p>
    <w:p>
      <w:pPr>
        <w:spacing w:after="0"/>
        <w:ind w:left="0"/>
        <w:jc w:val="both"/>
      </w:pPr>
      <w:r>
        <w:rPr>
          <w:rFonts w:ascii="Times New Roman"/>
          <w:b w:val="false"/>
          <w:i w:val="false"/>
          <w:color w:val="000000"/>
          <w:sz w:val="28"/>
        </w:rPr>
        <w:t>
      В декабре 2013 года обеспечен ввод в эксплуатацию, планируемый ежемесячный объем производства яйца составит 750 тысяч штук. Проектная мощность предприятия составляет 25 миллионов штук яиц в год.</w:t>
      </w:r>
    </w:p>
    <w:p>
      <w:pPr>
        <w:spacing w:after="0"/>
        <w:ind w:left="0"/>
        <w:jc w:val="both"/>
      </w:pPr>
      <w:r>
        <w:rPr>
          <w:rFonts w:ascii="Times New Roman"/>
          <w:b w:val="false"/>
          <w:i w:val="false"/>
          <w:color w:val="000000"/>
          <w:sz w:val="28"/>
        </w:rPr>
        <w:t>
      Инфраструктурный комплекс региона представлен сферами электроснабжения, водоснабжения, теплоснабжения, водоотведения, дорожной отрасли, транспорта, телекоммуникации, почтовой связи и благоустройства.</w:t>
      </w:r>
    </w:p>
    <w:p>
      <w:pPr>
        <w:spacing w:after="0"/>
        <w:ind w:left="0"/>
        <w:jc w:val="both"/>
      </w:pPr>
      <w:r>
        <w:rPr>
          <w:rFonts w:ascii="Times New Roman"/>
          <w:b w:val="false"/>
          <w:i w:val="false"/>
          <w:color w:val="000000"/>
          <w:sz w:val="28"/>
        </w:rPr>
        <w:t>
      На сегодня в области созданы три индустриальные зоны: "Өркен" в городе Усть-Каменогорск, по ул. Машиностроителей и "Өндіріс" в городе Семей, которые переданы под управление СПК.</w:t>
      </w:r>
    </w:p>
    <w:p>
      <w:pPr>
        <w:spacing w:after="0"/>
        <w:ind w:left="0"/>
        <w:jc w:val="both"/>
      </w:pPr>
      <w:r>
        <w:rPr>
          <w:rFonts w:ascii="Times New Roman"/>
          <w:b w:val="false"/>
          <w:i w:val="false"/>
          <w:color w:val="000000"/>
          <w:sz w:val="28"/>
        </w:rPr>
        <w:t xml:space="preserve">
      Каждая из этих зон обладает разной степенью готовности инфраструктуры. В частности, к зоне "Өркен" проложен силовой кабель напряжением 100 киловольт; установлен силовой распределительный пункт мощностью 7 мегаватт. </w:t>
      </w:r>
    </w:p>
    <w:p>
      <w:pPr>
        <w:spacing w:after="0"/>
        <w:ind w:left="0"/>
        <w:jc w:val="both"/>
      </w:pPr>
      <w:r>
        <w:rPr>
          <w:rFonts w:ascii="Times New Roman"/>
          <w:b w:val="false"/>
          <w:i w:val="false"/>
          <w:color w:val="000000"/>
          <w:sz w:val="28"/>
        </w:rPr>
        <w:t>
      К зоне развития по ул. Машиностроительной подведены: железнодорожный тупик с разгрузочными площадками, распределительная подстанция установленной мощностью 2000 киловатт, очистные сооружения ливневых стоков, резервуар очищенных сточных вод, повысительная насосная станция, тепловая насосная станция, подъездные пути, кольцевая водопроводная сеть диаметром 200 мм., хозяйственно-бытовая канализация, ливневая канализация.</w:t>
      </w:r>
    </w:p>
    <w:p>
      <w:pPr>
        <w:spacing w:after="0"/>
        <w:ind w:left="0"/>
        <w:jc w:val="both"/>
      </w:pPr>
      <w:r>
        <w:rPr>
          <w:rFonts w:ascii="Times New Roman"/>
          <w:b w:val="false"/>
          <w:i w:val="false"/>
          <w:color w:val="000000"/>
          <w:sz w:val="28"/>
        </w:rPr>
        <w:t xml:space="preserve">
      К зоне "Өндіріс" подведены: линия электропередач напряжением 10 киловольт, сети водоснабжения и канализации протяженностью 1260 метров, также установлен административный корпус площадью 1256 квадратных метров. </w:t>
      </w:r>
    </w:p>
    <w:p>
      <w:pPr>
        <w:spacing w:after="0"/>
        <w:ind w:left="0"/>
        <w:jc w:val="both"/>
      </w:pPr>
      <w:r>
        <w:rPr>
          <w:rFonts w:ascii="Times New Roman"/>
          <w:b w:val="false"/>
          <w:i w:val="false"/>
          <w:color w:val="000000"/>
          <w:sz w:val="28"/>
        </w:rPr>
        <w:t>
      В настоящее время в индустриальной зоне "Өндіріс" функционирует завод по производству тормозных колодок для железнодорожного подвижного состава, завод по производству запасных частей для железнодорожных вагонов.</w:t>
      </w:r>
    </w:p>
    <w:p>
      <w:pPr>
        <w:spacing w:after="0"/>
        <w:ind w:left="0"/>
        <w:jc w:val="both"/>
      </w:pPr>
      <w:r>
        <w:rPr>
          <w:rFonts w:ascii="Times New Roman"/>
          <w:b w:val="false"/>
          <w:i w:val="false"/>
          <w:color w:val="000000"/>
          <w:sz w:val="28"/>
        </w:rPr>
        <w:t>
      Продолжается реализация проектов:</w:t>
      </w:r>
    </w:p>
    <w:p>
      <w:pPr>
        <w:spacing w:after="0"/>
        <w:ind w:left="0"/>
        <w:jc w:val="both"/>
      </w:pPr>
      <w:r>
        <w:rPr>
          <w:rFonts w:ascii="Times New Roman"/>
          <w:b w:val="false"/>
          <w:i w:val="false"/>
          <w:color w:val="000000"/>
          <w:sz w:val="28"/>
        </w:rPr>
        <w:t>
      1) завод по утилизации и первичной переработке автомобильных шин;</w:t>
      </w:r>
    </w:p>
    <w:p>
      <w:pPr>
        <w:spacing w:after="0"/>
        <w:ind w:left="0"/>
        <w:jc w:val="both"/>
      </w:pPr>
      <w:r>
        <w:rPr>
          <w:rFonts w:ascii="Times New Roman"/>
          <w:b w:val="false"/>
          <w:i w:val="false"/>
          <w:color w:val="000000"/>
          <w:sz w:val="28"/>
        </w:rPr>
        <w:t>
      2) завод по утилизации медицинских материалов;</w:t>
      </w:r>
    </w:p>
    <w:p>
      <w:pPr>
        <w:spacing w:after="0"/>
        <w:ind w:left="0"/>
        <w:jc w:val="both"/>
      </w:pPr>
      <w:r>
        <w:rPr>
          <w:rFonts w:ascii="Times New Roman"/>
          <w:b w:val="false"/>
          <w:i w:val="false"/>
          <w:color w:val="000000"/>
          <w:sz w:val="28"/>
        </w:rPr>
        <w:t>
      3) завод по утилизации и переработке изношенных транспортных шин в резиновую крошку.</w:t>
      </w:r>
    </w:p>
    <w:p>
      <w:pPr>
        <w:spacing w:after="0"/>
        <w:ind w:left="0"/>
        <w:jc w:val="both"/>
      </w:pPr>
      <w:r>
        <w:rPr>
          <w:rFonts w:ascii="Times New Roman"/>
          <w:b w:val="false"/>
          <w:i w:val="false"/>
          <w:color w:val="000000"/>
          <w:sz w:val="28"/>
        </w:rPr>
        <w:t>
      Также планируются следующие производства:</w:t>
      </w:r>
    </w:p>
    <w:p>
      <w:pPr>
        <w:spacing w:after="0"/>
        <w:ind w:left="0"/>
        <w:jc w:val="both"/>
      </w:pPr>
      <w:r>
        <w:rPr>
          <w:rFonts w:ascii="Times New Roman"/>
          <w:b w:val="false"/>
          <w:i w:val="false"/>
          <w:color w:val="000000"/>
          <w:sz w:val="28"/>
        </w:rPr>
        <w:t>
      1) тепличный комплекс;</w:t>
      </w:r>
    </w:p>
    <w:p>
      <w:pPr>
        <w:spacing w:after="0"/>
        <w:ind w:left="0"/>
        <w:jc w:val="both"/>
      </w:pPr>
      <w:r>
        <w:rPr>
          <w:rFonts w:ascii="Times New Roman"/>
          <w:b w:val="false"/>
          <w:i w:val="false"/>
          <w:color w:val="000000"/>
          <w:sz w:val="28"/>
        </w:rPr>
        <w:t>
      2) завод по производству изолированных труб большого диаметра;</w:t>
      </w:r>
    </w:p>
    <w:p>
      <w:pPr>
        <w:spacing w:after="0"/>
        <w:ind w:left="0"/>
        <w:jc w:val="both"/>
      </w:pPr>
      <w:r>
        <w:rPr>
          <w:rFonts w:ascii="Times New Roman"/>
          <w:b w:val="false"/>
          <w:i w:val="false"/>
          <w:color w:val="000000"/>
          <w:sz w:val="28"/>
        </w:rPr>
        <w:t>
      3) завод первичной переработки шерсти.</w:t>
      </w:r>
    </w:p>
    <w:p>
      <w:pPr>
        <w:spacing w:after="0"/>
        <w:ind w:left="0"/>
        <w:jc w:val="both"/>
      </w:pPr>
      <w:r>
        <w:rPr>
          <w:rFonts w:ascii="Times New Roman"/>
          <w:b w:val="false"/>
          <w:i w:val="false"/>
          <w:color w:val="000000"/>
          <w:sz w:val="28"/>
        </w:rPr>
        <w:t xml:space="preserve">
      Еще одной, немаловажной проблемой в области является износ системы сетей жилищно-коммунального хозяйства. Износ тепловых сетей составляет от 70 % до 90 %, потери тепловой энергии в тепловых сетях по региону одни из самых высоких по Казахстану. Количество аварий в год составляет от 31 до 180. Ежегодно на ремонт последствий аварий и восстановление теплоснабжения направляется более 3 миллиардов тенге из местного бюджета. </w:t>
      </w:r>
    </w:p>
    <w:p>
      <w:pPr>
        <w:spacing w:after="0"/>
        <w:ind w:left="0"/>
        <w:jc w:val="both"/>
      </w:pPr>
      <w:r>
        <w:rPr>
          <w:rFonts w:ascii="Times New Roman"/>
          <w:b w:val="false"/>
          <w:i w:val="false"/>
          <w:color w:val="000000"/>
          <w:sz w:val="28"/>
        </w:rPr>
        <w:t xml:space="preserve">
      Для решения данной проблемы СПК участвует в реализации "Программы модернизации жилищно-коммунального хозяйства Республики Казахстан на 2011 – 2020 годы",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апреля 2011 года № 473, которая нацелена на модернизацию коммунальной инфраструктуры, создание оптимальной модели жилищных отношений, повышение качества предоставляемых жилищно-коммунальных услуг населению, а также проведение ремонта общего имущества объектов кондоминиумов, включая термодернизацию, посредством создания специальных механизмов финансирования.</w:t>
      </w:r>
    </w:p>
    <w:p>
      <w:pPr>
        <w:spacing w:after="0"/>
        <w:ind w:left="0"/>
        <w:jc w:val="both"/>
      </w:pPr>
      <w:r>
        <w:rPr>
          <w:rFonts w:ascii="Times New Roman"/>
          <w:b w:val="false"/>
          <w:i w:val="false"/>
          <w:color w:val="000000"/>
          <w:sz w:val="28"/>
        </w:rPr>
        <w:t xml:space="preserve">
      На реализацию Программы модернизации ЖКХ, СПК в 2011 году выделено 240,0 миллионов тенге. Заключены договора и выполнены ремонтные работы по 14 объектам недвижимости. В 2012 году выделено 312,5 миллионов тенге. В проекте участвуют 32 объекта по области на сумму 309,9 миллионов тенге. По 26 объектам ремонтные работы завершены, на общую сумму 219,7 миллионов тенге. По 6 объектам ремонтные работы будут завершены во 2 квартале 2014 года (в связи с сезонным характером работ). </w:t>
      </w:r>
    </w:p>
    <w:p>
      <w:pPr>
        <w:spacing w:after="0"/>
        <w:ind w:left="0"/>
        <w:jc w:val="both"/>
      </w:pPr>
      <w:r>
        <w:rPr>
          <w:rFonts w:ascii="Times New Roman"/>
          <w:b w:val="false"/>
          <w:i w:val="false"/>
          <w:color w:val="000000"/>
          <w:sz w:val="28"/>
        </w:rPr>
        <w:t>
      На основании решения Совета директоров СПК от 21 июня 2013 года заключен договор уступки прав и обязанностей с ТОО "Жилищно-эксплуатационное управление ВКО". Сумма уступки по договору составляет 552,5 миллионов тенге. На 11 января 2013 года произведена передача всей документации (4-сторонних договоров, сметных документаций, экспертиз, протоколов общего собрания собственников жилья), а также перечислена часть свободных денежных средств по Программе модернизации ЖКХ в размере 30,7 миллионов тенге на счета ТОО "ЖЭУ" (остаток к перечислению составляет 39,7 миллионов тенге).</w:t>
      </w:r>
    </w:p>
    <w:p>
      <w:pPr>
        <w:spacing w:after="0"/>
        <w:ind w:left="0"/>
        <w:jc w:val="both"/>
      </w:pPr>
      <w:r>
        <w:rPr>
          <w:rFonts w:ascii="Times New Roman"/>
          <w:b w:val="false"/>
          <w:i w:val="false"/>
          <w:color w:val="000000"/>
          <w:sz w:val="28"/>
        </w:rPr>
        <w:t>
      Одной из отраслей, имеющей все предпосылки к развитию, может стать туристская отрасль. Богатые природные ресурсы Восточного Казахстана во многом способствуют этому.</w:t>
      </w:r>
    </w:p>
    <w:p>
      <w:pPr>
        <w:spacing w:after="0"/>
        <w:ind w:left="0"/>
        <w:jc w:val="both"/>
      </w:pPr>
      <w:r>
        <w:rPr>
          <w:rFonts w:ascii="Times New Roman"/>
          <w:b w:val="false"/>
          <w:i w:val="false"/>
          <w:color w:val="000000"/>
          <w:sz w:val="28"/>
        </w:rPr>
        <w:t>
      Согласно данным Агентства Республики Казахстан по статистике на территории области туристские услуги оказывают 88 туристических фирм и 25 индивидуальных предпринимателей, а также 245 объектов, занимающихся размещением посетителей. Количество обслуженных посетителей в 2012 году составило 403 396 человек, что на 7 % выше показателя 2011 года. Из них туристскими фирмами было обслужено 24 931 человек, объектами размещения 188 417 человек.</w:t>
      </w:r>
    </w:p>
    <w:p>
      <w:pPr>
        <w:spacing w:after="0"/>
        <w:ind w:left="0"/>
        <w:jc w:val="both"/>
      </w:pPr>
      <w:r>
        <w:rPr>
          <w:rFonts w:ascii="Times New Roman"/>
          <w:b w:val="false"/>
          <w:i w:val="false"/>
          <w:color w:val="000000"/>
          <w:sz w:val="28"/>
        </w:rPr>
        <w:t xml:space="preserve">
      В 2012 году общий объем выполненных услуг в туристской отрасли увеличился по сравнению с 2011 годом на 7,4 % и составил 3 181,6 миллионов тенге. </w:t>
      </w:r>
    </w:p>
    <w:p>
      <w:pPr>
        <w:spacing w:after="0"/>
        <w:ind w:left="0"/>
        <w:jc w:val="both"/>
      </w:pPr>
      <w:r>
        <w:rPr>
          <w:rFonts w:ascii="Times New Roman"/>
          <w:b w:val="false"/>
          <w:i w:val="false"/>
          <w:color w:val="000000"/>
          <w:sz w:val="28"/>
        </w:rPr>
        <w:t xml:space="preserve">
      Анализ текущего состояния развития туристской отрасли Восточно-Казахстанской области показывает, что за последние годы данная отрасль развивается динамично. Так, ежегодно увеличивается количество малых гостиниц в курортных регионах, а также в городах Усть-Каменогорск, Семей. </w:t>
      </w:r>
    </w:p>
    <w:p>
      <w:pPr>
        <w:spacing w:after="0"/>
        <w:ind w:left="0"/>
        <w:jc w:val="both"/>
      </w:pPr>
      <w:r>
        <w:rPr>
          <w:rFonts w:ascii="Times New Roman"/>
          <w:b w:val="false"/>
          <w:i w:val="false"/>
          <w:color w:val="000000"/>
          <w:sz w:val="28"/>
        </w:rPr>
        <w:t xml:space="preserve">
      На сегодняшний день для дальнейшего развития туристской инфраструктуры в целом, проводится ряд мероприятий, требующих повышения туристской привлекательности, сохранения и гармоничного использования культурно-исторического и природного потенциала области, привлечения инвестиций в данную отрасль в области. </w:t>
      </w:r>
    </w:p>
    <w:p>
      <w:pPr>
        <w:spacing w:after="0"/>
        <w:ind w:left="0"/>
        <w:jc w:val="both"/>
      </w:pPr>
      <w:r>
        <w:rPr>
          <w:rFonts w:ascii="Times New Roman"/>
          <w:b w:val="false"/>
          <w:i w:val="false"/>
          <w:color w:val="000000"/>
          <w:sz w:val="28"/>
        </w:rPr>
        <w:t xml:space="preserve">
      СПК, в свою очередь, планирует привлекать инвестиции для развития туристской отрасли и финансирования проектов туристской направленности. </w:t>
      </w:r>
    </w:p>
    <w:tbl>
      <w:tblPr>
        <w:tblW w:w="0" w:type="auto"/>
        <w:tblCellSpacing w:w="0" w:type="auto"/>
        <w:tblBorders>
          <w:top w:val="none"/>
          <w:left w:val="none"/>
          <w:bottom w:val="none"/>
          <w:right w:val="none"/>
          <w:insideH w:val="none"/>
          <w:insideV w:val="none"/>
        </w:tblBorders>
      </w:tblPr>
      <w:tblGrid>
        <w:gridCol w:w="633"/>
        <w:gridCol w:w="11667"/>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факторов внешней среды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Политические</w:t>
            </w:r>
          </w:p>
        </w:tc>
      </w:tr>
      <w:tr>
        <w:trPr>
          <w:trHeight w:val="30" w:hRule="atLeast"/>
        </w:trPr>
        <w:tc>
          <w:tcPr>
            <w:tcW w:w="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Благоприятные</w:t>
            </w:r>
          </w:p>
        </w:tc>
        <w:tc>
          <w:tcPr>
            <w:tcW w:w="11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региональные СПК наделены статусом национальных компаний; </w:t>
            </w:r>
          </w:p>
          <w:p>
            <w:pPr>
              <w:spacing w:after="20"/>
              <w:ind w:left="20"/>
              <w:jc w:val="both"/>
            </w:pPr>
            <w:r>
              <w:rPr>
                <w:rFonts w:ascii="Times New Roman"/>
                <w:b w:val="false"/>
                <w:i w:val="false"/>
                <w:color w:val="000000"/>
                <w:sz w:val="20"/>
              </w:rPr>
              <w:t xml:space="preserve">
- стабильность в стране и приграничных районах Российской Федерации и КНР. </w:t>
            </w:r>
          </w:p>
        </w:tc>
      </w:tr>
      <w:tr>
        <w:trPr>
          <w:trHeight w:val="30" w:hRule="atLeast"/>
        </w:trPr>
        <w:tc>
          <w:tcPr>
            <w:tcW w:w="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Неблагоприятные</w:t>
            </w:r>
          </w:p>
        </w:tc>
        <w:tc>
          <w:tcPr>
            <w:tcW w:w="11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тенденция к появлению признаков политической нестабильности на постсоветском пространстве; </w:t>
            </w:r>
          </w:p>
          <w:p>
            <w:pPr>
              <w:spacing w:after="20"/>
              <w:ind w:left="20"/>
              <w:jc w:val="both"/>
            </w:pPr>
            <w:r>
              <w:rPr>
                <w:rFonts w:ascii="Times New Roman"/>
                <w:b w:val="false"/>
                <w:i w:val="false"/>
                <w:color w:val="000000"/>
                <w:sz w:val="20"/>
              </w:rPr>
              <w:t xml:space="preserve">
- возможность пересмотра роли СПК и закрытие данного "института".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w:t>
            </w:r>
          </w:p>
        </w:tc>
      </w:tr>
      <w:tr>
        <w:trPr>
          <w:trHeight w:val="30" w:hRule="atLeast"/>
        </w:trPr>
        <w:tc>
          <w:tcPr>
            <w:tcW w:w="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Благоприятные</w:t>
            </w:r>
          </w:p>
        </w:tc>
        <w:tc>
          <w:tcPr>
            <w:tcW w:w="11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наличие в регионе государственных запасов минерально-сырьевых ресурсов; </w:t>
            </w:r>
          </w:p>
          <w:p>
            <w:pPr>
              <w:spacing w:after="20"/>
              <w:ind w:left="20"/>
              <w:jc w:val="both"/>
            </w:pPr>
            <w:r>
              <w:rPr>
                <w:rFonts w:ascii="Times New Roman"/>
                <w:b w:val="false"/>
                <w:i w:val="false"/>
                <w:color w:val="000000"/>
                <w:sz w:val="20"/>
              </w:rPr>
              <w:t xml:space="preserve">
- имеются потенциальные возможности по созданию новых производств с высокой добавленной стоимостью на основе действующих предприятий; </w:t>
            </w:r>
          </w:p>
          <w:p>
            <w:pPr>
              <w:spacing w:after="20"/>
              <w:ind w:left="20"/>
              <w:jc w:val="both"/>
            </w:pPr>
            <w:r>
              <w:rPr>
                <w:rFonts w:ascii="Times New Roman"/>
                <w:b w:val="false"/>
                <w:i w:val="false"/>
                <w:color w:val="000000"/>
                <w:sz w:val="20"/>
              </w:rPr>
              <w:t xml:space="preserve">
- растущий внутренний спрос в первую очередь со стороны смежных отраслей; </w:t>
            </w:r>
          </w:p>
          <w:p>
            <w:pPr>
              <w:spacing w:after="20"/>
              <w:ind w:left="20"/>
              <w:jc w:val="both"/>
            </w:pPr>
            <w:r>
              <w:rPr>
                <w:rFonts w:ascii="Times New Roman"/>
                <w:b w:val="false"/>
                <w:i w:val="false"/>
                <w:color w:val="000000"/>
                <w:sz w:val="20"/>
              </w:rPr>
              <w:t xml:space="preserve">
- близость к крупнейшим рынкам-импортерам продукции (Российская Федерация, КНР); </w:t>
            </w:r>
          </w:p>
          <w:p>
            <w:pPr>
              <w:spacing w:after="20"/>
              <w:ind w:left="20"/>
              <w:jc w:val="both"/>
            </w:pPr>
            <w:r>
              <w:rPr>
                <w:rFonts w:ascii="Times New Roman"/>
                <w:b w:val="false"/>
                <w:i w:val="false"/>
                <w:color w:val="000000"/>
                <w:sz w:val="20"/>
              </w:rPr>
              <w:t xml:space="preserve">
- ежегодный рост экономики региона; </w:t>
            </w:r>
          </w:p>
          <w:p>
            <w:pPr>
              <w:spacing w:after="20"/>
              <w:ind w:left="20"/>
              <w:jc w:val="both"/>
            </w:pPr>
            <w:r>
              <w:rPr>
                <w:rFonts w:ascii="Times New Roman"/>
                <w:b w:val="false"/>
                <w:i w:val="false"/>
                <w:color w:val="000000"/>
                <w:sz w:val="20"/>
              </w:rPr>
              <w:t xml:space="preserve">
- потенциал трансграничной реки Иртыш; </w:t>
            </w:r>
          </w:p>
          <w:p>
            <w:pPr>
              <w:spacing w:after="20"/>
              <w:ind w:left="20"/>
              <w:jc w:val="both"/>
            </w:pPr>
            <w:r>
              <w:rPr>
                <w:rFonts w:ascii="Times New Roman"/>
                <w:b w:val="false"/>
                <w:i w:val="false"/>
                <w:color w:val="000000"/>
                <w:sz w:val="20"/>
              </w:rPr>
              <w:t xml:space="preserve">
- природное разнообразие ландшафта, рек, озер, флоры и фауны; </w:t>
            </w:r>
          </w:p>
          <w:p>
            <w:pPr>
              <w:spacing w:after="20"/>
              <w:ind w:left="20"/>
              <w:jc w:val="both"/>
            </w:pPr>
            <w:r>
              <w:rPr>
                <w:rFonts w:ascii="Times New Roman"/>
                <w:b w:val="false"/>
                <w:i w:val="false"/>
                <w:color w:val="000000"/>
                <w:sz w:val="20"/>
              </w:rPr>
              <w:t xml:space="preserve">
- потребность в разведке новых месторождений полезных ископаемых; </w:t>
            </w:r>
          </w:p>
          <w:p>
            <w:pPr>
              <w:spacing w:after="20"/>
              <w:ind w:left="20"/>
              <w:jc w:val="both"/>
            </w:pPr>
            <w:r>
              <w:rPr>
                <w:rFonts w:ascii="Times New Roman"/>
                <w:b w:val="false"/>
                <w:i w:val="false"/>
                <w:color w:val="000000"/>
                <w:sz w:val="20"/>
              </w:rPr>
              <w:t xml:space="preserve">
- спрос на участие в реализации проектов малого и среднего бизнеса. </w:t>
            </w:r>
          </w:p>
        </w:tc>
      </w:tr>
      <w:tr>
        <w:trPr>
          <w:trHeight w:val="30" w:hRule="atLeast"/>
        </w:trPr>
        <w:tc>
          <w:tcPr>
            <w:tcW w:w="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Неблагоприятные</w:t>
            </w:r>
          </w:p>
        </w:tc>
        <w:tc>
          <w:tcPr>
            <w:tcW w:w="11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высокий износ (до 70 %) технологического оборудования, медленное обновление основных фондов; </w:t>
            </w:r>
          </w:p>
          <w:p>
            <w:pPr>
              <w:spacing w:after="20"/>
              <w:ind w:left="20"/>
              <w:jc w:val="both"/>
            </w:pPr>
            <w:r>
              <w:rPr>
                <w:rFonts w:ascii="Times New Roman"/>
                <w:b w:val="false"/>
                <w:i w:val="false"/>
                <w:color w:val="000000"/>
                <w:sz w:val="20"/>
              </w:rPr>
              <w:t xml:space="preserve">
- недостаточность оборотных средств у предприятий и накоплений для модернизации и технического перевооружения производств; </w:t>
            </w:r>
          </w:p>
          <w:p>
            <w:pPr>
              <w:spacing w:after="20"/>
              <w:ind w:left="20"/>
              <w:jc w:val="both"/>
            </w:pPr>
            <w:r>
              <w:rPr>
                <w:rFonts w:ascii="Times New Roman"/>
                <w:b w:val="false"/>
                <w:i w:val="false"/>
                <w:color w:val="000000"/>
                <w:sz w:val="20"/>
              </w:rPr>
              <w:t xml:space="preserve">
- "тупиковое" транспортное расположение областного центра; </w:t>
            </w:r>
          </w:p>
          <w:p>
            <w:pPr>
              <w:spacing w:after="20"/>
              <w:ind w:left="20"/>
              <w:jc w:val="both"/>
            </w:pPr>
            <w:r>
              <w:rPr>
                <w:rFonts w:ascii="Times New Roman"/>
                <w:b w:val="false"/>
                <w:i w:val="false"/>
                <w:color w:val="000000"/>
                <w:sz w:val="20"/>
              </w:rPr>
              <w:t xml:space="preserve">
- относительно небольшой объем внутреннего рынка; </w:t>
            </w:r>
          </w:p>
          <w:p>
            <w:pPr>
              <w:spacing w:after="20"/>
              <w:ind w:left="20"/>
              <w:jc w:val="both"/>
            </w:pPr>
            <w:r>
              <w:rPr>
                <w:rFonts w:ascii="Times New Roman"/>
                <w:b w:val="false"/>
                <w:i w:val="false"/>
                <w:color w:val="000000"/>
                <w:sz w:val="20"/>
              </w:rPr>
              <w:t xml:space="preserve">
- низкий уровень производительности труда.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w:t>
            </w:r>
          </w:p>
        </w:tc>
      </w:tr>
      <w:tr>
        <w:trPr>
          <w:trHeight w:val="30" w:hRule="atLeast"/>
        </w:trPr>
        <w:tc>
          <w:tcPr>
            <w:tcW w:w="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Благоприятные</w:t>
            </w:r>
          </w:p>
        </w:tc>
        <w:tc>
          <w:tcPr>
            <w:tcW w:w="11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квалифицированный кадровый потенциал региона; </w:t>
            </w:r>
          </w:p>
          <w:p>
            <w:pPr>
              <w:spacing w:after="20"/>
              <w:ind w:left="20"/>
              <w:jc w:val="both"/>
            </w:pPr>
            <w:r>
              <w:rPr>
                <w:rFonts w:ascii="Times New Roman"/>
                <w:b w:val="false"/>
                <w:i w:val="false"/>
                <w:color w:val="000000"/>
                <w:sz w:val="20"/>
              </w:rPr>
              <w:t xml:space="preserve">
- наличие в регионе крупных образовательных, финансовых, технических университетов, институтов и колледжей; </w:t>
            </w:r>
          </w:p>
          <w:p>
            <w:pPr>
              <w:spacing w:after="20"/>
              <w:ind w:left="20"/>
              <w:jc w:val="both"/>
            </w:pPr>
            <w:r>
              <w:rPr>
                <w:rFonts w:ascii="Times New Roman"/>
                <w:b w:val="false"/>
                <w:i w:val="false"/>
                <w:color w:val="000000"/>
                <w:sz w:val="20"/>
              </w:rPr>
              <w:t xml:space="preserve">
- потребность в рабочих местах. </w:t>
            </w:r>
          </w:p>
        </w:tc>
      </w:tr>
      <w:tr>
        <w:trPr>
          <w:trHeight w:val="30" w:hRule="atLeast"/>
        </w:trPr>
        <w:tc>
          <w:tcPr>
            <w:tcW w:w="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Неблагоприятные</w:t>
            </w:r>
          </w:p>
        </w:tc>
        <w:tc>
          <w:tcPr>
            <w:tcW w:w="11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сложная экологическая ситуация; </w:t>
            </w:r>
          </w:p>
          <w:p>
            <w:pPr>
              <w:spacing w:after="20"/>
              <w:ind w:left="20"/>
              <w:jc w:val="both"/>
            </w:pPr>
            <w:r>
              <w:rPr>
                <w:rFonts w:ascii="Times New Roman"/>
                <w:b w:val="false"/>
                <w:i w:val="false"/>
                <w:color w:val="000000"/>
                <w:sz w:val="20"/>
              </w:rPr>
              <w:t xml:space="preserve">
- соседство с бывшим Семипалатинским ядерным полигоном; </w:t>
            </w:r>
          </w:p>
          <w:p>
            <w:pPr>
              <w:spacing w:after="20"/>
              <w:ind w:left="20"/>
              <w:jc w:val="both"/>
            </w:pPr>
            <w:r>
              <w:rPr>
                <w:rFonts w:ascii="Times New Roman"/>
                <w:b w:val="false"/>
                <w:i w:val="false"/>
                <w:color w:val="000000"/>
                <w:sz w:val="20"/>
              </w:rPr>
              <w:t xml:space="preserve">
- недоверие частного бизнеса к государственному партнерству.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w:t>
            </w:r>
          </w:p>
        </w:tc>
      </w:tr>
      <w:tr>
        <w:trPr>
          <w:trHeight w:val="30" w:hRule="atLeast"/>
        </w:trPr>
        <w:tc>
          <w:tcPr>
            <w:tcW w:w="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Благоприятные</w:t>
            </w:r>
          </w:p>
        </w:tc>
        <w:tc>
          <w:tcPr>
            <w:tcW w:w="11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наличие в регионе стратегических промышленных предприятий; </w:t>
            </w:r>
          </w:p>
          <w:p>
            <w:pPr>
              <w:spacing w:after="20"/>
              <w:ind w:left="20"/>
              <w:jc w:val="both"/>
            </w:pPr>
            <w:r>
              <w:rPr>
                <w:rFonts w:ascii="Times New Roman"/>
                <w:b w:val="false"/>
                <w:i w:val="false"/>
                <w:color w:val="000000"/>
                <w:sz w:val="20"/>
              </w:rPr>
              <w:t xml:space="preserve">
- наличие отечественных научно-технических разработок для организации производств по глубокой и комплексной переработке сырья; </w:t>
            </w:r>
          </w:p>
          <w:p>
            <w:pPr>
              <w:spacing w:after="20"/>
              <w:ind w:left="20"/>
              <w:jc w:val="both"/>
            </w:pPr>
            <w:r>
              <w:rPr>
                <w:rFonts w:ascii="Times New Roman"/>
                <w:b w:val="false"/>
                <w:i w:val="false"/>
                <w:color w:val="000000"/>
                <w:sz w:val="20"/>
              </w:rPr>
              <w:t xml:space="preserve">
- доступность информации большинства производственных технологий в интернете; </w:t>
            </w:r>
          </w:p>
          <w:p>
            <w:pPr>
              <w:spacing w:after="20"/>
              <w:ind w:left="20"/>
              <w:jc w:val="both"/>
            </w:pPr>
            <w:r>
              <w:rPr>
                <w:rFonts w:ascii="Times New Roman"/>
                <w:b w:val="false"/>
                <w:i w:val="false"/>
                <w:color w:val="000000"/>
                <w:sz w:val="20"/>
              </w:rPr>
              <w:t xml:space="preserve">
- развитие современных коммуникаций; </w:t>
            </w:r>
          </w:p>
          <w:p>
            <w:pPr>
              <w:spacing w:after="20"/>
              <w:ind w:left="20"/>
              <w:jc w:val="both"/>
            </w:pPr>
            <w:r>
              <w:rPr>
                <w:rFonts w:ascii="Times New Roman"/>
                <w:b w:val="false"/>
                <w:i w:val="false"/>
                <w:color w:val="000000"/>
                <w:sz w:val="20"/>
              </w:rPr>
              <w:t xml:space="preserve">
- открытость методологий проектного финансирования. </w:t>
            </w:r>
          </w:p>
        </w:tc>
      </w:tr>
      <w:tr>
        <w:trPr>
          <w:trHeight w:val="30" w:hRule="atLeast"/>
        </w:trPr>
        <w:tc>
          <w:tcPr>
            <w:tcW w:w="6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Неблагоприятные</w:t>
            </w:r>
          </w:p>
        </w:tc>
        <w:tc>
          <w:tcPr>
            <w:tcW w:w="116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дефицит энергетических мощностей в регионе. </w:t>
            </w:r>
          </w:p>
        </w:tc>
      </w:tr>
    </w:tbl>
    <w:p>
      <w:pPr>
        <w:spacing w:after="0"/>
        <w:ind w:left="0"/>
        <w:jc w:val="left"/>
      </w:pP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Анализ внутренней среды</w:t>
      </w:r>
    </w:p>
    <w:bookmarkEnd w:id="10"/>
    <w:bookmarkStart w:name="z13" w:id="11"/>
    <w:p>
      <w:pPr>
        <w:spacing w:after="0"/>
        <w:ind w:left="0"/>
        <w:jc w:val="both"/>
      </w:pPr>
      <w:r>
        <w:rPr>
          <w:rFonts w:ascii="Times New Roman"/>
          <w:b w:val="false"/>
          <w:i w:val="false"/>
          <w:color w:val="000000"/>
          <w:sz w:val="28"/>
        </w:rPr>
        <w:t>
      Система корпоративного управления</w:t>
      </w:r>
    </w:p>
    <w:bookmarkEnd w:id="11"/>
    <w:p>
      <w:pPr>
        <w:spacing w:after="0"/>
        <w:ind w:left="0"/>
        <w:jc w:val="both"/>
      </w:pPr>
      <w:r>
        <w:rPr>
          <w:rFonts w:ascii="Times New Roman"/>
          <w:b w:val="false"/>
          <w:i w:val="false"/>
          <w:color w:val="000000"/>
          <w:sz w:val="28"/>
        </w:rPr>
        <w:t xml:space="preserve">
      СПК создано в июне 2011 года путем реорганизации прежнего СПК "Ертіс" на два общества СПК "Ертіс" и СПК "Павлодар". </w:t>
      </w:r>
    </w:p>
    <w:p>
      <w:pPr>
        <w:spacing w:after="0"/>
        <w:ind w:left="0"/>
        <w:jc w:val="both"/>
      </w:pPr>
      <w:r>
        <w:rPr>
          <w:rFonts w:ascii="Times New Roman"/>
          <w:b w:val="false"/>
          <w:i w:val="false"/>
          <w:color w:val="000000"/>
          <w:sz w:val="28"/>
        </w:rPr>
        <w:t>
      Общество осуществляет реализацию политики по социально-экономическому развитию региона путем реализации механизма государственно-частного партнерства, поддержки социальной составляющей, обеспечения эффективного управления государственными активами через развитие корпоративной культуры в дочерних и зависимых организациях.</w:t>
      </w:r>
    </w:p>
    <w:p>
      <w:pPr>
        <w:spacing w:after="0"/>
        <w:ind w:left="0"/>
        <w:jc w:val="both"/>
      </w:pPr>
      <w:r>
        <w:rPr>
          <w:rFonts w:ascii="Times New Roman"/>
          <w:b w:val="false"/>
          <w:i w:val="false"/>
          <w:color w:val="000000"/>
          <w:sz w:val="28"/>
        </w:rPr>
        <w:t xml:space="preserve">
      В сравнении с банками второго уровнями СПК сотрудничает с частными инвесторами на партнерских началах, т.е. путем создания совместного предприятия (принцип активного управления инвестициями). </w:t>
      </w:r>
    </w:p>
    <w:p>
      <w:pPr>
        <w:spacing w:after="0"/>
        <w:ind w:left="0"/>
        <w:jc w:val="both"/>
      </w:pPr>
      <w:r>
        <w:rPr>
          <w:rFonts w:ascii="Times New Roman"/>
          <w:b w:val="false"/>
          <w:i w:val="false"/>
          <w:color w:val="000000"/>
          <w:sz w:val="28"/>
        </w:rPr>
        <w:t>
      При этом, имея гибкую политику, СПК может работать в секторе не достаточно освоенном частным сектором, создавать условия для его развития (принцип партнерства с частным сектором).</w:t>
      </w:r>
    </w:p>
    <w:p>
      <w:pPr>
        <w:spacing w:after="0"/>
        <w:ind w:left="0"/>
        <w:jc w:val="both"/>
      </w:pPr>
      <w:r>
        <w:rPr>
          <w:rFonts w:ascii="Times New Roman"/>
          <w:b w:val="false"/>
          <w:i w:val="false"/>
          <w:color w:val="000000"/>
          <w:sz w:val="28"/>
        </w:rPr>
        <w:t xml:space="preserve">
      Еще одно отличие СПК от прочей коммерческой сферы заключается в реализации принципа социальной ответственности, то есть часть чистой прибыли СПК направляется в местный бюджет по решению акционеров в рамках дивидендной политики. </w:t>
      </w:r>
    </w:p>
    <w:p>
      <w:pPr>
        <w:spacing w:after="0"/>
        <w:ind w:left="0"/>
        <w:jc w:val="both"/>
      </w:pPr>
      <w:r>
        <w:rPr>
          <w:rFonts w:ascii="Times New Roman"/>
          <w:b w:val="false"/>
          <w:i w:val="false"/>
          <w:color w:val="000000"/>
          <w:sz w:val="28"/>
        </w:rPr>
        <w:t>
      В целом, деятельность СПК направлена на создание конкурентоспособного бизнеса, организацию новых производств на базе нерентабельных предприятий, эффективное использование государственной собственности.</w:t>
      </w:r>
    </w:p>
    <w:p>
      <w:pPr>
        <w:spacing w:after="0"/>
        <w:ind w:left="0"/>
        <w:jc w:val="both"/>
      </w:pPr>
      <w:r>
        <w:rPr>
          <w:rFonts w:ascii="Times New Roman"/>
          <w:b w:val="false"/>
          <w:i w:val="false"/>
          <w:color w:val="000000"/>
          <w:sz w:val="28"/>
        </w:rPr>
        <w:t>
      СПК, как региональный институт развития, является уполномоченным органом по реализации проектов в рамках государственно-частного партнерства. Статус института развития позволяет адекватно реализовать интересы государства в коммерческих проектах (принцип партнерства с прочими участниками).</w:t>
      </w:r>
    </w:p>
    <w:p>
      <w:pPr>
        <w:spacing w:after="0"/>
        <w:ind w:left="0"/>
        <w:jc w:val="both"/>
      </w:pPr>
      <w:r>
        <w:rPr>
          <w:rFonts w:ascii="Times New Roman"/>
          <w:b w:val="false"/>
          <w:i w:val="false"/>
          <w:color w:val="000000"/>
          <w:sz w:val="28"/>
        </w:rPr>
        <w:t>
      Кроме того, СПК наделена статусом национальной компании, что предоставляет возможность по недропользованию заключать контракты на проведение операций по разведке и (или) добыче на основе прямых переговоров без проведения конкурса.</w:t>
      </w:r>
    </w:p>
    <w:p>
      <w:pPr>
        <w:spacing w:after="0"/>
        <w:ind w:left="0"/>
        <w:jc w:val="both"/>
      </w:pPr>
      <w:r>
        <w:rPr>
          <w:rFonts w:ascii="Times New Roman"/>
          <w:b w:val="false"/>
          <w:i w:val="false"/>
          <w:color w:val="000000"/>
          <w:sz w:val="28"/>
        </w:rPr>
        <w:t xml:space="preserve">
      Внутренняя корпоративная система СПК представлена в приложении 1, </w:t>
      </w:r>
      <w:r>
        <w:rPr>
          <w:rFonts w:ascii="Times New Roman"/>
          <w:b w:val="false"/>
          <w:i w:val="false"/>
          <w:color w:val="000000"/>
          <w:sz w:val="28"/>
        </w:rPr>
        <w:t>рисунок 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На сегодня в СПК сформированы следующие органы: </w:t>
      </w:r>
    </w:p>
    <w:p>
      <w:pPr>
        <w:spacing w:after="0"/>
        <w:ind w:left="0"/>
        <w:jc w:val="both"/>
      </w:pPr>
      <w:r>
        <w:rPr>
          <w:rFonts w:ascii="Times New Roman"/>
          <w:b w:val="false"/>
          <w:i w:val="false"/>
          <w:color w:val="000000"/>
          <w:sz w:val="28"/>
        </w:rPr>
        <w:t>
      1) Высший орган – общее собрание акционеров;</w:t>
      </w:r>
    </w:p>
    <w:p>
      <w:pPr>
        <w:spacing w:after="0"/>
        <w:ind w:left="0"/>
        <w:jc w:val="both"/>
      </w:pPr>
      <w:r>
        <w:rPr>
          <w:rFonts w:ascii="Times New Roman"/>
          <w:b w:val="false"/>
          <w:i w:val="false"/>
          <w:color w:val="000000"/>
          <w:sz w:val="28"/>
        </w:rPr>
        <w:t>
      2) Орган управления – совет директоров;</w:t>
      </w:r>
    </w:p>
    <w:p>
      <w:pPr>
        <w:spacing w:after="0"/>
        <w:ind w:left="0"/>
        <w:jc w:val="both"/>
      </w:pPr>
      <w:r>
        <w:rPr>
          <w:rFonts w:ascii="Times New Roman"/>
          <w:b w:val="false"/>
          <w:i w:val="false"/>
          <w:color w:val="000000"/>
          <w:sz w:val="28"/>
        </w:rPr>
        <w:t>
      3) Исполнительный орган – правление;</w:t>
      </w:r>
    </w:p>
    <w:p>
      <w:pPr>
        <w:spacing w:after="0"/>
        <w:ind w:left="0"/>
        <w:jc w:val="both"/>
      </w:pPr>
      <w:r>
        <w:rPr>
          <w:rFonts w:ascii="Times New Roman"/>
          <w:b w:val="false"/>
          <w:i w:val="false"/>
          <w:color w:val="000000"/>
          <w:sz w:val="28"/>
        </w:rPr>
        <w:t>
      4) Орган, осуществляющий контроль за финансово-хозяйственной деятельностью – служба внутреннего аудита.</w:t>
      </w:r>
    </w:p>
    <w:p>
      <w:pPr>
        <w:spacing w:after="0"/>
        <w:ind w:left="0"/>
        <w:jc w:val="both"/>
      </w:pPr>
      <w:r>
        <w:rPr>
          <w:rFonts w:ascii="Times New Roman"/>
          <w:b w:val="false"/>
          <w:i w:val="false"/>
          <w:color w:val="000000"/>
          <w:sz w:val="28"/>
        </w:rPr>
        <w:t>
      СПК проводит работу по внедрению и совершенствованию корпоративного управления в дочерних и зависимых организациях и компаниях с целью повышения уровня взаимодействия органов управления СПК, специализированных дочерних и зависимых организаций и компаний и их выведения на новый качественный уровень развития. Данные меры позволят повысить эффективность реализации бизнес-проектов и обеспечить рост стоимости компаний.</w:t>
      </w:r>
    </w:p>
    <w:p>
      <w:pPr>
        <w:spacing w:after="0"/>
        <w:ind w:left="0"/>
        <w:jc w:val="both"/>
      </w:pPr>
      <w:r>
        <w:rPr>
          <w:rFonts w:ascii="Times New Roman"/>
          <w:b w:val="false"/>
          <w:i w:val="false"/>
          <w:color w:val="000000"/>
          <w:sz w:val="28"/>
        </w:rPr>
        <w:t>
      С целью обеспечения максимальной прозрачности и обоснованности решений менеджмента, СПК придерживается политики улучшения доступности и качества информации о своей деятельности, которая отражается на интернет-ресурсе СПК.</w:t>
      </w:r>
    </w:p>
    <w:p>
      <w:pPr>
        <w:spacing w:after="0"/>
        <w:ind w:left="0"/>
        <w:jc w:val="both"/>
      </w:pPr>
      <w:r>
        <w:rPr>
          <w:rFonts w:ascii="Times New Roman"/>
          <w:b w:val="false"/>
          <w:i w:val="false"/>
          <w:color w:val="000000"/>
          <w:sz w:val="28"/>
        </w:rPr>
        <w:t xml:space="preserve">
      Необходимо отметить, что положительный опыт внедрения наилучших стандартов корпоративного управления имеется у АО "ФНБ "Самрук-Казына", в связи с чем, СПК планирует тесное взаимодействовать с Корпоративным Университетом "Самрук-Казына" для заимствования структурированного и последовательного подхода к повышению уровня корпоративного управления в группе компаний СПК. </w:t>
      </w:r>
    </w:p>
    <w:p>
      <w:pPr>
        <w:spacing w:after="0"/>
        <w:ind w:left="0"/>
        <w:jc w:val="both"/>
      </w:pPr>
      <w:r>
        <w:rPr>
          <w:rFonts w:ascii="Times New Roman"/>
          <w:b w:val="false"/>
          <w:i w:val="false"/>
          <w:color w:val="000000"/>
          <w:sz w:val="28"/>
        </w:rPr>
        <w:t>
      Оценка корпоративного управления СПК в целях присвоения рейтинга корпоративного управления не проводилась. В этой связи текущее значение рейтинга не определено, проведение мероприятий по получению рейтинга запланировано в 2015 году.</w:t>
      </w:r>
    </w:p>
    <w:p>
      <w:pPr>
        <w:spacing w:after="0"/>
        <w:ind w:left="0"/>
        <w:jc w:val="both"/>
      </w:pPr>
      <w:r>
        <w:rPr>
          <w:rFonts w:ascii="Times New Roman"/>
          <w:b w:val="false"/>
          <w:i w:val="false"/>
          <w:color w:val="000000"/>
          <w:sz w:val="28"/>
        </w:rPr>
        <w:t xml:space="preserve">
      В настоящее время в общую корпоративную структуру СПК входят </w:t>
      </w:r>
    </w:p>
    <w:p>
      <w:pPr>
        <w:spacing w:after="0"/>
        <w:ind w:left="0"/>
        <w:jc w:val="both"/>
      </w:pPr>
      <w:r>
        <w:rPr>
          <w:rFonts w:ascii="Times New Roman"/>
          <w:b w:val="false"/>
          <w:i w:val="false"/>
          <w:color w:val="000000"/>
          <w:sz w:val="28"/>
        </w:rPr>
        <w:t>
      9 дочерних и 3 зависимых организации, специализирующихся в разных отраслях экономики.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4"/>
        <w:gridCol w:w="3966"/>
      </w:tblGrid>
      <w:tr>
        <w:trPr>
          <w:trHeight w:val="30" w:hRule="atLeast"/>
        </w:trPr>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Дочерние организации</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Зависимые организации</w:t>
            </w:r>
          </w:p>
        </w:tc>
      </w:tr>
      <w:tr>
        <w:trPr>
          <w:trHeight w:val="30" w:hRule="atLeast"/>
        </w:trPr>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"Аэропорт Усть-Каменогорск" (100 % пакет акций у СПК)</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"Птицефабрика Семей" (49 % доля СПК)</w:t>
            </w:r>
          </w:p>
        </w:tc>
      </w:tr>
      <w:tr>
        <w:trPr>
          <w:trHeight w:val="30" w:hRule="atLeast"/>
        </w:trPr>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"Семейавиа" (90 % пакета акций у СПК)</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"СЗЦ Семей" (49 % доля СПК)</w:t>
            </w:r>
          </w:p>
        </w:tc>
      </w:tr>
      <w:tr>
        <w:trPr>
          <w:trHeight w:val="30" w:hRule="atLeast"/>
        </w:trPr>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"Международный аэропорт Семей" (100 % доля СПК)</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"Горархитектура" (49 % доля СПК)</w:t>
            </w:r>
          </w:p>
        </w:tc>
      </w:tr>
      <w:tr>
        <w:trPr>
          <w:trHeight w:val="30" w:hRule="atLeast"/>
        </w:trPr>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"ВКИЦ "Жардем" (100 % доля СПК)</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"Шығыс-Самғау" (100 % доля СПК)</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"СЗНП "Ертiс" (100 % доля СПК)</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"МКО "Ертiс" (100 % доля СПК)</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"IT Park Altay" (100 % доля СПК)</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"ОблDORкомхоз" (100 % доля СПК)</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развития корпоративного управления в группе дочерних и зависимых компаний СПК придерживается рекомендуемой политики акционера. В этой сфере особое внимание отводится:</w:t>
      </w:r>
    </w:p>
    <w:p>
      <w:pPr>
        <w:spacing w:after="0"/>
        <w:ind w:left="0"/>
        <w:jc w:val="both"/>
      </w:pPr>
      <w:r>
        <w:rPr>
          <w:rFonts w:ascii="Times New Roman"/>
          <w:b w:val="false"/>
          <w:i w:val="false"/>
          <w:color w:val="000000"/>
          <w:sz w:val="28"/>
        </w:rPr>
        <w:t>
      1) отчетности перед акционером об итогах деятельности СПК по итогам месяца, квартала, полугодия, года;</w:t>
      </w:r>
    </w:p>
    <w:p>
      <w:pPr>
        <w:spacing w:after="0"/>
        <w:ind w:left="0"/>
        <w:jc w:val="both"/>
      </w:pPr>
      <w:r>
        <w:rPr>
          <w:rFonts w:ascii="Times New Roman"/>
          <w:b w:val="false"/>
          <w:i w:val="false"/>
          <w:color w:val="000000"/>
          <w:sz w:val="28"/>
        </w:rPr>
        <w:t>
      2) своевременной разработке и утверждению годового бюджета;</w:t>
      </w:r>
    </w:p>
    <w:p>
      <w:pPr>
        <w:spacing w:after="0"/>
        <w:ind w:left="0"/>
        <w:jc w:val="both"/>
      </w:pPr>
      <w:r>
        <w:rPr>
          <w:rFonts w:ascii="Times New Roman"/>
          <w:b w:val="false"/>
          <w:i w:val="false"/>
          <w:color w:val="000000"/>
          <w:sz w:val="28"/>
        </w:rPr>
        <w:t>
      3) проведению ежегодного аудиторского отчета;</w:t>
      </w:r>
    </w:p>
    <w:p>
      <w:pPr>
        <w:spacing w:after="0"/>
        <w:ind w:left="0"/>
        <w:jc w:val="both"/>
      </w:pPr>
      <w:r>
        <w:rPr>
          <w:rFonts w:ascii="Times New Roman"/>
          <w:b w:val="false"/>
          <w:i w:val="false"/>
          <w:color w:val="000000"/>
          <w:sz w:val="28"/>
        </w:rPr>
        <w:t>
      4) согласованию планов финансирования проектов;</w:t>
      </w:r>
    </w:p>
    <w:p>
      <w:pPr>
        <w:spacing w:after="0"/>
        <w:ind w:left="0"/>
        <w:jc w:val="both"/>
      </w:pPr>
      <w:r>
        <w:rPr>
          <w:rFonts w:ascii="Times New Roman"/>
          <w:b w:val="false"/>
          <w:i w:val="false"/>
          <w:color w:val="000000"/>
          <w:sz w:val="28"/>
        </w:rPr>
        <w:t>
      5) разработке стратегических документов и планов развития дочерних компаний.</w:t>
      </w:r>
    </w:p>
    <w:p>
      <w:pPr>
        <w:spacing w:after="0"/>
        <w:ind w:left="0"/>
        <w:jc w:val="both"/>
      </w:pPr>
      <w:r>
        <w:rPr>
          <w:rFonts w:ascii="Times New Roman"/>
          <w:b w:val="false"/>
          <w:i w:val="false"/>
          <w:color w:val="000000"/>
          <w:sz w:val="28"/>
        </w:rPr>
        <w:t>
      Построение взаимоотношений корпоративного управления в группе компаний СПК связано с решением ряда проблем: обеспечение эффективности управления; создание синергического эффекта в функционировании; разработка интегрированной стратегии развития СПК в целом и каждого входящего в него предприятия.</w:t>
      </w:r>
    </w:p>
    <w:bookmarkStart w:name="z14" w:id="12"/>
    <w:p>
      <w:pPr>
        <w:spacing w:after="0"/>
        <w:ind w:left="0"/>
        <w:jc w:val="both"/>
      </w:pPr>
      <w:r>
        <w:rPr>
          <w:rFonts w:ascii="Times New Roman"/>
          <w:b w:val="false"/>
          <w:i w:val="false"/>
          <w:color w:val="000000"/>
          <w:sz w:val="28"/>
        </w:rPr>
        <w:t>
      Оценка финансово-экономической деятельности за 2013 год</w:t>
      </w:r>
    </w:p>
    <w:bookmarkEnd w:id="12"/>
    <w:p>
      <w:pPr>
        <w:spacing w:after="0"/>
        <w:ind w:left="0"/>
        <w:jc w:val="both"/>
      </w:pPr>
      <w:r>
        <w:rPr>
          <w:rFonts w:ascii="Times New Roman"/>
          <w:b w:val="false"/>
          <w:i w:val="false"/>
          <w:color w:val="000000"/>
          <w:sz w:val="28"/>
        </w:rPr>
        <w:t>
      Согласно оценке СПК за 2013 год ожидается получение дохода в размере 2 681 983 тысяч тенге. Расходы ожидаются в размере 3 019 502 тысяч тенге. Консолидированный убыток ожидается в размере (-345 068 тысяч тенге).</w:t>
      </w:r>
    </w:p>
    <w:p>
      <w:pPr>
        <w:spacing w:after="0"/>
        <w:ind w:left="0"/>
        <w:jc w:val="both"/>
      </w:pPr>
      <w:r>
        <w:rPr>
          <w:rFonts w:ascii="Times New Roman"/>
          <w:b w:val="false"/>
          <w:i w:val="false"/>
          <w:color w:val="000000"/>
          <w:sz w:val="28"/>
        </w:rPr>
        <w:t xml:space="preserve">
      Ожидаемый финансовый результат за 2013 год в разрезе дочерних и зависимых предприятий представлен в следующей таблице: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4"/>
        <w:gridCol w:w="2043"/>
        <w:gridCol w:w="2043"/>
        <w:gridCol w:w="1849"/>
        <w:gridCol w:w="1231"/>
        <w:gridCol w:w="1850"/>
      </w:tblGrid>
      <w:tr>
        <w:trPr>
          <w:trHeight w:val="30" w:hRule="atLeast"/>
        </w:trPr>
        <w:tc>
          <w:tcPr>
            <w:tcW w:w="3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предприятия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Оценка 2013 года,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Доход</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Расход</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Прибыль, убыток до налогообложения</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КПН</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Чистая прибыль, убыток</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"СПК "Ертiс"</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716 024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785 265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-69 241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-69 241</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Дочерние/зависимые компании</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"Аэропорт Усть-Каменогорск" (100 %)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693 698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683 743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5 406</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"Семейавиа" (90 %)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7 488</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39 858</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-32 370</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"Международный аэропорт Семей" (100 %)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157 906</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216 547</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-58 641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-58 641</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"ВКИЦ "Жардем" (100 %)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49 435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"Шыгыс-Самгау" (100 %)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556 721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662 242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-105 521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-105 521</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"СЗНП "Ертic" (100 %)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63 864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62 787</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"МКО "Ертiс" (100 %)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"IT Парк" (100 %)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"ОблDORкомхоз" (100 %)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198 693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237 723</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-39 030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-39 030</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"СЗЦ Семей" (49 %)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121 357</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131 728</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-10 371</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ТОО "Птицефабрика Семей" </w:t>
            </w:r>
          </w:p>
          <w:p>
            <w:pPr>
              <w:spacing w:after="20"/>
              <w:ind w:left="20"/>
              <w:jc w:val="both"/>
            </w:pPr>
            <w:r>
              <w:rPr>
                <w:rFonts w:ascii="Times New Roman"/>
                <w:b w:val="false"/>
                <w:i w:val="false"/>
                <w:color w:val="000000"/>
                <w:sz w:val="20"/>
              </w:rPr>
              <w:t>
(49 %)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65 151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108 862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-43 711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-43 711</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"Горархитектура" (49 %)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40 081</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2 681 983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3 019 502</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-337 519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-345 068</w:t>
            </w:r>
          </w:p>
        </w:tc>
      </w:tr>
      <w:tr>
        <w:trPr>
          <w:trHeight w:val="30" w:hRule="atLeast"/>
        </w:trPr>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прибыль, убыток СПК</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-345 068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оптимизации имеющихся расходов СПК 12 августа 2013 года принята и утверждена решением общего собрания акционеров Программа финансового оздоровления.</w:t>
      </w:r>
    </w:p>
    <w:bookmarkStart w:name="z15" w:id="13"/>
    <w:p>
      <w:pPr>
        <w:spacing w:after="0"/>
        <w:ind w:left="0"/>
        <w:jc w:val="both"/>
      </w:pPr>
      <w:r>
        <w:rPr>
          <w:rFonts w:ascii="Times New Roman"/>
          <w:b w:val="false"/>
          <w:i w:val="false"/>
          <w:color w:val="000000"/>
          <w:sz w:val="28"/>
        </w:rPr>
        <w:t>
      Инвестиционная политика СПК</w:t>
      </w:r>
    </w:p>
    <w:bookmarkEnd w:id="13"/>
    <w:p>
      <w:pPr>
        <w:spacing w:after="0"/>
        <w:ind w:left="0"/>
        <w:jc w:val="both"/>
      </w:pPr>
      <w:r>
        <w:rPr>
          <w:rFonts w:ascii="Times New Roman"/>
          <w:b w:val="false"/>
          <w:i w:val="false"/>
          <w:color w:val="000000"/>
          <w:sz w:val="28"/>
        </w:rPr>
        <w:t>
      Порядка 62 % кредитов, выданных субъектам малого предпринимательства, приходится на крупные юридические лица.</w:t>
      </w:r>
    </w:p>
    <w:p>
      <w:pPr>
        <w:spacing w:after="0"/>
        <w:ind w:left="0"/>
        <w:jc w:val="both"/>
      </w:pPr>
      <w:r>
        <w:rPr>
          <w:rFonts w:ascii="Times New Roman"/>
          <w:b w:val="false"/>
          <w:i w:val="false"/>
          <w:color w:val="000000"/>
          <w:sz w:val="28"/>
        </w:rPr>
        <w:t>
      Средневзвешенные ставки кредитования БВУ для субъектов МСБ составляют 13,2 – 14,8 %, а жесткие требования к залоговой базе являются почти невыполнимыми для начинающего бизнеса.</w:t>
      </w:r>
    </w:p>
    <w:p>
      <w:pPr>
        <w:spacing w:after="0"/>
        <w:ind w:left="0"/>
        <w:jc w:val="both"/>
      </w:pPr>
      <w:r>
        <w:rPr>
          <w:rFonts w:ascii="Times New Roman"/>
          <w:b w:val="false"/>
          <w:i w:val="false"/>
          <w:color w:val="000000"/>
          <w:sz w:val="28"/>
        </w:rPr>
        <w:t>
      Стоит также отметить, что для реализации инвестиционной политики СПК использует широкую продуктовую линейку, которая включает такие инструменты как: земля, право недропользования, совместные проекты, совмещенные финансовые инструменты, нефинансовые инструменты и др. актив.</w:t>
      </w:r>
    </w:p>
    <w:p>
      <w:pPr>
        <w:spacing w:after="0"/>
        <w:ind w:left="0"/>
        <w:jc w:val="both"/>
      </w:pPr>
      <w:r>
        <w:rPr>
          <w:rFonts w:ascii="Times New Roman"/>
          <w:b w:val="false"/>
          <w:i w:val="false"/>
          <w:color w:val="000000"/>
          <w:sz w:val="28"/>
        </w:rPr>
        <w:t xml:space="preserve">
      Кроме того, в своей работе СПК активно сотрудничает с институтами развития страны, иностранными университетами, экспортными организациями малого и среднего бизнеса зарубежных стран для организации совместной работы. </w:t>
      </w:r>
    </w:p>
    <w:p>
      <w:pPr>
        <w:spacing w:after="0"/>
        <w:ind w:left="0"/>
        <w:jc w:val="both"/>
      </w:pPr>
      <w:r>
        <w:rPr>
          <w:rFonts w:ascii="Times New Roman"/>
          <w:b w:val="false"/>
          <w:i w:val="false"/>
          <w:color w:val="000000"/>
          <w:sz w:val="28"/>
        </w:rPr>
        <w:t>
      Важное место отводится развитию кластерных инициатив посредством сотрудничества с Автономной организацией образования "Назарбаев Университет" и Парком инновационных технологий.</w:t>
      </w:r>
    </w:p>
    <w:p>
      <w:pPr>
        <w:spacing w:after="0"/>
        <w:ind w:left="0"/>
        <w:jc w:val="both"/>
      </w:pPr>
      <w:r>
        <w:rPr>
          <w:rFonts w:ascii="Times New Roman"/>
          <w:b w:val="false"/>
          <w:i w:val="false"/>
          <w:color w:val="000000"/>
          <w:sz w:val="28"/>
        </w:rPr>
        <w:t>
      Деятельность СПК, в отличие от БВУ, подразумевает не просто заемное финансирование, а инвестиционный характер деятельности и направленность на поддержку бизнеса на условиях партнерства.</w:t>
      </w:r>
    </w:p>
    <w:p>
      <w:pPr>
        <w:spacing w:after="0"/>
        <w:ind w:left="0"/>
        <w:jc w:val="both"/>
      </w:pPr>
      <w:r>
        <w:rPr>
          <w:rFonts w:ascii="Times New Roman"/>
          <w:b w:val="false"/>
          <w:i w:val="false"/>
          <w:color w:val="000000"/>
          <w:sz w:val="28"/>
        </w:rPr>
        <w:t>
      Особое внимание при рассмотрении проектов СПК уделяет не только их экономической эффективности, но и социальной значимости. Также учитываются критерии развития несырьевого сектора, увеличения доли казахстанского содержания в закупках товаров, работ и услуг, создания производств по выпуску новых видов наукоемкой и высокотехнологической продукции, создание конкурентоспособных, экспортоориентированных производств на основе государственно-частного партнерства и т.д.</w:t>
      </w:r>
    </w:p>
    <w:p>
      <w:pPr>
        <w:spacing w:after="0"/>
        <w:ind w:left="0"/>
        <w:jc w:val="both"/>
      </w:pPr>
      <w:r>
        <w:rPr>
          <w:rFonts w:ascii="Times New Roman"/>
          <w:b w:val="false"/>
          <w:i w:val="false"/>
          <w:color w:val="000000"/>
          <w:sz w:val="28"/>
        </w:rPr>
        <w:t xml:space="preserve">
      При инвестировании проектов СПК оказывает услуги консалтингового и управленческого характера. </w:t>
      </w:r>
    </w:p>
    <w:p>
      <w:pPr>
        <w:spacing w:after="0"/>
        <w:ind w:left="0"/>
        <w:jc w:val="both"/>
      </w:pPr>
      <w:r>
        <w:rPr>
          <w:rFonts w:ascii="Times New Roman"/>
          <w:b w:val="false"/>
          <w:i w:val="false"/>
          <w:color w:val="000000"/>
          <w:sz w:val="28"/>
        </w:rPr>
        <w:t xml:space="preserve">
      Условно все проекты, реализуемые СПК, можно разделить на 3 блока (приложение 1, </w:t>
      </w:r>
      <w:r>
        <w:rPr>
          <w:rFonts w:ascii="Times New Roman"/>
          <w:b w:val="false"/>
          <w:i w:val="false"/>
          <w:color w:val="000000"/>
          <w:sz w:val="28"/>
        </w:rPr>
        <w:t>рисунок 2</w:t>
      </w:r>
      <w:r>
        <w:rPr>
          <w:rFonts w:ascii="Times New Roman"/>
          <w:b w:val="false"/>
          <w:i w:val="false"/>
          <w:color w:val="000000"/>
          <w:sz w:val="28"/>
        </w:rPr>
        <w:t>).</w:t>
      </w:r>
    </w:p>
    <w:p>
      <w:pPr>
        <w:spacing w:after="0"/>
        <w:ind w:left="0"/>
        <w:jc w:val="both"/>
      </w:pPr>
      <w:r>
        <w:rPr>
          <w:rFonts w:ascii="Times New Roman"/>
          <w:b w:val="false"/>
          <w:i w:val="false"/>
          <w:color w:val="000000"/>
          <w:sz w:val="28"/>
        </w:rPr>
        <w:t>
      Одним из основных направлений деятельности является участие в реализации проектов в сфере недропользования.</w:t>
      </w:r>
    </w:p>
    <w:p>
      <w:pPr>
        <w:spacing w:after="0"/>
        <w:ind w:left="0"/>
        <w:jc w:val="both"/>
      </w:pPr>
      <w:r>
        <w:rPr>
          <w:rFonts w:ascii="Times New Roman"/>
          <w:b w:val="false"/>
          <w:i w:val="false"/>
          <w:color w:val="000000"/>
          <w:sz w:val="28"/>
        </w:rPr>
        <w:t xml:space="preserve">
      СПК обладает статусом национальной компании и в соответствии с законодательством в сфере недропользования может заключить контракт на недропользование на основе прямых переговоров. </w:t>
      </w:r>
    </w:p>
    <w:p>
      <w:pPr>
        <w:spacing w:after="0"/>
        <w:ind w:left="0"/>
        <w:jc w:val="both"/>
      </w:pPr>
      <w:r>
        <w:rPr>
          <w:rFonts w:ascii="Times New Roman"/>
          <w:b w:val="false"/>
          <w:i w:val="false"/>
          <w:color w:val="000000"/>
          <w:sz w:val="28"/>
        </w:rPr>
        <w:t>
      СПК участвует в таких проектах путем внесения в уставный капитал предприятия права недропользования. Все финансирование проекта осуществляется за счет партнера. При обращении потенциального инвестора, СПК проводит конкурс по выбору партнера и с победителем подписывается договор о совместной деятельности. При этом планируется учитывать исполнение обязательств недропользователей по 1 % на НИОКР и направлять его в работу технопарков, центров коммерциализации, в реализацию других совместных инициатив.</w:t>
      </w:r>
    </w:p>
    <w:p>
      <w:pPr>
        <w:spacing w:after="0"/>
        <w:ind w:left="0"/>
        <w:jc w:val="both"/>
      </w:pPr>
      <w:r>
        <w:rPr>
          <w:rFonts w:ascii="Times New Roman"/>
          <w:b w:val="false"/>
          <w:i w:val="false"/>
          <w:color w:val="000000"/>
          <w:sz w:val="28"/>
        </w:rPr>
        <w:t xml:space="preserve">
      Схематично процесс участия СПК в реализации проектов в сфере недропользования представлен в приложении 1, </w:t>
      </w:r>
      <w:r>
        <w:rPr>
          <w:rFonts w:ascii="Times New Roman"/>
          <w:b w:val="false"/>
          <w:i w:val="false"/>
          <w:color w:val="000000"/>
          <w:sz w:val="28"/>
        </w:rPr>
        <w:t>рисунок 3</w:t>
      </w:r>
      <w:r>
        <w:rPr>
          <w:rFonts w:ascii="Times New Roman"/>
          <w:b w:val="false"/>
          <w:i w:val="false"/>
          <w:color w:val="000000"/>
          <w:sz w:val="28"/>
        </w:rPr>
        <w:t>.</w:t>
      </w:r>
    </w:p>
    <w:p>
      <w:pPr>
        <w:spacing w:after="0"/>
        <w:ind w:left="0"/>
        <w:jc w:val="both"/>
      </w:pPr>
      <w:r>
        <w:rPr>
          <w:rFonts w:ascii="Times New Roman"/>
          <w:b w:val="false"/>
          <w:i w:val="false"/>
          <w:color w:val="000000"/>
          <w:sz w:val="28"/>
        </w:rPr>
        <w:t>
      Инвестиционная деятельность СПК при финансировании бизнес проектов осуществляется путем вхождения СПК в уставный капитал действующего предприятия, либо в создаваемое СП. При этом доля участия со стороны СПК не ограничивается, однако, рекомендуемой долей является не более 50 %, чтобы наличие контроля над совместным проектом оставалось за инициатором проекта.</w:t>
      </w:r>
    </w:p>
    <w:p>
      <w:pPr>
        <w:spacing w:after="0"/>
        <w:ind w:left="0"/>
        <w:jc w:val="both"/>
      </w:pPr>
      <w:r>
        <w:rPr>
          <w:rFonts w:ascii="Times New Roman"/>
          <w:b w:val="false"/>
          <w:i w:val="false"/>
          <w:color w:val="000000"/>
          <w:sz w:val="28"/>
        </w:rPr>
        <w:t>
      При участии в инвестиционном проекте СПК заинтересована в обеспечении контроля за целевым использованием денежных средств, путем введения в должность финансового директора (или должности приравненной к ней) представителя СПК, с обязательным условием наличие права подписи на всех транзакциях по счетам совместного предприятия, а также контроль за всеми активами совместного предприятия, принятых на баланс.</w:t>
      </w:r>
    </w:p>
    <w:p>
      <w:pPr>
        <w:spacing w:after="0"/>
        <w:ind w:left="0"/>
        <w:jc w:val="both"/>
      </w:pPr>
      <w:r>
        <w:rPr>
          <w:rFonts w:ascii="Times New Roman"/>
          <w:b w:val="false"/>
          <w:i w:val="false"/>
          <w:color w:val="000000"/>
          <w:sz w:val="28"/>
        </w:rPr>
        <w:t xml:space="preserve">
      Схематично процесс участия СПК в реализации бизнес-проектов представлен в приложении 1, </w:t>
      </w:r>
      <w:r>
        <w:rPr>
          <w:rFonts w:ascii="Times New Roman"/>
          <w:b w:val="false"/>
          <w:i w:val="false"/>
          <w:color w:val="000000"/>
          <w:sz w:val="28"/>
        </w:rPr>
        <w:t>рисунок 4</w:t>
      </w:r>
      <w:r>
        <w:rPr>
          <w:rFonts w:ascii="Times New Roman"/>
          <w:b w:val="false"/>
          <w:i w:val="false"/>
          <w:color w:val="000000"/>
          <w:sz w:val="28"/>
        </w:rPr>
        <w:t>.</w:t>
      </w:r>
    </w:p>
    <w:p>
      <w:pPr>
        <w:spacing w:after="0"/>
        <w:ind w:left="0"/>
        <w:jc w:val="both"/>
      </w:pPr>
      <w:r>
        <w:rPr>
          <w:rFonts w:ascii="Times New Roman"/>
          <w:b w:val="false"/>
          <w:i w:val="false"/>
          <w:color w:val="000000"/>
          <w:sz w:val="28"/>
        </w:rPr>
        <w:t>
      При реализации инвестиционного проекта участниками проекта оговариваются условия выхода СПК из СП, которые сводятся к следующему:</w:t>
      </w:r>
    </w:p>
    <w:p>
      <w:pPr>
        <w:spacing w:after="0"/>
        <w:ind w:left="0"/>
        <w:jc w:val="both"/>
      </w:pPr>
      <w:r>
        <w:rPr>
          <w:rFonts w:ascii="Times New Roman"/>
          <w:b w:val="false"/>
          <w:i w:val="false"/>
          <w:color w:val="000000"/>
          <w:sz w:val="28"/>
        </w:rPr>
        <w:t xml:space="preserve">
      1) СПК соответствующим договором оговаривается срок участия в проекте, после которого, в соответствие с действующим законодательством, СПК имеет право реализовать свою долю участникам совместного предприятия; в случае их отказа, продать свою долю третьим лицам по рыночной цене с учетом сложившейся конъюнктуры рынка; </w:t>
      </w:r>
    </w:p>
    <w:p>
      <w:pPr>
        <w:spacing w:after="0"/>
        <w:ind w:left="0"/>
        <w:jc w:val="both"/>
      </w:pPr>
      <w:r>
        <w:rPr>
          <w:rFonts w:ascii="Times New Roman"/>
          <w:b w:val="false"/>
          <w:i w:val="false"/>
          <w:color w:val="000000"/>
          <w:sz w:val="28"/>
        </w:rPr>
        <w:t xml:space="preserve">
      2) при необходимости и при условии, что срок участия в проекте не оговорен, СПК имеет право выйти из проекта на любой стадии, путем единовременной или пошаговой продажи акций или доли в уставном капитале и иных ценных бумаг, находящихся в собственности СПК, в соответствии с принятыми на себя обязательствами. </w:t>
      </w:r>
    </w:p>
    <w:p>
      <w:pPr>
        <w:spacing w:after="0"/>
        <w:ind w:left="0"/>
        <w:jc w:val="both"/>
      </w:pPr>
      <w:r>
        <w:rPr>
          <w:rFonts w:ascii="Times New Roman"/>
          <w:b w:val="false"/>
          <w:i w:val="false"/>
          <w:color w:val="000000"/>
          <w:sz w:val="28"/>
        </w:rPr>
        <w:t>
      Одним из особых инструментов развития инвестиционной политики СПК является Центр обслуживания инвестора (далее – ЦОИ), который создан как отдел внутри компании. Основными задачами ЦОИ являются:</w:t>
      </w:r>
    </w:p>
    <w:p>
      <w:pPr>
        <w:spacing w:after="0"/>
        <w:ind w:left="0"/>
        <w:jc w:val="both"/>
      </w:pPr>
      <w:r>
        <w:rPr>
          <w:rFonts w:ascii="Times New Roman"/>
          <w:b w:val="false"/>
          <w:i w:val="false"/>
          <w:color w:val="000000"/>
          <w:sz w:val="28"/>
        </w:rPr>
        <w:t xml:space="preserve">
      1) создание совместных предприятий между иностранной и отечественной сторонами; </w:t>
      </w:r>
    </w:p>
    <w:p>
      <w:pPr>
        <w:spacing w:after="0"/>
        <w:ind w:left="0"/>
        <w:jc w:val="both"/>
      </w:pPr>
      <w:r>
        <w:rPr>
          <w:rFonts w:ascii="Times New Roman"/>
          <w:b w:val="false"/>
          <w:i w:val="false"/>
          <w:color w:val="000000"/>
          <w:sz w:val="28"/>
        </w:rPr>
        <w:t xml:space="preserve">
      2) контроль и нормативно-методологическое обеспечение процессов в работе с иностранными и отечественными инвесторами; </w:t>
      </w:r>
    </w:p>
    <w:p>
      <w:pPr>
        <w:spacing w:after="0"/>
        <w:ind w:left="0"/>
        <w:jc w:val="both"/>
      </w:pPr>
      <w:r>
        <w:rPr>
          <w:rFonts w:ascii="Times New Roman"/>
          <w:b w:val="false"/>
          <w:i w:val="false"/>
          <w:color w:val="000000"/>
          <w:sz w:val="28"/>
        </w:rPr>
        <w:t xml:space="preserve">
      3) оптимизация, развитие и расширение связей СПК с инвесторами. </w:t>
      </w:r>
    </w:p>
    <w:p>
      <w:pPr>
        <w:spacing w:after="0"/>
        <w:ind w:left="0"/>
        <w:jc w:val="both"/>
      </w:pPr>
      <w:r>
        <w:rPr>
          <w:rFonts w:ascii="Times New Roman"/>
          <w:b w:val="false"/>
          <w:i w:val="false"/>
          <w:color w:val="000000"/>
          <w:sz w:val="28"/>
        </w:rPr>
        <w:t>
      В функции ЦОИ входят:</w:t>
      </w:r>
    </w:p>
    <w:p>
      <w:pPr>
        <w:spacing w:after="0"/>
        <w:ind w:left="0"/>
        <w:jc w:val="both"/>
      </w:pPr>
      <w:r>
        <w:rPr>
          <w:rFonts w:ascii="Times New Roman"/>
          <w:b w:val="false"/>
          <w:i w:val="false"/>
          <w:color w:val="000000"/>
          <w:sz w:val="28"/>
        </w:rPr>
        <w:t xml:space="preserve">
      1) поиск иностранных и отечественных инвесторов, их сервисная поддержка и информационно-аналитическое обеспечение, интеграция инструментов государственной поддержки на уровне региона; </w:t>
      </w:r>
    </w:p>
    <w:p>
      <w:pPr>
        <w:spacing w:after="0"/>
        <w:ind w:left="0"/>
        <w:jc w:val="both"/>
      </w:pPr>
      <w:r>
        <w:rPr>
          <w:rFonts w:ascii="Times New Roman"/>
          <w:b w:val="false"/>
          <w:i w:val="false"/>
          <w:color w:val="000000"/>
          <w:sz w:val="28"/>
        </w:rPr>
        <w:t xml:space="preserve">
      2) изучение международного опыта по привлечению потенциальных иностранных инвесторов; </w:t>
      </w:r>
    </w:p>
    <w:p>
      <w:pPr>
        <w:spacing w:after="0"/>
        <w:ind w:left="0"/>
        <w:jc w:val="both"/>
      </w:pPr>
      <w:r>
        <w:rPr>
          <w:rFonts w:ascii="Times New Roman"/>
          <w:b w:val="false"/>
          <w:i w:val="false"/>
          <w:color w:val="000000"/>
          <w:sz w:val="28"/>
        </w:rPr>
        <w:t xml:space="preserve">
      3) проведение инвестиционных форумов, семинаров, выставок и других мероприятий с участием казахстанской и зарубежной сторон, участие в международных инвестиционных мероприятиях; </w:t>
      </w:r>
    </w:p>
    <w:p>
      <w:pPr>
        <w:spacing w:after="0"/>
        <w:ind w:left="0"/>
        <w:jc w:val="both"/>
      </w:pPr>
      <w:r>
        <w:rPr>
          <w:rFonts w:ascii="Times New Roman"/>
          <w:b w:val="false"/>
          <w:i w:val="false"/>
          <w:color w:val="000000"/>
          <w:sz w:val="28"/>
        </w:rPr>
        <w:t xml:space="preserve">
      4) консультация инвесторов по интересующим вопросам, создание диалоговой площадки между представителями казахстанского и зарубежного бизнеса; </w:t>
      </w:r>
    </w:p>
    <w:p>
      <w:pPr>
        <w:spacing w:after="0"/>
        <w:ind w:left="0"/>
        <w:jc w:val="both"/>
      </w:pPr>
      <w:r>
        <w:rPr>
          <w:rFonts w:ascii="Times New Roman"/>
          <w:b w:val="false"/>
          <w:i w:val="false"/>
          <w:color w:val="000000"/>
          <w:sz w:val="28"/>
        </w:rPr>
        <w:t xml:space="preserve">
      5) поиск потенциальных партнеров для создания совместных предприятий между казахстанской и зарубежной сторонами, разработка и реализация мер по улучшению инвестиционного климата на региональном уровне; </w:t>
      </w:r>
    </w:p>
    <w:p>
      <w:pPr>
        <w:spacing w:after="0"/>
        <w:ind w:left="0"/>
        <w:jc w:val="both"/>
      </w:pPr>
      <w:r>
        <w:rPr>
          <w:rFonts w:ascii="Times New Roman"/>
          <w:b w:val="false"/>
          <w:i w:val="false"/>
          <w:color w:val="000000"/>
          <w:sz w:val="28"/>
        </w:rPr>
        <w:t xml:space="preserve">
      6) представление интересов на международных инвестиционных мероприятиях; </w:t>
      </w:r>
    </w:p>
    <w:p>
      <w:pPr>
        <w:spacing w:after="0"/>
        <w:ind w:left="0"/>
        <w:jc w:val="both"/>
      </w:pPr>
      <w:r>
        <w:rPr>
          <w:rFonts w:ascii="Times New Roman"/>
          <w:b w:val="false"/>
          <w:i w:val="false"/>
          <w:color w:val="000000"/>
          <w:sz w:val="28"/>
        </w:rPr>
        <w:t xml:space="preserve">
      7) поиск проектов имеющих инвестиционный потенциал в регионе; </w:t>
      </w:r>
    </w:p>
    <w:p>
      <w:pPr>
        <w:spacing w:after="0"/>
        <w:ind w:left="0"/>
        <w:jc w:val="both"/>
      </w:pPr>
      <w:r>
        <w:rPr>
          <w:rFonts w:ascii="Times New Roman"/>
          <w:b w:val="false"/>
          <w:i w:val="false"/>
          <w:color w:val="000000"/>
          <w:sz w:val="28"/>
        </w:rPr>
        <w:t xml:space="preserve">
      8) разработка базы потенциальных инвесторов; </w:t>
      </w:r>
    </w:p>
    <w:p>
      <w:pPr>
        <w:spacing w:after="0"/>
        <w:ind w:left="0"/>
        <w:jc w:val="both"/>
      </w:pPr>
      <w:r>
        <w:rPr>
          <w:rFonts w:ascii="Times New Roman"/>
          <w:b w:val="false"/>
          <w:i w:val="false"/>
          <w:color w:val="000000"/>
          <w:sz w:val="28"/>
        </w:rPr>
        <w:t xml:space="preserve">
      9) иные задачи возложенные на ЦОИ. </w:t>
      </w:r>
    </w:p>
    <w:bookmarkStart w:name="z16" w:id="14"/>
    <w:p>
      <w:pPr>
        <w:spacing w:after="0"/>
        <w:ind w:left="0"/>
        <w:jc w:val="both"/>
      </w:pPr>
      <w:r>
        <w:rPr>
          <w:rFonts w:ascii="Times New Roman"/>
          <w:b w:val="false"/>
          <w:i w:val="false"/>
          <w:color w:val="000000"/>
          <w:sz w:val="28"/>
        </w:rPr>
        <w:t>
      3. SWOT анализ</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4"/>
        <w:gridCol w:w="6206"/>
      </w:tblGrid>
      <w:tr>
        <w:trPr>
          <w:trHeight w:val="30" w:hRule="atLeast"/>
        </w:trPr>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Сильные стороны </w:t>
            </w:r>
          </w:p>
          <w:p>
            <w:pPr>
              <w:spacing w:after="20"/>
              <w:ind w:left="20"/>
              <w:jc w:val="both"/>
            </w:pPr>
            <w:r>
              <w:rPr>
                <w:rFonts w:ascii="Times New Roman"/>
                <w:b w:val="false"/>
                <w:i w:val="false"/>
                <w:color w:val="000000"/>
                <w:sz w:val="20"/>
              </w:rPr>
              <w:t>
Статус национальной компании;</w:t>
            </w:r>
          </w:p>
          <w:p>
            <w:pPr>
              <w:spacing w:after="20"/>
              <w:ind w:left="20"/>
              <w:jc w:val="both"/>
            </w:pPr>
            <w:r>
              <w:rPr>
                <w:rFonts w:ascii="Times New Roman"/>
                <w:b w:val="false"/>
                <w:i w:val="false"/>
                <w:color w:val="000000"/>
                <w:sz w:val="20"/>
              </w:rPr>
              <w:t>
Внедрена система корпоративного управления;</w:t>
            </w:r>
          </w:p>
          <w:p>
            <w:pPr>
              <w:spacing w:after="20"/>
              <w:ind w:left="20"/>
              <w:jc w:val="both"/>
            </w:pPr>
            <w:r>
              <w:rPr>
                <w:rFonts w:ascii="Times New Roman"/>
                <w:b w:val="false"/>
                <w:i w:val="false"/>
                <w:color w:val="000000"/>
                <w:sz w:val="20"/>
              </w:rPr>
              <w:t>
Квалифицированный кадровый состав;</w:t>
            </w:r>
          </w:p>
          <w:p>
            <w:pPr>
              <w:spacing w:after="20"/>
              <w:ind w:left="20"/>
              <w:jc w:val="both"/>
            </w:pPr>
            <w:r>
              <w:rPr>
                <w:rFonts w:ascii="Times New Roman"/>
                <w:b w:val="false"/>
                <w:i w:val="false"/>
                <w:color w:val="000000"/>
                <w:sz w:val="20"/>
              </w:rPr>
              <w:t>
Отработанный процесс согласования проектов;</w:t>
            </w:r>
          </w:p>
          <w:p>
            <w:pPr>
              <w:spacing w:after="20"/>
              <w:ind w:left="20"/>
              <w:jc w:val="both"/>
            </w:pPr>
            <w:r>
              <w:rPr>
                <w:rFonts w:ascii="Times New Roman"/>
                <w:b w:val="false"/>
                <w:i w:val="false"/>
                <w:color w:val="000000"/>
                <w:sz w:val="20"/>
              </w:rPr>
              <w:t>
Пополнение оборотного капитала через ежегодную капитализацию акционером;</w:t>
            </w:r>
          </w:p>
          <w:p>
            <w:pPr>
              <w:spacing w:after="20"/>
              <w:ind w:left="20"/>
              <w:jc w:val="both"/>
            </w:pPr>
            <w:r>
              <w:rPr>
                <w:rFonts w:ascii="Times New Roman"/>
                <w:b w:val="false"/>
                <w:i w:val="false"/>
                <w:color w:val="000000"/>
                <w:sz w:val="20"/>
              </w:rPr>
              <w:t>
Широкие возможности СПК при финансирование проектов</w:t>
            </w:r>
          </w:p>
          <w:p>
            <w:pPr>
              <w:spacing w:after="20"/>
              <w:ind w:left="20"/>
              <w:jc w:val="both"/>
            </w:pPr>
            <w:r>
              <w:rPr>
                <w:rFonts w:ascii="Times New Roman"/>
                <w:b w:val="false"/>
                <w:i w:val="false"/>
                <w:color w:val="000000"/>
                <w:sz w:val="20"/>
              </w:rPr>
              <w:t>
Отсутствие конкурентов в прямом проектном финансировании в регионе;</w:t>
            </w:r>
          </w:p>
          <w:p>
            <w:pPr>
              <w:spacing w:after="20"/>
              <w:ind w:left="20"/>
              <w:jc w:val="both"/>
            </w:pPr>
            <w:r>
              <w:rPr>
                <w:rFonts w:ascii="Times New Roman"/>
                <w:b w:val="false"/>
                <w:i w:val="false"/>
                <w:color w:val="000000"/>
                <w:sz w:val="20"/>
              </w:rPr>
              <w:t>
Возможность привлечения средств институтов развития в проекты с участием СПК</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Слабые стороны</w:t>
            </w:r>
          </w:p>
          <w:p>
            <w:pPr>
              <w:spacing w:after="20"/>
              <w:ind w:left="20"/>
              <w:jc w:val="both"/>
            </w:pPr>
            <w:r>
              <w:rPr>
                <w:rFonts w:ascii="Times New Roman"/>
                <w:b w:val="false"/>
                <w:i w:val="false"/>
                <w:color w:val="000000"/>
                <w:sz w:val="20"/>
              </w:rPr>
              <w:t>
Длительность сроков рассмотрения проектов до фактического финансирования;</w:t>
            </w:r>
          </w:p>
          <w:p>
            <w:pPr>
              <w:spacing w:after="20"/>
              <w:ind w:left="20"/>
              <w:jc w:val="both"/>
            </w:pPr>
            <w:r>
              <w:rPr>
                <w:rFonts w:ascii="Times New Roman"/>
                <w:b w:val="false"/>
                <w:i w:val="false"/>
                <w:color w:val="000000"/>
                <w:sz w:val="20"/>
              </w:rPr>
              <w:t>
Длительность сроков получения права недропользования;</w:t>
            </w:r>
          </w:p>
          <w:p>
            <w:pPr>
              <w:spacing w:after="20"/>
              <w:ind w:left="20"/>
              <w:jc w:val="both"/>
            </w:pPr>
            <w:r>
              <w:rPr>
                <w:rFonts w:ascii="Times New Roman"/>
                <w:b w:val="false"/>
                <w:i w:val="false"/>
                <w:color w:val="000000"/>
                <w:sz w:val="20"/>
              </w:rPr>
              <w:t>
Переданные в ведение СПК дочерние компании убыточны (и были убыточны на протяжении нескольких лет);</w:t>
            </w:r>
          </w:p>
          <w:p>
            <w:pPr>
              <w:spacing w:after="20"/>
              <w:ind w:left="20"/>
              <w:jc w:val="both"/>
            </w:pPr>
            <w:r>
              <w:rPr>
                <w:rFonts w:ascii="Times New Roman"/>
                <w:b w:val="false"/>
                <w:i w:val="false"/>
                <w:color w:val="000000"/>
                <w:sz w:val="20"/>
              </w:rPr>
              <w:t>
Участие СПК в реализации государственных и отраслевых программах без покрытия операционных расходов;</w:t>
            </w:r>
          </w:p>
          <w:p>
            <w:pPr>
              <w:spacing w:after="20"/>
              <w:ind w:left="20"/>
              <w:jc w:val="both"/>
            </w:pPr>
            <w:r>
              <w:rPr>
                <w:rFonts w:ascii="Times New Roman"/>
                <w:b w:val="false"/>
                <w:i w:val="false"/>
                <w:color w:val="000000"/>
                <w:sz w:val="20"/>
              </w:rPr>
              <w:t>
Слабая информированность общества и бизнес сообщества о деятельности и возможностях СПК</w:t>
            </w:r>
          </w:p>
        </w:tc>
      </w:tr>
      <w:tr>
        <w:trPr>
          <w:trHeight w:val="30" w:hRule="atLeast"/>
        </w:trPr>
        <w:tc>
          <w:tcPr>
            <w:tcW w:w="6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Благоприятные </w:t>
            </w:r>
          </w:p>
          <w:p>
            <w:pPr>
              <w:spacing w:after="20"/>
              <w:ind w:left="20"/>
              <w:jc w:val="both"/>
            </w:pPr>
            <w:r>
              <w:rPr>
                <w:rFonts w:ascii="Times New Roman"/>
                <w:b w:val="false"/>
                <w:i w:val="false"/>
                <w:color w:val="000000"/>
                <w:sz w:val="20"/>
              </w:rPr>
              <w:t>
Наличие свободных государственных месторождений в регионе;</w:t>
            </w:r>
          </w:p>
          <w:p>
            <w:pPr>
              <w:spacing w:after="20"/>
              <w:ind w:left="20"/>
              <w:jc w:val="both"/>
            </w:pPr>
            <w:r>
              <w:rPr>
                <w:rFonts w:ascii="Times New Roman"/>
                <w:b w:val="false"/>
                <w:i w:val="false"/>
                <w:color w:val="000000"/>
                <w:sz w:val="20"/>
              </w:rPr>
              <w:t>
Заинтересованность бизнеса в софинансировании проектов;</w:t>
            </w:r>
          </w:p>
          <w:p>
            <w:pPr>
              <w:spacing w:after="20"/>
              <w:ind w:left="20"/>
              <w:jc w:val="both"/>
            </w:pPr>
            <w:r>
              <w:rPr>
                <w:rFonts w:ascii="Times New Roman"/>
                <w:b w:val="false"/>
                <w:i w:val="false"/>
                <w:color w:val="000000"/>
                <w:sz w:val="20"/>
              </w:rPr>
              <w:t>
Интерес инвесторов к Восточно-Казахстанской области, как к региону с большими перспективами для развития бизнеса;</w:t>
            </w:r>
          </w:p>
          <w:p>
            <w:pPr>
              <w:spacing w:after="20"/>
              <w:ind w:left="20"/>
              <w:jc w:val="both"/>
            </w:pPr>
            <w:r>
              <w:rPr>
                <w:rFonts w:ascii="Times New Roman"/>
                <w:b w:val="false"/>
                <w:i w:val="false"/>
                <w:color w:val="000000"/>
                <w:sz w:val="20"/>
              </w:rPr>
              <w:t>
Потребность региона в развитии и привлечении технологий;</w:t>
            </w:r>
          </w:p>
          <w:p>
            <w:pPr>
              <w:spacing w:after="20"/>
              <w:ind w:left="20"/>
              <w:jc w:val="both"/>
            </w:pPr>
            <w:r>
              <w:rPr>
                <w:rFonts w:ascii="Times New Roman"/>
                <w:b w:val="false"/>
                <w:i w:val="false"/>
                <w:color w:val="000000"/>
                <w:sz w:val="20"/>
              </w:rPr>
              <w:t>
Целевая капитализация СПК на поддержку МСБ;</w:t>
            </w:r>
          </w:p>
          <w:p>
            <w:pPr>
              <w:spacing w:after="20"/>
              <w:ind w:left="20"/>
              <w:jc w:val="both"/>
            </w:pPr>
            <w:r>
              <w:rPr>
                <w:rFonts w:ascii="Times New Roman"/>
                <w:b w:val="false"/>
                <w:i w:val="false"/>
                <w:color w:val="000000"/>
                <w:sz w:val="20"/>
              </w:rPr>
              <w:t>
Возможность выхода из убыточных дочерних компаний путем реализации доли/акций</w:t>
            </w:r>
          </w:p>
        </w:tc>
        <w:tc>
          <w:tcPr>
            <w:tcW w:w="6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Неблагоприятные </w:t>
            </w:r>
          </w:p>
          <w:p>
            <w:pPr>
              <w:spacing w:after="20"/>
              <w:ind w:left="20"/>
              <w:jc w:val="both"/>
            </w:pPr>
            <w:r>
              <w:rPr>
                <w:rFonts w:ascii="Times New Roman"/>
                <w:b w:val="false"/>
                <w:i w:val="false"/>
                <w:color w:val="000000"/>
                <w:sz w:val="20"/>
              </w:rPr>
              <w:t>
Неблагоприятный имидж СПК, сформированный на рынке Казахстана;</w:t>
            </w:r>
          </w:p>
          <w:p>
            <w:pPr>
              <w:spacing w:after="20"/>
              <w:ind w:left="20"/>
              <w:jc w:val="both"/>
            </w:pPr>
            <w:r>
              <w:rPr>
                <w:rFonts w:ascii="Times New Roman"/>
                <w:b w:val="false"/>
                <w:i w:val="false"/>
                <w:color w:val="000000"/>
                <w:sz w:val="20"/>
              </w:rPr>
              <w:t xml:space="preserve">
Законодательное наделение приоритета АО "НК "Таукен-Самрук" в получении права недропользования; </w:t>
            </w:r>
          </w:p>
          <w:p>
            <w:pPr>
              <w:spacing w:after="20"/>
              <w:ind w:left="20"/>
              <w:jc w:val="both"/>
            </w:pPr>
            <w:r>
              <w:rPr>
                <w:rFonts w:ascii="Times New Roman"/>
                <w:b w:val="false"/>
                <w:i w:val="false"/>
                <w:color w:val="000000"/>
                <w:sz w:val="20"/>
              </w:rPr>
              <w:t>
Ухудшение доверия частного бизнеса к государственно-частному партнерству;</w:t>
            </w:r>
          </w:p>
          <w:p>
            <w:pPr>
              <w:spacing w:after="20"/>
              <w:ind w:left="20"/>
              <w:jc w:val="both"/>
            </w:pPr>
            <w:r>
              <w:rPr>
                <w:rFonts w:ascii="Times New Roman"/>
                <w:b w:val="false"/>
                <w:i w:val="false"/>
                <w:color w:val="000000"/>
                <w:sz w:val="20"/>
              </w:rPr>
              <w:t>
Затянутость административных процедур при работе с МИО;</w:t>
            </w:r>
          </w:p>
          <w:p>
            <w:pPr>
              <w:spacing w:after="20"/>
              <w:ind w:left="20"/>
              <w:jc w:val="both"/>
            </w:pPr>
            <w:r>
              <w:rPr>
                <w:rFonts w:ascii="Times New Roman"/>
                <w:b w:val="false"/>
                <w:i w:val="false"/>
                <w:color w:val="000000"/>
                <w:sz w:val="20"/>
              </w:rPr>
              <w:t>
Необходимость отвлечения финансов на поддержку убыточных дочерних организаций</w:t>
            </w:r>
          </w:p>
        </w:tc>
      </w:tr>
    </w:tbl>
    <w:bookmarkStart w:name="z17" w:id="15"/>
    <w:p>
      <w:pPr>
        <w:spacing w:after="0"/>
        <w:ind w:left="0"/>
        <w:jc w:val="left"/>
      </w:pPr>
      <w:r>
        <w:rPr>
          <w:rFonts w:ascii="Times New Roman"/>
          <w:b/>
          <w:i w:val="false"/>
          <w:color w:val="000000"/>
        </w:rPr>
        <w:t xml:space="preserve"> 2. Миссия и видение</w:t>
      </w:r>
    </w:p>
    <w:bookmarkEnd w:id="15"/>
    <w:p>
      <w:pPr>
        <w:spacing w:after="0"/>
        <w:ind w:left="0"/>
        <w:jc w:val="both"/>
      </w:pPr>
      <w:r>
        <w:rPr>
          <w:rFonts w:ascii="Times New Roman"/>
          <w:b w:val="false"/>
          <w:i w:val="false"/>
          <w:color w:val="000000"/>
          <w:sz w:val="28"/>
        </w:rPr>
        <w:t>
      Миссия СПК – содействие социально-экономическому развитию Восточно-Казахстанской области на принципах партнерства государства и бизнеса.</w:t>
      </w:r>
    </w:p>
    <w:p>
      <w:pPr>
        <w:spacing w:after="0"/>
        <w:ind w:left="0"/>
        <w:jc w:val="both"/>
      </w:pPr>
      <w:r>
        <w:rPr>
          <w:rFonts w:ascii="Times New Roman"/>
          <w:b w:val="false"/>
          <w:i w:val="false"/>
          <w:color w:val="000000"/>
          <w:sz w:val="28"/>
        </w:rPr>
        <w:t>
      Видение СПК – региональный институт развития, эффективно управляющий активами, стимулирующий экономическую активность в точках роста региона, в том числе через привлечение инвестиций, и выступающий катализатором формирования конкурентоспособных устойчивых производств.</w:t>
      </w:r>
    </w:p>
    <w:p>
      <w:pPr>
        <w:spacing w:after="0"/>
        <w:ind w:left="0"/>
        <w:jc w:val="both"/>
      </w:pPr>
      <w:r>
        <w:rPr>
          <w:rFonts w:ascii="Times New Roman"/>
          <w:b w:val="false"/>
          <w:i w:val="false"/>
          <w:color w:val="000000"/>
          <w:sz w:val="28"/>
        </w:rPr>
        <w:t>
      Цель СПК – поддержка бизнес-инициатив и стимулирование экономической активности в точках роста региона.</w:t>
      </w:r>
    </w:p>
    <w:bookmarkStart w:name="z18" w:id="16"/>
    <w:p>
      <w:pPr>
        <w:spacing w:after="0"/>
        <w:ind w:left="0"/>
        <w:jc w:val="left"/>
      </w:pPr>
      <w:r>
        <w:rPr>
          <w:rFonts w:ascii="Times New Roman"/>
          <w:b/>
          <w:i w:val="false"/>
          <w:color w:val="000000"/>
        </w:rPr>
        <w:t xml:space="preserve"> 3. Стратегические направления деятельности, цели, задачи,</w:t>
      </w:r>
      <w:r>
        <w:br/>
      </w:r>
      <w:r>
        <w:rPr>
          <w:rFonts w:ascii="Times New Roman"/>
          <w:b/>
          <w:i w:val="false"/>
          <w:color w:val="000000"/>
        </w:rPr>
        <w:t>мероприятия, ключевые показатели, ожидаемые результаты</w:t>
      </w:r>
    </w:p>
    <w:bookmarkEnd w:id="16"/>
    <w:bookmarkStart w:name="z19" w:id="17"/>
    <w:p>
      <w:pPr>
        <w:spacing w:after="0"/>
        <w:ind w:left="0"/>
        <w:jc w:val="both"/>
      </w:pPr>
      <w:r>
        <w:rPr>
          <w:rFonts w:ascii="Times New Roman"/>
          <w:b w:val="false"/>
          <w:i w:val="false"/>
          <w:color w:val="000000"/>
          <w:sz w:val="28"/>
        </w:rPr>
        <w:t xml:space="preserve">
      1.1. Привлечение инвесторов и создание новых производств в точках роста региона </w:t>
      </w:r>
    </w:p>
    <w:bookmarkEnd w:id="17"/>
    <w:bookmarkStart w:name="z20" w:id="18"/>
    <w:p>
      <w:pPr>
        <w:spacing w:after="0"/>
        <w:ind w:left="0"/>
        <w:jc w:val="both"/>
      </w:pPr>
      <w:r>
        <w:rPr>
          <w:rFonts w:ascii="Times New Roman"/>
          <w:b w:val="false"/>
          <w:i w:val="false"/>
          <w:color w:val="000000"/>
          <w:sz w:val="28"/>
        </w:rPr>
        <w:t xml:space="preserve">
      Цель 1. Активизация работы по привлечению отечественных и прямых иностранных инвестиций в приоритетные сектора экономики региона </w:t>
      </w:r>
    </w:p>
    <w:bookmarkEnd w:id="18"/>
    <w:p>
      <w:pPr>
        <w:spacing w:after="0"/>
        <w:ind w:left="0"/>
        <w:jc w:val="both"/>
      </w:pPr>
      <w:r>
        <w:rPr>
          <w:rFonts w:ascii="Times New Roman"/>
          <w:b w:val="false"/>
          <w:i w:val="false"/>
          <w:color w:val="000000"/>
          <w:sz w:val="28"/>
        </w:rPr>
        <w:t xml:space="preserve">
      Задачи: </w:t>
      </w:r>
    </w:p>
    <w:p>
      <w:pPr>
        <w:spacing w:after="0"/>
        <w:ind w:left="0"/>
        <w:jc w:val="both"/>
      </w:pPr>
      <w:r>
        <w:rPr>
          <w:rFonts w:ascii="Times New Roman"/>
          <w:b w:val="false"/>
          <w:i w:val="false"/>
          <w:color w:val="000000"/>
          <w:sz w:val="28"/>
        </w:rPr>
        <w:t xml:space="preserve">
      1) создание новых и модернизация существующих конкурентоспособных производств в приоритетных секторах экономики региона (точках роста); </w:t>
      </w:r>
    </w:p>
    <w:p>
      <w:pPr>
        <w:spacing w:after="0"/>
        <w:ind w:left="0"/>
        <w:jc w:val="both"/>
      </w:pPr>
      <w:r>
        <w:rPr>
          <w:rFonts w:ascii="Times New Roman"/>
          <w:b w:val="false"/>
          <w:i w:val="false"/>
          <w:color w:val="000000"/>
          <w:sz w:val="28"/>
        </w:rPr>
        <w:t xml:space="preserve">
      2) привлечение в регионы отечественных и зарубежных инвесторов для реализации перспективных проектов, в том числе на принципах государственно-частного партнерства; </w:t>
      </w:r>
    </w:p>
    <w:p>
      <w:pPr>
        <w:spacing w:after="0"/>
        <w:ind w:left="0"/>
        <w:jc w:val="both"/>
      </w:pPr>
      <w:r>
        <w:rPr>
          <w:rFonts w:ascii="Times New Roman"/>
          <w:b w:val="false"/>
          <w:i w:val="false"/>
          <w:color w:val="000000"/>
          <w:sz w:val="28"/>
        </w:rPr>
        <w:t xml:space="preserve">
      3) оказание инвесторам содействия в реализации проектов через долевое финансирование, участие активами, а также получении финансирования в рамках государственных и отраслевых программ. </w:t>
      </w:r>
    </w:p>
    <w:p>
      <w:pPr>
        <w:spacing w:after="0"/>
        <w:ind w:left="0"/>
        <w:jc w:val="both"/>
      </w:pPr>
      <w:r>
        <w:rPr>
          <w:rFonts w:ascii="Times New Roman"/>
          <w:b w:val="false"/>
          <w:i w:val="false"/>
          <w:color w:val="000000"/>
          <w:sz w:val="28"/>
        </w:rPr>
        <w:t xml:space="preserve">
      Ключевые показатели деятельности представлены в </w:t>
      </w:r>
      <w:r>
        <w:rPr>
          <w:rFonts w:ascii="Times New Roman"/>
          <w:b w:val="false"/>
          <w:i w:val="false"/>
          <w:color w:val="000000"/>
          <w:sz w:val="28"/>
        </w:rPr>
        <w:t>приложении 2</w:t>
      </w:r>
      <w:r>
        <w:rPr>
          <w:rFonts w:ascii="Times New Roman"/>
          <w:b w:val="false"/>
          <w:i w:val="false"/>
          <w:color w:val="000000"/>
          <w:sz w:val="28"/>
        </w:rPr>
        <w:t xml:space="preserve"> к Стратегии.</w:t>
      </w:r>
    </w:p>
    <w:p>
      <w:pPr>
        <w:spacing w:after="0"/>
        <w:ind w:left="0"/>
        <w:jc w:val="both"/>
      </w:pPr>
      <w:r>
        <w:rPr>
          <w:rFonts w:ascii="Times New Roman"/>
          <w:b w:val="false"/>
          <w:i w:val="false"/>
          <w:color w:val="000000"/>
          <w:sz w:val="28"/>
        </w:rPr>
        <w:t>
      Ожидаемые результаты:</w:t>
      </w:r>
    </w:p>
    <w:p>
      <w:pPr>
        <w:spacing w:after="0"/>
        <w:ind w:left="0"/>
        <w:jc w:val="both"/>
      </w:pPr>
      <w:r>
        <w:rPr>
          <w:rFonts w:ascii="Times New Roman"/>
          <w:b w:val="false"/>
          <w:i w:val="false"/>
          <w:color w:val="000000"/>
          <w:sz w:val="28"/>
        </w:rPr>
        <w:t xml:space="preserve">
      1) модернизация интернет-ресурса СПК с привязкой к потенциалу региона; </w:t>
      </w:r>
    </w:p>
    <w:p>
      <w:pPr>
        <w:spacing w:after="0"/>
        <w:ind w:left="0"/>
        <w:jc w:val="both"/>
      </w:pPr>
      <w:r>
        <w:rPr>
          <w:rFonts w:ascii="Times New Roman"/>
          <w:b w:val="false"/>
          <w:i w:val="false"/>
          <w:color w:val="000000"/>
          <w:sz w:val="28"/>
        </w:rPr>
        <w:t xml:space="preserve">
      2) количество ежегодно запускаемых инвестиционных проектов, в том числе с участием иностранного капитала, общей сложности составит </w:t>
      </w:r>
    </w:p>
    <w:p>
      <w:pPr>
        <w:spacing w:after="0"/>
        <w:ind w:left="0"/>
        <w:jc w:val="both"/>
      </w:pPr>
      <w:r>
        <w:rPr>
          <w:rFonts w:ascii="Times New Roman"/>
          <w:b w:val="false"/>
          <w:i w:val="false"/>
          <w:color w:val="000000"/>
          <w:sz w:val="28"/>
        </w:rPr>
        <w:t xml:space="preserve">
      75 единиц; </w:t>
      </w:r>
    </w:p>
    <w:p>
      <w:pPr>
        <w:spacing w:after="0"/>
        <w:ind w:left="0"/>
        <w:jc w:val="both"/>
      </w:pPr>
      <w:r>
        <w:rPr>
          <w:rFonts w:ascii="Times New Roman"/>
          <w:b w:val="false"/>
          <w:i w:val="false"/>
          <w:color w:val="000000"/>
          <w:sz w:val="28"/>
        </w:rPr>
        <w:t xml:space="preserve">
      3) привлечение около 34,4 миллиардов тенге (с учетом проектов недропользования); </w:t>
      </w:r>
    </w:p>
    <w:p>
      <w:pPr>
        <w:spacing w:after="0"/>
        <w:ind w:left="0"/>
        <w:jc w:val="both"/>
      </w:pPr>
      <w:r>
        <w:rPr>
          <w:rFonts w:ascii="Times New Roman"/>
          <w:b w:val="false"/>
          <w:i w:val="false"/>
          <w:color w:val="000000"/>
          <w:sz w:val="28"/>
        </w:rPr>
        <w:t xml:space="preserve">
      4) обеспечение заполнения национальной базы данных инвестиционных проектов и инвесторов www.baseinvest.kz в рамках Программы по привлечению инвестиций, развитию специальных экономических зон и стимулированию экспорта в Республике Казахстан на 2010 – 2014 годы АО "Национальное агентство по экспорту и инвестициям "KAZNEX INVEST"; </w:t>
      </w:r>
    </w:p>
    <w:p>
      <w:pPr>
        <w:spacing w:after="0"/>
        <w:ind w:left="0"/>
        <w:jc w:val="both"/>
      </w:pPr>
      <w:r>
        <w:rPr>
          <w:rFonts w:ascii="Times New Roman"/>
          <w:b w:val="false"/>
          <w:i w:val="false"/>
          <w:color w:val="000000"/>
          <w:sz w:val="28"/>
        </w:rPr>
        <w:t xml:space="preserve">
      5) с участием ЦОИ будет разработана рамочная концепция привлечения ПИИ в регион, повышения конкурентоспособности, устранения неравных возможностей, демонстрации потенциала области и устранения политических барьеров; </w:t>
      </w:r>
    </w:p>
    <w:p>
      <w:pPr>
        <w:spacing w:after="0"/>
        <w:ind w:left="0"/>
        <w:jc w:val="both"/>
      </w:pPr>
      <w:r>
        <w:rPr>
          <w:rFonts w:ascii="Times New Roman"/>
          <w:b w:val="false"/>
          <w:i w:val="false"/>
          <w:color w:val="000000"/>
          <w:sz w:val="28"/>
        </w:rPr>
        <w:t xml:space="preserve">
      6) реализация крупного проекта по строительству автомобильного завода полного цикла мощностью 120 тысяч автомобилей в год совместно с АО "Азия Авто" и ОАО "АВТОВАЗ"; </w:t>
      </w:r>
    </w:p>
    <w:p>
      <w:pPr>
        <w:spacing w:after="0"/>
        <w:ind w:left="0"/>
        <w:jc w:val="both"/>
      </w:pPr>
      <w:r>
        <w:rPr>
          <w:rFonts w:ascii="Times New Roman"/>
          <w:b w:val="false"/>
          <w:i w:val="false"/>
          <w:color w:val="000000"/>
          <w:sz w:val="28"/>
        </w:rPr>
        <w:t xml:space="preserve">
      7) реализация проектов в сфере недропользования; </w:t>
      </w:r>
    </w:p>
    <w:p>
      <w:pPr>
        <w:spacing w:after="0"/>
        <w:ind w:left="0"/>
        <w:jc w:val="both"/>
      </w:pPr>
      <w:r>
        <w:rPr>
          <w:rFonts w:ascii="Times New Roman"/>
          <w:b w:val="false"/>
          <w:i w:val="false"/>
          <w:color w:val="000000"/>
          <w:sz w:val="28"/>
        </w:rPr>
        <w:t xml:space="preserve">
      8) формирование благоприятной среды для развития инвестиционного потенциала и объектов предпринимательства; </w:t>
      </w:r>
    </w:p>
    <w:p>
      <w:pPr>
        <w:spacing w:after="0"/>
        <w:ind w:left="0"/>
        <w:jc w:val="both"/>
      </w:pPr>
      <w:r>
        <w:rPr>
          <w:rFonts w:ascii="Times New Roman"/>
          <w:b w:val="false"/>
          <w:i w:val="false"/>
          <w:color w:val="000000"/>
          <w:sz w:val="28"/>
        </w:rPr>
        <w:t xml:space="preserve">
      9) обеспечение роста объема прямых иностранных инвестиций в обрабатывающую промышленность не менее чем на 22 %. </w:t>
      </w:r>
    </w:p>
    <w:bookmarkStart w:name="z21" w:id="19"/>
    <w:p>
      <w:pPr>
        <w:spacing w:after="0"/>
        <w:ind w:left="0"/>
        <w:jc w:val="both"/>
      </w:pPr>
      <w:r>
        <w:rPr>
          <w:rFonts w:ascii="Times New Roman"/>
          <w:b w:val="false"/>
          <w:i w:val="false"/>
          <w:color w:val="000000"/>
          <w:sz w:val="28"/>
        </w:rPr>
        <w:t>
      Цель 2. Привлечение новых (инновационных) технологий в регион и оказание поддержки науке Казахстана</w:t>
      </w:r>
    </w:p>
    <w:bookmarkEnd w:id="19"/>
    <w:p>
      <w:pPr>
        <w:spacing w:after="0"/>
        <w:ind w:left="0"/>
        <w:jc w:val="both"/>
      </w:pPr>
      <w:r>
        <w:rPr>
          <w:rFonts w:ascii="Times New Roman"/>
          <w:b w:val="false"/>
          <w:i w:val="false"/>
          <w:color w:val="000000"/>
          <w:sz w:val="28"/>
        </w:rPr>
        <w:t xml:space="preserve">
      Задачи: </w:t>
      </w:r>
    </w:p>
    <w:p>
      <w:pPr>
        <w:spacing w:after="0"/>
        <w:ind w:left="0"/>
        <w:jc w:val="both"/>
      </w:pPr>
      <w:r>
        <w:rPr>
          <w:rFonts w:ascii="Times New Roman"/>
          <w:b w:val="false"/>
          <w:i w:val="false"/>
          <w:color w:val="000000"/>
          <w:sz w:val="28"/>
        </w:rPr>
        <w:t xml:space="preserve">
      1) внедрение передовых производственных и управленческих технологий и стандартов; </w:t>
      </w:r>
    </w:p>
    <w:p>
      <w:pPr>
        <w:spacing w:after="0"/>
        <w:ind w:left="0"/>
        <w:jc w:val="both"/>
      </w:pPr>
      <w:r>
        <w:rPr>
          <w:rFonts w:ascii="Times New Roman"/>
          <w:b w:val="false"/>
          <w:i w:val="false"/>
          <w:color w:val="000000"/>
          <w:sz w:val="28"/>
        </w:rPr>
        <w:t xml:space="preserve">
      2) развитие коммуникаций и обмена навыками между портфельными компаниями; </w:t>
      </w:r>
    </w:p>
    <w:p>
      <w:pPr>
        <w:spacing w:after="0"/>
        <w:ind w:left="0"/>
        <w:jc w:val="both"/>
      </w:pPr>
      <w:r>
        <w:rPr>
          <w:rFonts w:ascii="Times New Roman"/>
          <w:b w:val="false"/>
          <w:i w:val="false"/>
          <w:color w:val="000000"/>
          <w:sz w:val="28"/>
        </w:rPr>
        <w:t xml:space="preserve">
      3) развитие кластерных инициатив. </w:t>
      </w:r>
    </w:p>
    <w:p>
      <w:pPr>
        <w:spacing w:after="0"/>
        <w:ind w:left="0"/>
        <w:jc w:val="both"/>
      </w:pPr>
      <w:r>
        <w:rPr>
          <w:rFonts w:ascii="Times New Roman"/>
          <w:b w:val="false"/>
          <w:i w:val="false"/>
          <w:color w:val="000000"/>
          <w:sz w:val="28"/>
        </w:rPr>
        <w:t xml:space="preserve">
      Ключевые показатели деятельности представлены в </w:t>
      </w:r>
      <w:r>
        <w:rPr>
          <w:rFonts w:ascii="Times New Roman"/>
          <w:b w:val="false"/>
          <w:i w:val="false"/>
          <w:color w:val="000000"/>
          <w:sz w:val="28"/>
        </w:rPr>
        <w:t>приложении 2</w:t>
      </w:r>
      <w:r>
        <w:rPr>
          <w:rFonts w:ascii="Times New Roman"/>
          <w:b w:val="false"/>
          <w:i w:val="false"/>
          <w:color w:val="000000"/>
          <w:sz w:val="28"/>
        </w:rPr>
        <w:t xml:space="preserve"> к Стратегии.</w:t>
      </w:r>
    </w:p>
    <w:p>
      <w:pPr>
        <w:spacing w:after="0"/>
        <w:ind w:left="0"/>
        <w:jc w:val="both"/>
      </w:pPr>
      <w:r>
        <w:rPr>
          <w:rFonts w:ascii="Times New Roman"/>
          <w:b w:val="false"/>
          <w:i w:val="false"/>
          <w:color w:val="000000"/>
          <w:sz w:val="28"/>
        </w:rPr>
        <w:t>
      Ожидаемые результаты:</w:t>
      </w:r>
    </w:p>
    <w:p>
      <w:pPr>
        <w:spacing w:after="0"/>
        <w:ind w:left="0"/>
        <w:jc w:val="both"/>
      </w:pPr>
      <w:r>
        <w:rPr>
          <w:rFonts w:ascii="Times New Roman"/>
          <w:b w:val="false"/>
          <w:i w:val="false"/>
          <w:color w:val="000000"/>
          <w:sz w:val="28"/>
        </w:rPr>
        <w:t xml:space="preserve">
      1) изучение и внедрение мирового опыта в области новых технологий; </w:t>
      </w:r>
    </w:p>
    <w:p>
      <w:pPr>
        <w:spacing w:after="0"/>
        <w:ind w:left="0"/>
        <w:jc w:val="both"/>
      </w:pPr>
      <w:r>
        <w:rPr>
          <w:rFonts w:ascii="Times New Roman"/>
          <w:b w:val="false"/>
          <w:i w:val="false"/>
          <w:color w:val="000000"/>
          <w:sz w:val="28"/>
        </w:rPr>
        <w:t xml:space="preserve">
      2) создание при СПК базы новых технологий и проектов, потенциально применимых для региона; </w:t>
      </w:r>
    </w:p>
    <w:p>
      <w:pPr>
        <w:spacing w:after="0"/>
        <w:ind w:left="0"/>
        <w:jc w:val="both"/>
      </w:pPr>
      <w:r>
        <w:rPr>
          <w:rFonts w:ascii="Times New Roman"/>
          <w:b w:val="false"/>
          <w:i w:val="false"/>
          <w:color w:val="000000"/>
          <w:sz w:val="28"/>
        </w:rPr>
        <w:t xml:space="preserve">
      3) обеспечение регулярного участия в республиканских и международных бизнес-форумах в сфере новых технологий; </w:t>
      </w:r>
    </w:p>
    <w:p>
      <w:pPr>
        <w:spacing w:after="0"/>
        <w:ind w:left="0"/>
        <w:jc w:val="both"/>
      </w:pPr>
      <w:r>
        <w:rPr>
          <w:rFonts w:ascii="Times New Roman"/>
          <w:b w:val="false"/>
          <w:i w:val="false"/>
          <w:color w:val="000000"/>
          <w:sz w:val="28"/>
        </w:rPr>
        <w:t xml:space="preserve">
      4) проведение круглых столов, семинаров с представителями крупного бизнеса, холдингов и иностранных компаний по вопросам новейших технологий; </w:t>
      </w:r>
    </w:p>
    <w:p>
      <w:pPr>
        <w:spacing w:after="0"/>
        <w:ind w:left="0"/>
        <w:jc w:val="both"/>
      </w:pPr>
      <w:r>
        <w:rPr>
          <w:rFonts w:ascii="Times New Roman"/>
          <w:b w:val="false"/>
          <w:i w:val="false"/>
          <w:color w:val="000000"/>
          <w:sz w:val="28"/>
        </w:rPr>
        <w:t xml:space="preserve">
      5) налаживание работы с институтами развития страны, "Назарбаев университет", научно-исследовательскими институтами и центральными и местными исполнительными органами; </w:t>
      </w:r>
    </w:p>
    <w:p>
      <w:pPr>
        <w:spacing w:after="0"/>
        <w:ind w:left="0"/>
        <w:jc w:val="both"/>
      </w:pPr>
      <w:r>
        <w:rPr>
          <w:rFonts w:ascii="Times New Roman"/>
          <w:b w:val="false"/>
          <w:i w:val="false"/>
          <w:color w:val="000000"/>
          <w:sz w:val="28"/>
        </w:rPr>
        <w:t xml:space="preserve">
      6) в кадровый состав СПК будут привлекаться специалисты с инженерным образованием и инновационным мышлением; </w:t>
      </w:r>
    </w:p>
    <w:p>
      <w:pPr>
        <w:spacing w:after="0"/>
        <w:ind w:left="0"/>
        <w:jc w:val="both"/>
      </w:pPr>
      <w:r>
        <w:rPr>
          <w:rFonts w:ascii="Times New Roman"/>
          <w:b w:val="false"/>
          <w:i w:val="false"/>
          <w:color w:val="000000"/>
          <w:sz w:val="28"/>
        </w:rPr>
        <w:t xml:space="preserve">
      7) оказание поддержки субъектам МСБ в вопросах организации современных высокотехнологичных, наукоемких производств и инновационной деятельности; </w:t>
      </w:r>
    </w:p>
    <w:p>
      <w:pPr>
        <w:spacing w:after="0"/>
        <w:ind w:left="0"/>
        <w:jc w:val="both"/>
      </w:pPr>
      <w:r>
        <w:rPr>
          <w:rFonts w:ascii="Times New Roman"/>
          <w:b w:val="false"/>
          <w:i w:val="false"/>
          <w:color w:val="000000"/>
          <w:sz w:val="28"/>
        </w:rPr>
        <w:t xml:space="preserve">
      8) активизация работы с технопарками республики по поиску и финансированию новых инновационных проектов, а также оказано содействие действующим элементам индустриально-инновационной инфраструктуры региона; </w:t>
      </w:r>
    </w:p>
    <w:p>
      <w:pPr>
        <w:spacing w:after="0"/>
        <w:ind w:left="0"/>
        <w:jc w:val="both"/>
      </w:pPr>
      <w:r>
        <w:rPr>
          <w:rFonts w:ascii="Times New Roman"/>
          <w:b w:val="false"/>
          <w:i w:val="false"/>
          <w:color w:val="000000"/>
          <w:sz w:val="28"/>
        </w:rPr>
        <w:t xml:space="preserve">
      9) реализация 6 инвестиционных проекта с трансфертом инновационных технологий для области; </w:t>
      </w:r>
    </w:p>
    <w:p>
      <w:pPr>
        <w:spacing w:after="0"/>
        <w:ind w:left="0"/>
        <w:jc w:val="both"/>
      </w:pPr>
      <w:r>
        <w:rPr>
          <w:rFonts w:ascii="Times New Roman"/>
          <w:b w:val="false"/>
          <w:i w:val="false"/>
          <w:color w:val="000000"/>
          <w:sz w:val="28"/>
        </w:rPr>
        <w:t xml:space="preserve">
      10)  коммерциализация порядка 7 идей технопарков. </w:t>
      </w:r>
    </w:p>
    <w:bookmarkStart w:name="z22" w:id="20"/>
    <w:p>
      <w:pPr>
        <w:spacing w:after="0"/>
        <w:ind w:left="0"/>
        <w:jc w:val="both"/>
      </w:pPr>
      <w:r>
        <w:rPr>
          <w:rFonts w:ascii="Times New Roman"/>
          <w:b w:val="false"/>
          <w:i w:val="false"/>
          <w:color w:val="000000"/>
          <w:sz w:val="28"/>
        </w:rPr>
        <w:t>
      Цель 3. Развитие казахстанского содержания на региональном уровне</w:t>
      </w:r>
    </w:p>
    <w:bookmarkEnd w:id="20"/>
    <w:p>
      <w:pPr>
        <w:spacing w:after="0"/>
        <w:ind w:left="0"/>
        <w:jc w:val="both"/>
      </w:pPr>
      <w:r>
        <w:rPr>
          <w:rFonts w:ascii="Times New Roman"/>
          <w:b w:val="false"/>
          <w:i w:val="false"/>
          <w:color w:val="000000"/>
          <w:sz w:val="28"/>
        </w:rPr>
        <w:t xml:space="preserve">
      Задачи: </w:t>
      </w:r>
    </w:p>
    <w:p>
      <w:pPr>
        <w:spacing w:after="0"/>
        <w:ind w:left="0"/>
        <w:jc w:val="both"/>
      </w:pPr>
      <w:r>
        <w:rPr>
          <w:rFonts w:ascii="Times New Roman"/>
          <w:b w:val="false"/>
          <w:i w:val="false"/>
          <w:color w:val="000000"/>
          <w:sz w:val="28"/>
        </w:rPr>
        <w:t xml:space="preserve">
      1) содействие брендированию продукции для более активного продвижения продукции на внутреннем и внешнем рынках; </w:t>
      </w:r>
    </w:p>
    <w:p>
      <w:pPr>
        <w:spacing w:after="0"/>
        <w:ind w:left="0"/>
        <w:jc w:val="both"/>
      </w:pPr>
      <w:r>
        <w:rPr>
          <w:rFonts w:ascii="Times New Roman"/>
          <w:b w:val="false"/>
          <w:i w:val="false"/>
          <w:color w:val="000000"/>
          <w:sz w:val="28"/>
        </w:rPr>
        <w:t xml:space="preserve">
      2) оказание сервисной и информационной поддержки дочерним/зависимым организациям, субъектам малого и среднего бизнеса в части развития местного содержания при закупке товаров, работ и услуг; </w:t>
      </w:r>
    </w:p>
    <w:p>
      <w:pPr>
        <w:spacing w:after="0"/>
        <w:ind w:left="0"/>
        <w:jc w:val="both"/>
      </w:pPr>
      <w:r>
        <w:rPr>
          <w:rFonts w:ascii="Times New Roman"/>
          <w:b w:val="false"/>
          <w:i w:val="false"/>
          <w:color w:val="000000"/>
          <w:sz w:val="28"/>
        </w:rPr>
        <w:t xml:space="preserve">
      3) создание действенной системы мониторинга и анализа закупок товаров, работ и услуг. </w:t>
      </w:r>
    </w:p>
    <w:p>
      <w:pPr>
        <w:spacing w:after="0"/>
        <w:ind w:left="0"/>
        <w:jc w:val="both"/>
      </w:pPr>
      <w:r>
        <w:rPr>
          <w:rFonts w:ascii="Times New Roman"/>
          <w:b w:val="false"/>
          <w:i w:val="false"/>
          <w:color w:val="000000"/>
          <w:sz w:val="28"/>
        </w:rPr>
        <w:t xml:space="preserve">
      Ключевые показатели деятельности представлены в </w:t>
      </w:r>
      <w:r>
        <w:rPr>
          <w:rFonts w:ascii="Times New Roman"/>
          <w:b w:val="false"/>
          <w:i w:val="false"/>
          <w:color w:val="000000"/>
          <w:sz w:val="28"/>
        </w:rPr>
        <w:t>приложении 2</w:t>
      </w:r>
      <w:r>
        <w:rPr>
          <w:rFonts w:ascii="Times New Roman"/>
          <w:b w:val="false"/>
          <w:i w:val="false"/>
          <w:color w:val="000000"/>
          <w:sz w:val="28"/>
        </w:rPr>
        <w:t xml:space="preserve"> к Стратегии.</w:t>
      </w:r>
    </w:p>
    <w:p>
      <w:pPr>
        <w:spacing w:after="0"/>
        <w:ind w:left="0"/>
        <w:jc w:val="both"/>
      </w:pPr>
      <w:r>
        <w:rPr>
          <w:rFonts w:ascii="Times New Roman"/>
          <w:b w:val="false"/>
          <w:i w:val="false"/>
          <w:color w:val="000000"/>
          <w:sz w:val="28"/>
        </w:rPr>
        <w:t xml:space="preserve">
      Ожидаемые результаты: </w:t>
      </w:r>
    </w:p>
    <w:p>
      <w:pPr>
        <w:spacing w:after="0"/>
        <w:ind w:left="0"/>
        <w:jc w:val="both"/>
      </w:pPr>
      <w:r>
        <w:rPr>
          <w:rFonts w:ascii="Times New Roman"/>
          <w:b w:val="false"/>
          <w:i w:val="false"/>
          <w:color w:val="000000"/>
          <w:sz w:val="28"/>
        </w:rPr>
        <w:t xml:space="preserve">
      1) закуп товаров, работ и услуг внутри СПК будут проводиться среди региональных товаропроизводителей, субъектов малого и среднего предпринимательства, организаций; </w:t>
      </w:r>
    </w:p>
    <w:p>
      <w:pPr>
        <w:spacing w:after="0"/>
        <w:ind w:left="0"/>
        <w:jc w:val="both"/>
      </w:pPr>
      <w:r>
        <w:rPr>
          <w:rFonts w:ascii="Times New Roman"/>
          <w:b w:val="false"/>
          <w:i w:val="false"/>
          <w:color w:val="000000"/>
          <w:sz w:val="28"/>
        </w:rPr>
        <w:t xml:space="preserve">
      2) налаживание работы с региональными отраслевыми ассоциациями касательно использования товаров, работ и услуг товаропроизводителей области; </w:t>
      </w:r>
    </w:p>
    <w:p>
      <w:pPr>
        <w:spacing w:after="0"/>
        <w:ind w:left="0"/>
        <w:jc w:val="both"/>
      </w:pPr>
      <w:r>
        <w:rPr>
          <w:rFonts w:ascii="Times New Roman"/>
          <w:b w:val="false"/>
          <w:i w:val="false"/>
          <w:color w:val="000000"/>
          <w:sz w:val="28"/>
        </w:rPr>
        <w:t xml:space="preserve">
      3) информационные материалы СПК, подготовленные для внешних презентаций, будут насыщены информацией об экспортоориентированных товаропроизводителях области; </w:t>
      </w:r>
    </w:p>
    <w:p>
      <w:pPr>
        <w:spacing w:after="0"/>
        <w:ind w:left="0"/>
        <w:jc w:val="both"/>
      </w:pPr>
      <w:r>
        <w:rPr>
          <w:rFonts w:ascii="Times New Roman"/>
          <w:b w:val="false"/>
          <w:i w:val="false"/>
          <w:color w:val="000000"/>
          <w:sz w:val="28"/>
        </w:rPr>
        <w:t xml:space="preserve">
      4) улучшение информационного обеспечения дочерних и зависимых организаций СПК о региональных поставщиках и производителях товаров, работ и услуг; </w:t>
      </w:r>
    </w:p>
    <w:p>
      <w:pPr>
        <w:spacing w:after="0"/>
        <w:ind w:left="0"/>
        <w:jc w:val="both"/>
      </w:pPr>
      <w:r>
        <w:rPr>
          <w:rFonts w:ascii="Times New Roman"/>
          <w:b w:val="false"/>
          <w:i w:val="false"/>
          <w:color w:val="000000"/>
          <w:sz w:val="28"/>
        </w:rPr>
        <w:t xml:space="preserve">
      5) организация совместной работы СПК, МИО, местных товаропроизводителей на предмет расширения круга потенциальных покупателей местной продукции, работ и услуг; </w:t>
      </w:r>
    </w:p>
    <w:p>
      <w:pPr>
        <w:spacing w:after="0"/>
        <w:ind w:left="0"/>
        <w:jc w:val="both"/>
      </w:pPr>
      <w:r>
        <w:rPr>
          <w:rFonts w:ascii="Times New Roman"/>
          <w:b w:val="false"/>
          <w:i w:val="false"/>
          <w:color w:val="000000"/>
          <w:sz w:val="28"/>
        </w:rPr>
        <w:t xml:space="preserve">
      6) своевременное информирование местных товаропроизводителей и сервисных компании о текущих потребностях рынка; </w:t>
      </w:r>
    </w:p>
    <w:p>
      <w:pPr>
        <w:spacing w:after="0"/>
        <w:ind w:left="0"/>
        <w:jc w:val="both"/>
      </w:pPr>
      <w:r>
        <w:rPr>
          <w:rFonts w:ascii="Times New Roman"/>
          <w:b w:val="false"/>
          <w:i w:val="false"/>
          <w:color w:val="000000"/>
          <w:sz w:val="28"/>
        </w:rPr>
        <w:t xml:space="preserve">
      7) оказание содействия в подписании меморандумов между товаропроизводителями и крупными предприятиями Восточно-Казахстанской области; </w:t>
      </w:r>
    </w:p>
    <w:p>
      <w:pPr>
        <w:spacing w:after="0"/>
        <w:ind w:left="0"/>
        <w:jc w:val="both"/>
      </w:pPr>
      <w:r>
        <w:rPr>
          <w:rFonts w:ascii="Times New Roman"/>
          <w:b w:val="false"/>
          <w:i w:val="false"/>
          <w:color w:val="000000"/>
          <w:sz w:val="28"/>
        </w:rPr>
        <w:t xml:space="preserve">
      8) налаживание взаимодействия с другими СПК в части продвижения продукции Восточно-Казахстанской области в другие регионы республики; </w:t>
      </w:r>
    </w:p>
    <w:p>
      <w:pPr>
        <w:spacing w:after="0"/>
        <w:ind w:left="0"/>
        <w:jc w:val="both"/>
      </w:pPr>
      <w:r>
        <w:rPr>
          <w:rFonts w:ascii="Times New Roman"/>
          <w:b w:val="false"/>
          <w:i w:val="false"/>
          <w:color w:val="000000"/>
          <w:sz w:val="28"/>
        </w:rPr>
        <w:t xml:space="preserve">
      9) доля казахстанского содержания к 2023 году при закупке товаров возрастет до 65 %, работ услуг – до 90 %; </w:t>
      </w:r>
    </w:p>
    <w:p>
      <w:pPr>
        <w:spacing w:after="0"/>
        <w:ind w:left="0"/>
        <w:jc w:val="both"/>
      </w:pPr>
      <w:r>
        <w:rPr>
          <w:rFonts w:ascii="Times New Roman"/>
          <w:b w:val="false"/>
          <w:i w:val="false"/>
          <w:color w:val="000000"/>
          <w:sz w:val="28"/>
        </w:rPr>
        <w:t xml:space="preserve">
      10) количество проведенных семинаров по развитию местного содержания при закупке товаров, работ и услуг составит порядка 24 единиц; </w:t>
      </w:r>
    </w:p>
    <w:p>
      <w:pPr>
        <w:spacing w:after="0"/>
        <w:ind w:left="0"/>
        <w:jc w:val="both"/>
      </w:pPr>
      <w:r>
        <w:rPr>
          <w:rFonts w:ascii="Times New Roman"/>
          <w:b w:val="false"/>
          <w:i w:val="false"/>
          <w:color w:val="000000"/>
          <w:sz w:val="28"/>
        </w:rPr>
        <w:t xml:space="preserve">
      11) проведение 22 семинаров по разъяснению инструментов государственной поддержки в рамках индустриально-инновационного развития. </w:t>
      </w:r>
    </w:p>
    <w:bookmarkStart w:name="z23" w:id="21"/>
    <w:p>
      <w:pPr>
        <w:spacing w:after="0"/>
        <w:ind w:left="0"/>
        <w:jc w:val="both"/>
      </w:pPr>
      <w:r>
        <w:rPr>
          <w:rFonts w:ascii="Times New Roman"/>
          <w:b w:val="false"/>
          <w:i w:val="false"/>
          <w:color w:val="000000"/>
          <w:sz w:val="28"/>
        </w:rPr>
        <w:t>
      1.2. Создание условий для стимулирования экономической активности в точках роста</w:t>
      </w:r>
    </w:p>
    <w:bookmarkEnd w:id="21"/>
    <w:bookmarkStart w:name="z24" w:id="22"/>
    <w:p>
      <w:pPr>
        <w:spacing w:after="0"/>
        <w:ind w:left="0"/>
        <w:jc w:val="both"/>
      </w:pPr>
      <w:r>
        <w:rPr>
          <w:rFonts w:ascii="Times New Roman"/>
          <w:b w:val="false"/>
          <w:i w:val="false"/>
          <w:color w:val="000000"/>
          <w:sz w:val="28"/>
        </w:rPr>
        <w:t>
      Цель 1. Использование потенциала инфраструктуры поддержки развития бизнеса.</w:t>
      </w:r>
    </w:p>
    <w:bookmarkEnd w:id="22"/>
    <w:p>
      <w:pPr>
        <w:spacing w:after="0"/>
        <w:ind w:left="0"/>
        <w:jc w:val="both"/>
      </w:pPr>
      <w:r>
        <w:rPr>
          <w:rFonts w:ascii="Times New Roman"/>
          <w:b w:val="false"/>
          <w:i w:val="false"/>
          <w:color w:val="000000"/>
          <w:sz w:val="28"/>
        </w:rPr>
        <w:t xml:space="preserve">
      Задачи: </w:t>
      </w:r>
    </w:p>
    <w:p>
      <w:pPr>
        <w:spacing w:after="0"/>
        <w:ind w:left="0"/>
        <w:jc w:val="both"/>
      </w:pPr>
      <w:r>
        <w:rPr>
          <w:rFonts w:ascii="Times New Roman"/>
          <w:b w:val="false"/>
          <w:i w:val="false"/>
          <w:color w:val="000000"/>
          <w:sz w:val="28"/>
        </w:rPr>
        <w:t xml:space="preserve">
      1) развитие инфраструктуры поддержки начинающего бизнеса (бизнес-инкубаторов, технопарков, индустриальных зон); </w:t>
      </w:r>
    </w:p>
    <w:p>
      <w:pPr>
        <w:spacing w:after="0"/>
        <w:ind w:left="0"/>
        <w:jc w:val="both"/>
      </w:pPr>
      <w:r>
        <w:rPr>
          <w:rFonts w:ascii="Times New Roman"/>
          <w:b w:val="false"/>
          <w:i w:val="false"/>
          <w:color w:val="000000"/>
          <w:sz w:val="28"/>
        </w:rPr>
        <w:t xml:space="preserve">
      2) развитие кластеров в приоритетных отраслях; </w:t>
      </w:r>
    </w:p>
    <w:p>
      <w:pPr>
        <w:spacing w:after="0"/>
        <w:ind w:left="0"/>
        <w:jc w:val="both"/>
      </w:pPr>
      <w:r>
        <w:rPr>
          <w:rFonts w:ascii="Times New Roman"/>
          <w:b w:val="false"/>
          <w:i w:val="false"/>
          <w:color w:val="000000"/>
          <w:sz w:val="28"/>
        </w:rPr>
        <w:t xml:space="preserve">
      3) координация партнерских программ по развитию МСБ вокруг системообразующих и крупных компаний региона; </w:t>
      </w:r>
    </w:p>
    <w:p>
      <w:pPr>
        <w:spacing w:after="0"/>
        <w:ind w:left="0"/>
        <w:jc w:val="both"/>
      </w:pPr>
      <w:r>
        <w:rPr>
          <w:rFonts w:ascii="Times New Roman"/>
          <w:b w:val="false"/>
          <w:i w:val="false"/>
          <w:color w:val="000000"/>
          <w:sz w:val="28"/>
        </w:rPr>
        <w:t>
      4) активизация работы по привлечению проектов несырьевой направленности в ИЗ.</w:t>
      </w:r>
    </w:p>
    <w:p>
      <w:pPr>
        <w:spacing w:after="0"/>
        <w:ind w:left="0"/>
        <w:jc w:val="both"/>
      </w:pPr>
      <w:r>
        <w:rPr>
          <w:rFonts w:ascii="Times New Roman"/>
          <w:b w:val="false"/>
          <w:i w:val="false"/>
          <w:color w:val="000000"/>
          <w:sz w:val="28"/>
        </w:rPr>
        <w:t xml:space="preserve">
      Ключевые показатели деятельности представлены в </w:t>
      </w:r>
      <w:r>
        <w:rPr>
          <w:rFonts w:ascii="Times New Roman"/>
          <w:b w:val="false"/>
          <w:i w:val="false"/>
          <w:color w:val="000000"/>
          <w:sz w:val="28"/>
        </w:rPr>
        <w:t>приложении 2</w:t>
      </w:r>
      <w:r>
        <w:rPr>
          <w:rFonts w:ascii="Times New Roman"/>
          <w:b w:val="false"/>
          <w:i w:val="false"/>
          <w:color w:val="000000"/>
          <w:sz w:val="28"/>
        </w:rPr>
        <w:t xml:space="preserve"> к Стратегии.</w:t>
      </w:r>
    </w:p>
    <w:p>
      <w:pPr>
        <w:spacing w:after="0"/>
        <w:ind w:left="0"/>
        <w:jc w:val="both"/>
      </w:pPr>
      <w:r>
        <w:rPr>
          <w:rFonts w:ascii="Times New Roman"/>
          <w:b w:val="false"/>
          <w:i w:val="false"/>
          <w:color w:val="000000"/>
          <w:sz w:val="28"/>
        </w:rPr>
        <w:t>
      Ожидаемые результаты:</w:t>
      </w:r>
    </w:p>
    <w:p>
      <w:pPr>
        <w:spacing w:after="0"/>
        <w:ind w:left="0"/>
        <w:jc w:val="both"/>
      </w:pPr>
      <w:r>
        <w:rPr>
          <w:rFonts w:ascii="Times New Roman"/>
          <w:b w:val="false"/>
          <w:i w:val="false"/>
          <w:color w:val="000000"/>
          <w:sz w:val="28"/>
        </w:rPr>
        <w:t xml:space="preserve">
      1) оказание информационно-аналитического сопровождения объектам инфраструктуры поддержки развития бизнеса, имеющимся в области; </w:t>
      </w:r>
    </w:p>
    <w:p>
      <w:pPr>
        <w:spacing w:after="0"/>
        <w:ind w:left="0"/>
        <w:jc w:val="both"/>
      </w:pPr>
      <w:r>
        <w:rPr>
          <w:rFonts w:ascii="Times New Roman"/>
          <w:b w:val="false"/>
          <w:i w:val="false"/>
          <w:color w:val="000000"/>
          <w:sz w:val="28"/>
        </w:rPr>
        <w:t xml:space="preserve">
      2) проведение road-show на региональных и международных выставках, конференциях, форумах о возможностях и потенциале ИЗ области; </w:t>
      </w:r>
    </w:p>
    <w:p>
      <w:pPr>
        <w:spacing w:after="0"/>
        <w:ind w:left="0"/>
        <w:jc w:val="both"/>
      </w:pPr>
      <w:r>
        <w:rPr>
          <w:rFonts w:ascii="Times New Roman"/>
          <w:b w:val="false"/>
          <w:i w:val="false"/>
          <w:color w:val="000000"/>
          <w:sz w:val="28"/>
        </w:rPr>
        <w:t xml:space="preserve">
      3) изучение и внедрение положительного зарубежного опыта функционирования инфраструктуры развития бизнеса; </w:t>
      </w:r>
    </w:p>
    <w:p>
      <w:pPr>
        <w:spacing w:after="0"/>
        <w:ind w:left="0"/>
        <w:jc w:val="both"/>
      </w:pPr>
      <w:r>
        <w:rPr>
          <w:rFonts w:ascii="Times New Roman"/>
          <w:b w:val="false"/>
          <w:i w:val="false"/>
          <w:color w:val="000000"/>
          <w:sz w:val="28"/>
        </w:rPr>
        <w:t xml:space="preserve">
      4) оказание содействия в подписании меморандумов о взаимодействии между крупным бизнесом и региональными ИЗ и технопарками; </w:t>
      </w:r>
    </w:p>
    <w:p>
      <w:pPr>
        <w:spacing w:after="0"/>
        <w:ind w:left="0"/>
        <w:jc w:val="both"/>
      </w:pPr>
      <w:r>
        <w:rPr>
          <w:rFonts w:ascii="Times New Roman"/>
          <w:b w:val="false"/>
          <w:i w:val="false"/>
          <w:color w:val="000000"/>
          <w:sz w:val="28"/>
        </w:rPr>
        <w:t xml:space="preserve">
      5) инвестирование средств в создание недостающей инфраструктуры к имеющимся ИЗ региона; </w:t>
      </w:r>
    </w:p>
    <w:p>
      <w:pPr>
        <w:spacing w:after="0"/>
        <w:ind w:left="0"/>
        <w:jc w:val="both"/>
      </w:pPr>
      <w:r>
        <w:rPr>
          <w:rFonts w:ascii="Times New Roman"/>
          <w:b w:val="false"/>
          <w:i w:val="false"/>
          <w:color w:val="000000"/>
          <w:sz w:val="28"/>
        </w:rPr>
        <w:t xml:space="preserve">
      6) налаживание работы между региональными технопарками и ИЗ с республиканскими институтами развития; </w:t>
      </w:r>
    </w:p>
    <w:p>
      <w:pPr>
        <w:spacing w:after="0"/>
        <w:ind w:left="0"/>
        <w:jc w:val="both"/>
      </w:pPr>
      <w:r>
        <w:rPr>
          <w:rFonts w:ascii="Times New Roman"/>
          <w:b w:val="false"/>
          <w:i w:val="false"/>
          <w:color w:val="000000"/>
          <w:sz w:val="28"/>
        </w:rPr>
        <w:t xml:space="preserve">
      7) будет проводиться анализ и отбор проектов технопарков и бизнес-инкубаторов для последующего их финансирования; </w:t>
      </w:r>
    </w:p>
    <w:p>
      <w:pPr>
        <w:spacing w:after="0"/>
        <w:ind w:left="0"/>
        <w:jc w:val="both"/>
      </w:pPr>
      <w:r>
        <w:rPr>
          <w:rFonts w:ascii="Times New Roman"/>
          <w:b w:val="false"/>
          <w:i w:val="false"/>
          <w:color w:val="000000"/>
          <w:sz w:val="28"/>
        </w:rPr>
        <w:t xml:space="preserve">
      8) построение технопарка по производству автокомпонентов; </w:t>
      </w:r>
    </w:p>
    <w:p>
      <w:pPr>
        <w:spacing w:after="0"/>
        <w:ind w:left="0"/>
        <w:jc w:val="both"/>
      </w:pPr>
      <w:r>
        <w:rPr>
          <w:rFonts w:ascii="Times New Roman"/>
          <w:b w:val="false"/>
          <w:i w:val="false"/>
          <w:color w:val="000000"/>
          <w:sz w:val="28"/>
        </w:rPr>
        <w:t xml:space="preserve">
      9) проведение 64 road-show; </w:t>
      </w:r>
    </w:p>
    <w:p>
      <w:pPr>
        <w:spacing w:after="0"/>
        <w:ind w:left="0"/>
        <w:jc w:val="both"/>
      </w:pPr>
      <w:r>
        <w:rPr>
          <w:rFonts w:ascii="Times New Roman"/>
          <w:b w:val="false"/>
          <w:i w:val="false"/>
          <w:color w:val="000000"/>
          <w:sz w:val="28"/>
        </w:rPr>
        <w:t xml:space="preserve">
      10) в ИЗ будет привлечено 9 инвестиционных проектов несырьевого сектора; </w:t>
      </w:r>
    </w:p>
    <w:p>
      <w:pPr>
        <w:spacing w:after="0"/>
        <w:ind w:left="0"/>
        <w:jc w:val="both"/>
      </w:pPr>
      <w:r>
        <w:rPr>
          <w:rFonts w:ascii="Times New Roman"/>
          <w:b w:val="false"/>
          <w:i w:val="false"/>
          <w:color w:val="000000"/>
          <w:sz w:val="28"/>
        </w:rPr>
        <w:t xml:space="preserve">
      11) количество объектов инфраструктуры поддержки начинающего бизнеса (бизнес-инкубаторов, технопарков, индустриальных зон) достигнет 5 единиц. </w:t>
      </w:r>
    </w:p>
    <w:bookmarkStart w:name="z25" w:id="23"/>
    <w:p>
      <w:pPr>
        <w:spacing w:after="0"/>
        <w:ind w:left="0"/>
        <w:jc w:val="both"/>
      </w:pPr>
      <w:r>
        <w:rPr>
          <w:rFonts w:ascii="Times New Roman"/>
          <w:b w:val="false"/>
          <w:i w:val="false"/>
          <w:color w:val="000000"/>
          <w:sz w:val="28"/>
        </w:rPr>
        <w:t>
      Цель 2. Использование возможностей альтернативных источников финансирования</w:t>
      </w:r>
    </w:p>
    <w:bookmarkEnd w:id="23"/>
    <w:p>
      <w:pPr>
        <w:spacing w:after="0"/>
        <w:ind w:left="0"/>
        <w:jc w:val="both"/>
      </w:pPr>
      <w:r>
        <w:rPr>
          <w:rFonts w:ascii="Times New Roman"/>
          <w:b w:val="false"/>
          <w:i w:val="false"/>
          <w:color w:val="000000"/>
          <w:sz w:val="28"/>
        </w:rPr>
        <w:t xml:space="preserve">
      Задачи: </w:t>
      </w:r>
    </w:p>
    <w:p>
      <w:pPr>
        <w:spacing w:after="0"/>
        <w:ind w:left="0"/>
        <w:jc w:val="both"/>
      </w:pPr>
      <w:r>
        <w:rPr>
          <w:rFonts w:ascii="Times New Roman"/>
          <w:b w:val="false"/>
          <w:i w:val="false"/>
          <w:color w:val="000000"/>
          <w:sz w:val="28"/>
        </w:rPr>
        <w:t xml:space="preserve">
      1) предоставление консультативной и организационной поддержки субъектам МСБ, планирующим работать в области альтернативных источников финансирования; </w:t>
      </w:r>
    </w:p>
    <w:p>
      <w:pPr>
        <w:spacing w:after="0"/>
        <w:ind w:left="0"/>
        <w:jc w:val="both"/>
      </w:pPr>
      <w:r>
        <w:rPr>
          <w:rFonts w:ascii="Times New Roman"/>
          <w:b w:val="false"/>
          <w:i w:val="false"/>
          <w:color w:val="000000"/>
          <w:sz w:val="28"/>
        </w:rPr>
        <w:t xml:space="preserve">
      2) оказание консалтинговых услуг бизнес-инициативам в рамках деятельности СПК; </w:t>
      </w:r>
    </w:p>
    <w:p>
      <w:pPr>
        <w:spacing w:after="0"/>
        <w:ind w:left="0"/>
        <w:jc w:val="both"/>
      </w:pPr>
      <w:r>
        <w:rPr>
          <w:rFonts w:ascii="Times New Roman"/>
          <w:b w:val="false"/>
          <w:i w:val="false"/>
          <w:color w:val="000000"/>
          <w:sz w:val="28"/>
        </w:rPr>
        <w:t xml:space="preserve">
      3) расширение сотрудничества с государственными институтами развития для реализации бизнес-проектов; </w:t>
      </w:r>
    </w:p>
    <w:p>
      <w:pPr>
        <w:spacing w:after="0"/>
        <w:ind w:left="0"/>
        <w:jc w:val="both"/>
      </w:pPr>
      <w:r>
        <w:rPr>
          <w:rFonts w:ascii="Times New Roman"/>
          <w:b w:val="false"/>
          <w:i w:val="false"/>
          <w:color w:val="000000"/>
          <w:sz w:val="28"/>
        </w:rPr>
        <w:t xml:space="preserve">
      4) использование возможностей партнерских программ с крупными компаниями; </w:t>
      </w:r>
    </w:p>
    <w:p>
      <w:pPr>
        <w:spacing w:after="0"/>
        <w:ind w:left="0"/>
        <w:jc w:val="both"/>
      </w:pPr>
      <w:r>
        <w:rPr>
          <w:rFonts w:ascii="Times New Roman"/>
          <w:b w:val="false"/>
          <w:i w:val="false"/>
          <w:color w:val="000000"/>
          <w:sz w:val="28"/>
        </w:rPr>
        <w:t>
      5) привлечение средств иностранных инвесторов в регион.</w:t>
      </w:r>
    </w:p>
    <w:p>
      <w:pPr>
        <w:spacing w:after="0"/>
        <w:ind w:left="0"/>
        <w:jc w:val="both"/>
      </w:pPr>
      <w:r>
        <w:rPr>
          <w:rFonts w:ascii="Times New Roman"/>
          <w:b w:val="false"/>
          <w:i w:val="false"/>
          <w:color w:val="000000"/>
          <w:sz w:val="28"/>
        </w:rPr>
        <w:t xml:space="preserve">
      Ключевые показатели деятельности представлены в </w:t>
      </w:r>
      <w:r>
        <w:rPr>
          <w:rFonts w:ascii="Times New Roman"/>
          <w:b w:val="false"/>
          <w:i w:val="false"/>
          <w:color w:val="000000"/>
          <w:sz w:val="28"/>
        </w:rPr>
        <w:t>приложении 2</w:t>
      </w:r>
      <w:r>
        <w:rPr>
          <w:rFonts w:ascii="Times New Roman"/>
          <w:b w:val="false"/>
          <w:i w:val="false"/>
          <w:color w:val="000000"/>
          <w:sz w:val="28"/>
        </w:rPr>
        <w:t xml:space="preserve"> к Стратегии.</w:t>
      </w:r>
    </w:p>
    <w:p>
      <w:pPr>
        <w:spacing w:after="0"/>
        <w:ind w:left="0"/>
        <w:jc w:val="both"/>
      </w:pPr>
      <w:r>
        <w:rPr>
          <w:rFonts w:ascii="Times New Roman"/>
          <w:b w:val="false"/>
          <w:i w:val="false"/>
          <w:color w:val="000000"/>
          <w:sz w:val="28"/>
        </w:rPr>
        <w:t xml:space="preserve">
      Ожидаемые результаты: </w:t>
      </w:r>
    </w:p>
    <w:p>
      <w:pPr>
        <w:spacing w:after="0"/>
        <w:ind w:left="0"/>
        <w:jc w:val="both"/>
      </w:pPr>
      <w:r>
        <w:rPr>
          <w:rFonts w:ascii="Times New Roman"/>
          <w:b w:val="false"/>
          <w:i w:val="false"/>
          <w:color w:val="000000"/>
          <w:sz w:val="28"/>
        </w:rPr>
        <w:t xml:space="preserve">
      1) налаживание системы взаимодействия СПК с республиканскими институтами развития; </w:t>
      </w:r>
    </w:p>
    <w:p>
      <w:pPr>
        <w:spacing w:after="0"/>
        <w:ind w:left="0"/>
        <w:jc w:val="both"/>
      </w:pPr>
      <w:r>
        <w:rPr>
          <w:rFonts w:ascii="Times New Roman"/>
          <w:b w:val="false"/>
          <w:i w:val="false"/>
          <w:color w:val="000000"/>
          <w:sz w:val="28"/>
        </w:rPr>
        <w:t xml:space="preserve">
      2) проведение полной информационной агитации среди представителей бизнес-структур и потенциальных партнеров СПК о возможностях привлечения средств институтов развития; </w:t>
      </w:r>
    </w:p>
    <w:p>
      <w:pPr>
        <w:spacing w:after="0"/>
        <w:ind w:left="0"/>
        <w:jc w:val="both"/>
      </w:pPr>
      <w:r>
        <w:rPr>
          <w:rFonts w:ascii="Times New Roman"/>
          <w:b w:val="false"/>
          <w:i w:val="false"/>
          <w:color w:val="000000"/>
          <w:sz w:val="28"/>
        </w:rPr>
        <w:t xml:space="preserve">
      3) подписание меморандумов с институтами развития об обмене информации по рассматриваемым проектам; </w:t>
      </w:r>
    </w:p>
    <w:p>
      <w:pPr>
        <w:spacing w:after="0"/>
        <w:ind w:left="0"/>
        <w:jc w:val="both"/>
      </w:pPr>
      <w:r>
        <w:rPr>
          <w:rFonts w:ascii="Times New Roman"/>
          <w:b w:val="false"/>
          <w:i w:val="false"/>
          <w:color w:val="000000"/>
          <w:sz w:val="28"/>
        </w:rPr>
        <w:t xml:space="preserve">
      4) создание венчурного фонда совместно с АО "НАТР"; </w:t>
      </w:r>
    </w:p>
    <w:p>
      <w:pPr>
        <w:spacing w:after="0"/>
        <w:ind w:left="0"/>
        <w:jc w:val="both"/>
      </w:pPr>
      <w:r>
        <w:rPr>
          <w:rFonts w:ascii="Times New Roman"/>
          <w:b w:val="false"/>
          <w:i w:val="false"/>
          <w:color w:val="000000"/>
          <w:sz w:val="28"/>
        </w:rPr>
        <w:t xml:space="preserve">
      5) на интернет-ресурсе СПК будет размещена информация об инструментах государственной поддержки бизнеса; </w:t>
      </w:r>
    </w:p>
    <w:p>
      <w:pPr>
        <w:spacing w:after="0"/>
        <w:ind w:left="0"/>
        <w:jc w:val="both"/>
      </w:pPr>
      <w:r>
        <w:rPr>
          <w:rFonts w:ascii="Times New Roman"/>
          <w:b w:val="false"/>
          <w:i w:val="false"/>
          <w:color w:val="000000"/>
          <w:sz w:val="28"/>
        </w:rPr>
        <w:t xml:space="preserve">
      6) продолжена работа с АО "КИРИ" по информированию потенциальных участников в рамках существующих государственных программ; </w:t>
      </w:r>
    </w:p>
    <w:p>
      <w:pPr>
        <w:spacing w:after="0"/>
        <w:ind w:left="0"/>
        <w:jc w:val="both"/>
      </w:pPr>
      <w:r>
        <w:rPr>
          <w:rFonts w:ascii="Times New Roman"/>
          <w:b w:val="false"/>
          <w:i w:val="false"/>
          <w:color w:val="000000"/>
          <w:sz w:val="28"/>
        </w:rPr>
        <w:t xml:space="preserve">
      7) реализация проектов в сфере АПК с использованием лизинговых программ АО "НУХ "Казагро"; </w:t>
      </w:r>
    </w:p>
    <w:p>
      <w:pPr>
        <w:spacing w:after="0"/>
        <w:ind w:left="0"/>
        <w:jc w:val="both"/>
      </w:pPr>
      <w:r>
        <w:rPr>
          <w:rFonts w:ascii="Times New Roman"/>
          <w:b w:val="false"/>
          <w:i w:val="false"/>
          <w:color w:val="000000"/>
          <w:sz w:val="28"/>
        </w:rPr>
        <w:t xml:space="preserve">
      8) реализация проектов в сфере недропользования с участием средств иностранных и отечественных инвесторов. СПК будет участвовать в проектах правом недропользования, а все финансирование будет осуществляться за счет инвесторов; </w:t>
      </w:r>
    </w:p>
    <w:p>
      <w:pPr>
        <w:spacing w:after="0"/>
        <w:ind w:left="0"/>
        <w:jc w:val="both"/>
      </w:pPr>
      <w:r>
        <w:rPr>
          <w:rFonts w:ascii="Times New Roman"/>
          <w:b w:val="false"/>
          <w:i w:val="false"/>
          <w:color w:val="000000"/>
          <w:sz w:val="28"/>
        </w:rPr>
        <w:t xml:space="preserve">
      9) разработка партнерских программ с операторами крупных проектов. Например, проект СПК по добыче полиметаллических руд на месторождении "Анисимов ключ" с ТОО "Корпорация "Казахмыс". Кроме непосредственной добычи, проектом предполагается производить отчисления на социально-экономическое развитие региона и развитие его инфраструктуры в размере 355 тысяч долларов США за период действия контракта, а также финансирование социальных проектов в регионе на сумму 180 тысяч долларов США через фонд СПК. С АО "АЗИЯ АВТО Казахстан" также будет разработана партнерская программа, в рамках которой СПК будет оказывать содействие предприятиям малого и среднего бизнеса по взаимодействию с оператором в налаживании деловых связей, заключении долгосрочных контрактов, получении квот на готовую продукцию, формировании льготных условий поставки автокомпонентов; </w:t>
      </w:r>
    </w:p>
    <w:p>
      <w:pPr>
        <w:spacing w:after="0"/>
        <w:ind w:left="0"/>
        <w:jc w:val="both"/>
      </w:pPr>
      <w:r>
        <w:rPr>
          <w:rFonts w:ascii="Times New Roman"/>
          <w:b w:val="false"/>
          <w:i w:val="false"/>
          <w:color w:val="000000"/>
          <w:sz w:val="28"/>
        </w:rPr>
        <w:t xml:space="preserve">
      10) количество проектов с участием средств институтов развития достигнет 25 единиц; </w:t>
      </w:r>
    </w:p>
    <w:p>
      <w:pPr>
        <w:spacing w:after="0"/>
        <w:ind w:left="0"/>
        <w:jc w:val="both"/>
      </w:pPr>
      <w:r>
        <w:rPr>
          <w:rFonts w:ascii="Times New Roman"/>
          <w:b w:val="false"/>
          <w:i w:val="false"/>
          <w:color w:val="000000"/>
          <w:sz w:val="28"/>
        </w:rPr>
        <w:t xml:space="preserve">
      11) количество привлеченных иностранных инвесторов составит </w:t>
      </w:r>
    </w:p>
    <w:p>
      <w:pPr>
        <w:spacing w:after="0"/>
        <w:ind w:left="0"/>
        <w:jc w:val="both"/>
      </w:pPr>
      <w:r>
        <w:rPr>
          <w:rFonts w:ascii="Times New Roman"/>
          <w:b w:val="false"/>
          <w:i w:val="false"/>
          <w:color w:val="000000"/>
          <w:sz w:val="28"/>
        </w:rPr>
        <w:t xml:space="preserve">
      16 единиц (в том числе трое из списка Global – 2000); </w:t>
      </w:r>
    </w:p>
    <w:p>
      <w:pPr>
        <w:spacing w:after="0"/>
        <w:ind w:left="0"/>
        <w:jc w:val="both"/>
      </w:pPr>
      <w:r>
        <w:rPr>
          <w:rFonts w:ascii="Times New Roman"/>
          <w:b w:val="false"/>
          <w:i w:val="false"/>
          <w:color w:val="000000"/>
          <w:sz w:val="28"/>
        </w:rPr>
        <w:t>
      12) соотношение привлеченных средств частных инвесторов к вложенным средствам СПК к 2023 году составит 0,3;</w:t>
      </w:r>
    </w:p>
    <w:bookmarkStart w:name="z26" w:id="24"/>
    <w:p>
      <w:pPr>
        <w:spacing w:after="0"/>
        <w:ind w:left="0"/>
        <w:jc w:val="both"/>
      </w:pPr>
      <w:r>
        <w:rPr>
          <w:rFonts w:ascii="Times New Roman"/>
          <w:b w:val="false"/>
          <w:i w:val="false"/>
          <w:color w:val="000000"/>
          <w:sz w:val="28"/>
        </w:rPr>
        <w:t xml:space="preserve">
      1.3. Увеличение стоимости СПК и повышение уровня корпоративного управления </w:t>
      </w:r>
    </w:p>
    <w:bookmarkEnd w:id="24"/>
    <w:bookmarkStart w:name="z27" w:id="25"/>
    <w:p>
      <w:pPr>
        <w:spacing w:after="0"/>
        <w:ind w:left="0"/>
        <w:jc w:val="both"/>
      </w:pPr>
      <w:r>
        <w:rPr>
          <w:rFonts w:ascii="Times New Roman"/>
          <w:b w:val="false"/>
          <w:i w:val="false"/>
          <w:color w:val="000000"/>
          <w:sz w:val="28"/>
        </w:rPr>
        <w:t>
      Цель 1. Совершенствование корпоративного управления и прозрачности деятельности СПК</w:t>
      </w:r>
    </w:p>
    <w:bookmarkEnd w:id="25"/>
    <w:p>
      <w:pPr>
        <w:spacing w:after="0"/>
        <w:ind w:left="0"/>
        <w:jc w:val="both"/>
      </w:pPr>
      <w:r>
        <w:rPr>
          <w:rFonts w:ascii="Times New Roman"/>
          <w:b w:val="false"/>
          <w:i w:val="false"/>
          <w:color w:val="000000"/>
          <w:sz w:val="28"/>
        </w:rPr>
        <w:t>
      Задачи:</w:t>
      </w:r>
    </w:p>
    <w:p>
      <w:pPr>
        <w:spacing w:after="0"/>
        <w:ind w:left="0"/>
        <w:jc w:val="both"/>
      </w:pPr>
      <w:r>
        <w:rPr>
          <w:rFonts w:ascii="Times New Roman"/>
          <w:b w:val="false"/>
          <w:i w:val="false"/>
          <w:color w:val="000000"/>
          <w:sz w:val="28"/>
        </w:rPr>
        <w:t xml:space="preserve">
      1) улучшение принципов корпоративного управления во всех дочерних и совместных предприятиях; </w:t>
      </w:r>
    </w:p>
    <w:p>
      <w:pPr>
        <w:spacing w:after="0"/>
        <w:ind w:left="0"/>
        <w:jc w:val="both"/>
      </w:pPr>
      <w:r>
        <w:rPr>
          <w:rFonts w:ascii="Times New Roman"/>
          <w:b w:val="false"/>
          <w:i w:val="false"/>
          <w:color w:val="000000"/>
          <w:sz w:val="28"/>
        </w:rPr>
        <w:t xml:space="preserve">
      2) совершенствование системы отчетности внутри СПК; </w:t>
      </w:r>
    </w:p>
    <w:p>
      <w:pPr>
        <w:spacing w:after="0"/>
        <w:ind w:left="0"/>
        <w:jc w:val="both"/>
      </w:pPr>
      <w:r>
        <w:rPr>
          <w:rFonts w:ascii="Times New Roman"/>
          <w:b w:val="false"/>
          <w:i w:val="false"/>
          <w:color w:val="000000"/>
          <w:sz w:val="28"/>
        </w:rPr>
        <w:t>
      3) улучшение работы и информационной обеспеченности интернет-ресурса СПК.</w:t>
      </w:r>
    </w:p>
    <w:p>
      <w:pPr>
        <w:spacing w:after="0"/>
        <w:ind w:left="0"/>
        <w:jc w:val="both"/>
      </w:pPr>
      <w:r>
        <w:rPr>
          <w:rFonts w:ascii="Times New Roman"/>
          <w:b w:val="false"/>
          <w:i w:val="false"/>
          <w:color w:val="000000"/>
          <w:sz w:val="28"/>
        </w:rPr>
        <w:t xml:space="preserve">
      Ключевые показатели деятельности представлены в </w:t>
      </w:r>
      <w:r>
        <w:rPr>
          <w:rFonts w:ascii="Times New Roman"/>
          <w:b w:val="false"/>
          <w:i w:val="false"/>
          <w:color w:val="000000"/>
          <w:sz w:val="28"/>
        </w:rPr>
        <w:t>приложении 2</w:t>
      </w:r>
      <w:r>
        <w:rPr>
          <w:rFonts w:ascii="Times New Roman"/>
          <w:b w:val="false"/>
          <w:i w:val="false"/>
          <w:color w:val="000000"/>
          <w:sz w:val="28"/>
        </w:rPr>
        <w:t xml:space="preserve"> к Стратегии.</w:t>
      </w:r>
    </w:p>
    <w:p>
      <w:pPr>
        <w:spacing w:after="0"/>
        <w:ind w:left="0"/>
        <w:jc w:val="both"/>
      </w:pPr>
      <w:r>
        <w:rPr>
          <w:rFonts w:ascii="Times New Roman"/>
          <w:b w:val="false"/>
          <w:i w:val="false"/>
          <w:color w:val="000000"/>
          <w:sz w:val="28"/>
        </w:rPr>
        <w:t>
      Ожидаемые результаты:</w:t>
      </w:r>
    </w:p>
    <w:p>
      <w:pPr>
        <w:spacing w:after="0"/>
        <w:ind w:left="0"/>
        <w:jc w:val="both"/>
      </w:pPr>
      <w:r>
        <w:rPr>
          <w:rFonts w:ascii="Times New Roman"/>
          <w:b w:val="false"/>
          <w:i w:val="false"/>
          <w:color w:val="000000"/>
          <w:sz w:val="28"/>
        </w:rPr>
        <w:t xml:space="preserve">
      1) усовершенствование системы стратегического планирования, мониторинга, подотчетности, внутреннего контроля и управления рисками; </w:t>
      </w:r>
    </w:p>
    <w:p>
      <w:pPr>
        <w:spacing w:after="0"/>
        <w:ind w:left="0"/>
        <w:jc w:val="both"/>
      </w:pPr>
      <w:r>
        <w:rPr>
          <w:rFonts w:ascii="Times New Roman"/>
          <w:b w:val="false"/>
          <w:i w:val="false"/>
          <w:color w:val="000000"/>
          <w:sz w:val="28"/>
        </w:rPr>
        <w:t xml:space="preserve">
      2) обеспечение своевременного раскрытия информации об СПК, потенциальным пользователям и партнерам в том числе, о ее финансовом положении, экономических показателях, структуре собственности и управления; </w:t>
      </w:r>
    </w:p>
    <w:p>
      <w:pPr>
        <w:spacing w:after="0"/>
        <w:ind w:left="0"/>
        <w:jc w:val="both"/>
      </w:pPr>
      <w:r>
        <w:rPr>
          <w:rFonts w:ascii="Times New Roman"/>
          <w:b w:val="false"/>
          <w:i w:val="false"/>
          <w:color w:val="000000"/>
          <w:sz w:val="28"/>
        </w:rPr>
        <w:t xml:space="preserve">
      3) внедрение системы HR Management; </w:t>
      </w:r>
    </w:p>
    <w:p>
      <w:pPr>
        <w:spacing w:after="0"/>
        <w:ind w:left="0"/>
        <w:jc w:val="both"/>
      </w:pPr>
      <w:r>
        <w:rPr>
          <w:rFonts w:ascii="Times New Roman"/>
          <w:b w:val="false"/>
          <w:i w:val="false"/>
          <w:color w:val="000000"/>
          <w:sz w:val="28"/>
        </w:rPr>
        <w:t xml:space="preserve">
      4) на постоянной основе будет проводиться работа по модернизации интернет-ресурса СПК в части информативности и оперативной актуализации; </w:t>
      </w:r>
    </w:p>
    <w:p>
      <w:pPr>
        <w:spacing w:after="0"/>
        <w:ind w:left="0"/>
        <w:jc w:val="both"/>
      </w:pPr>
      <w:r>
        <w:rPr>
          <w:rFonts w:ascii="Times New Roman"/>
          <w:b w:val="false"/>
          <w:i w:val="false"/>
          <w:color w:val="000000"/>
          <w:sz w:val="28"/>
        </w:rPr>
        <w:t xml:space="preserve">
      5) получение рейтинга корпоративного управления от независимого агентства; </w:t>
      </w:r>
    </w:p>
    <w:p>
      <w:pPr>
        <w:spacing w:after="0"/>
        <w:ind w:left="0"/>
        <w:jc w:val="both"/>
      </w:pPr>
      <w:r>
        <w:rPr>
          <w:rFonts w:ascii="Times New Roman"/>
          <w:b w:val="false"/>
          <w:i w:val="false"/>
          <w:color w:val="000000"/>
          <w:sz w:val="28"/>
        </w:rPr>
        <w:t xml:space="preserve">
      6) посещаемость интернет-ресурса в 2023 году составит 4000 посещений в год; </w:t>
      </w:r>
    </w:p>
    <w:p>
      <w:pPr>
        <w:spacing w:after="0"/>
        <w:ind w:left="0"/>
        <w:jc w:val="both"/>
      </w:pPr>
      <w:r>
        <w:rPr>
          <w:rFonts w:ascii="Times New Roman"/>
          <w:b w:val="false"/>
          <w:i w:val="false"/>
          <w:color w:val="000000"/>
          <w:sz w:val="28"/>
        </w:rPr>
        <w:t xml:space="preserve">
      7) количество бизнес-заявок, поступивших на рассмотрение в СПК в течение года, в 2023 году составит 20 единиц. </w:t>
      </w:r>
    </w:p>
    <w:bookmarkStart w:name="z28" w:id="26"/>
    <w:p>
      <w:pPr>
        <w:spacing w:after="0"/>
        <w:ind w:left="0"/>
        <w:jc w:val="both"/>
      </w:pPr>
      <w:r>
        <w:rPr>
          <w:rFonts w:ascii="Times New Roman"/>
          <w:b w:val="false"/>
          <w:i w:val="false"/>
          <w:color w:val="000000"/>
          <w:sz w:val="28"/>
        </w:rPr>
        <w:t>
      Цель 2. Увеличение доходности СПК</w:t>
      </w:r>
    </w:p>
    <w:bookmarkEnd w:id="26"/>
    <w:p>
      <w:pPr>
        <w:spacing w:after="0"/>
        <w:ind w:left="0"/>
        <w:jc w:val="both"/>
      </w:pPr>
      <w:r>
        <w:rPr>
          <w:rFonts w:ascii="Times New Roman"/>
          <w:b w:val="false"/>
          <w:i w:val="false"/>
          <w:color w:val="000000"/>
          <w:sz w:val="28"/>
        </w:rPr>
        <w:t xml:space="preserve">
      Задачи: </w:t>
      </w:r>
    </w:p>
    <w:p>
      <w:pPr>
        <w:spacing w:after="0"/>
        <w:ind w:left="0"/>
        <w:jc w:val="both"/>
      </w:pPr>
      <w:r>
        <w:rPr>
          <w:rFonts w:ascii="Times New Roman"/>
          <w:b w:val="false"/>
          <w:i w:val="false"/>
          <w:color w:val="000000"/>
          <w:sz w:val="28"/>
        </w:rPr>
        <w:t xml:space="preserve">
      1) увеличение стоимости активов; </w:t>
      </w:r>
    </w:p>
    <w:p>
      <w:pPr>
        <w:spacing w:after="0"/>
        <w:ind w:left="0"/>
        <w:jc w:val="both"/>
      </w:pPr>
      <w:r>
        <w:rPr>
          <w:rFonts w:ascii="Times New Roman"/>
          <w:b w:val="false"/>
          <w:i w:val="false"/>
          <w:color w:val="000000"/>
          <w:sz w:val="28"/>
        </w:rPr>
        <w:t xml:space="preserve">
      2) увеличение рентабельности и чистого дохода СПК и дочерних организаций; </w:t>
      </w:r>
    </w:p>
    <w:p>
      <w:pPr>
        <w:spacing w:after="0"/>
        <w:ind w:left="0"/>
        <w:jc w:val="both"/>
      </w:pPr>
      <w:r>
        <w:rPr>
          <w:rFonts w:ascii="Times New Roman"/>
          <w:b w:val="false"/>
          <w:i w:val="false"/>
          <w:color w:val="000000"/>
          <w:sz w:val="28"/>
        </w:rPr>
        <w:t xml:space="preserve">
      3) расширение источников получения доходов. </w:t>
      </w:r>
    </w:p>
    <w:p>
      <w:pPr>
        <w:spacing w:after="0"/>
        <w:ind w:left="0"/>
        <w:jc w:val="both"/>
      </w:pPr>
      <w:r>
        <w:rPr>
          <w:rFonts w:ascii="Times New Roman"/>
          <w:b w:val="false"/>
          <w:i w:val="false"/>
          <w:color w:val="000000"/>
          <w:sz w:val="28"/>
        </w:rPr>
        <w:t xml:space="preserve">
      Ключевые показатели деятельности представлены в </w:t>
      </w:r>
      <w:r>
        <w:rPr>
          <w:rFonts w:ascii="Times New Roman"/>
          <w:b w:val="false"/>
          <w:i w:val="false"/>
          <w:color w:val="000000"/>
          <w:sz w:val="28"/>
        </w:rPr>
        <w:t>приложении 2</w:t>
      </w:r>
      <w:r>
        <w:rPr>
          <w:rFonts w:ascii="Times New Roman"/>
          <w:b w:val="false"/>
          <w:i w:val="false"/>
          <w:color w:val="000000"/>
          <w:sz w:val="28"/>
        </w:rPr>
        <w:t xml:space="preserve"> к Стратегии.</w:t>
      </w:r>
    </w:p>
    <w:p>
      <w:pPr>
        <w:spacing w:after="0"/>
        <w:ind w:left="0"/>
        <w:jc w:val="both"/>
      </w:pPr>
      <w:r>
        <w:rPr>
          <w:rFonts w:ascii="Times New Roman"/>
          <w:b w:val="false"/>
          <w:i w:val="false"/>
          <w:color w:val="000000"/>
          <w:sz w:val="28"/>
        </w:rPr>
        <w:t>
      Ожидаемые результаты:</w:t>
      </w:r>
    </w:p>
    <w:p>
      <w:pPr>
        <w:spacing w:after="0"/>
        <w:ind w:left="0"/>
        <w:jc w:val="both"/>
      </w:pPr>
      <w:r>
        <w:rPr>
          <w:rFonts w:ascii="Times New Roman"/>
          <w:b w:val="false"/>
          <w:i w:val="false"/>
          <w:color w:val="000000"/>
          <w:sz w:val="28"/>
        </w:rPr>
        <w:t xml:space="preserve">
      1) в инвестиционном портфеле будут преобладать проекты с небольшим периодом окупаемости; </w:t>
      </w:r>
    </w:p>
    <w:p>
      <w:pPr>
        <w:spacing w:after="0"/>
        <w:ind w:left="0"/>
        <w:jc w:val="both"/>
      </w:pPr>
      <w:r>
        <w:rPr>
          <w:rFonts w:ascii="Times New Roman"/>
          <w:b w:val="false"/>
          <w:i w:val="false"/>
          <w:color w:val="000000"/>
          <w:sz w:val="28"/>
        </w:rPr>
        <w:t xml:space="preserve">
      2) ужесточение контроля над исполнением дивидендной политики и обязательств по проектам; </w:t>
      </w:r>
    </w:p>
    <w:p>
      <w:pPr>
        <w:spacing w:after="0"/>
        <w:ind w:left="0"/>
        <w:jc w:val="both"/>
      </w:pPr>
      <w:r>
        <w:rPr>
          <w:rFonts w:ascii="Times New Roman"/>
          <w:b w:val="false"/>
          <w:i w:val="false"/>
          <w:color w:val="000000"/>
          <w:sz w:val="28"/>
        </w:rPr>
        <w:t xml:space="preserve">
      3) минимизация дебиторской задолженности; </w:t>
      </w:r>
    </w:p>
    <w:p>
      <w:pPr>
        <w:spacing w:after="0"/>
        <w:ind w:left="0"/>
        <w:jc w:val="both"/>
      </w:pPr>
      <w:r>
        <w:rPr>
          <w:rFonts w:ascii="Times New Roman"/>
          <w:b w:val="false"/>
          <w:i w:val="false"/>
          <w:color w:val="000000"/>
          <w:sz w:val="28"/>
        </w:rPr>
        <w:t xml:space="preserve">
      4) осуществление передачи государственных программ под управление прочих государственных специализированных предприятий; </w:t>
      </w:r>
    </w:p>
    <w:p>
      <w:pPr>
        <w:spacing w:after="0"/>
        <w:ind w:left="0"/>
        <w:jc w:val="both"/>
      </w:pPr>
      <w:r>
        <w:rPr>
          <w:rFonts w:ascii="Times New Roman"/>
          <w:b w:val="false"/>
          <w:i w:val="false"/>
          <w:color w:val="000000"/>
          <w:sz w:val="28"/>
        </w:rPr>
        <w:t xml:space="preserve">
      5) реализация доли СПК в ряде дочерних предприятий; </w:t>
      </w:r>
    </w:p>
    <w:p>
      <w:pPr>
        <w:spacing w:after="0"/>
        <w:ind w:left="0"/>
        <w:jc w:val="both"/>
      </w:pPr>
      <w:r>
        <w:rPr>
          <w:rFonts w:ascii="Times New Roman"/>
          <w:b w:val="false"/>
          <w:i w:val="false"/>
          <w:color w:val="000000"/>
          <w:sz w:val="28"/>
        </w:rPr>
        <w:t xml:space="preserve">
      6) оптимизация структуры административных расходов СПК и дочерних организаций; </w:t>
      </w:r>
    </w:p>
    <w:p>
      <w:pPr>
        <w:spacing w:after="0"/>
        <w:ind w:left="0"/>
        <w:jc w:val="both"/>
      </w:pPr>
      <w:r>
        <w:rPr>
          <w:rFonts w:ascii="Times New Roman"/>
          <w:b w:val="false"/>
          <w:i w:val="false"/>
          <w:color w:val="000000"/>
          <w:sz w:val="28"/>
        </w:rPr>
        <w:t xml:space="preserve">
      7) к 2023 году показатель ROA достигнет уровня 1,85 %; </w:t>
      </w:r>
    </w:p>
    <w:p>
      <w:pPr>
        <w:spacing w:after="0"/>
        <w:ind w:left="0"/>
        <w:jc w:val="both"/>
      </w:pPr>
      <w:r>
        <w:rPr>
          <w:rFonts w:ascii="Times New Roman"/>
          <w:b w:val="false"/>
          <w:i w:val="false"/>
          <w:color w:val="000000"/>
          <w:sz w:val="28"/>
        </w:rPr>
        <w:t xml:space="preserve">
      8) к 2023 году рентабельность инвестиций достигнет 0,91 %; </w:t>
      </w:r>
    </w:p>
    <w:p>
      <w:pPr>
        <w:spacing w:after="0"/>
        <w:ind w:left="0"/>
        <w:jc w:val="both"/>
      </w:pPr>
      <w:r>
        <w:rPr>
          <w:rFonts w:ascii="Times New Roman"/>
          <w:b w:val="false"/>
          <w:i w:val="false"/>
          <w:color w:val="000000"/>
          <w:sz w:val="28"/>
        </w:rPr>
        <w:t xml:space="preserve">
      9) к 2023 году уровень чистого дохода от основной деятельности достигнет 50,5 миллионов тенге; </w:t>
      </w:r>
    </w:p>
    <w:p>
      <w:pPr>
        <w:spacing w:after="0"/>
        <w:ind w:left="0"/>
        <w:jc w:val="both"/>
      </w:pPr>
      <w:r>
        <w:rPr>
          <w:rFonts w:ascii="Times New Roman"/>
          <w:b w:val="false"/>
          <w:i w:val="false"/>
          <w:color w:val="000000"/>
          <w:sz w:val="28"/>
        </w:rPr>
        <w:t>
      10) к 2023 году уровень чистого дохода от основной деятельности на одного сотрудника достигнет 1,07 миллионов тенге.</w:t>
      </w:r>
    </w:p>
    <w:bookmarkStart w:name="z29" w:id="27"/>
    <w:p>
      <w:pPr>
        <w:spacing w:after="0"/>
        <w:ind w:left="0"/>
        <w:jc w:val="both"/>
      </w:pPr>
      <w:r>
        <w:rPr>
          <w:rFonts w:ascii="Times New Roman"/>
          <w:b w:val="false"/>
          <w:i w:val="false"/>
          <w:color w:val="000000"/>
          <w:sz w:val="28"/>
        </w:rPr>
        <w:t xml:space="preserve">
      1.4. Содействие в реализации социальной политики МИО </w:t>
      </w:r>
    </w:p>
    <w:bookmarkEnd w:id="27"/>
    <w:bookmarkStart w:name="z30" w:id="28"/>
    <w:p>
      <w:pPr>
        <w:spacing w:after="0"/>
        <w:ind w:left="0"/>
        <w:jc w:val="both"/>
      </w:pPr>
      <w:r>
        <w:rPr>
          <w:rFonts w:ascii="Times New Roman"/>
          <w:b w:val="false"/>
          <w:i w:val="false"/>
          <w:color w:val="000000"/>
          <w:sz w:val="28"/>
        </w:rPr>
        <w:t>
      Цель 1. Улучшение социальной политики СПК</w:t>
      </w:r>
    </w:p>
    <w:bookmarkEnd w:id="28"/>
    <w:p>
      <w:pPr>
        <w:spacing w:after="0"/>
        <w:ind w:left="0"/>
        <w:jc w:val="both"/>
      </w:pPr>
      <w:r>
        <w:rPr>
          <w:rFonts w:ascii="Times New Roman"/>
          <w:b w:val="false"/>
          <w:i w:val="false"/>
          <w:color w:val="000000"/>
          <w:sz w:val="28"/>
        </w:rPr>
        <w:t xml:space="preserve">
      Задачи: </w:t>
      </w:r>
    </w:p>
    <w:p>
      <w:pPr>
        <w:spacing w:after="0"/>
        <w:ind w:left="0"/>
        <w:jc w:val="both"/>
      </w:pPr>
      <w:r>
        <w:rPr>
          <w:rFonts w:ascii="Times New Roman"/>
          <w:b w:val="false"/>
          <w:i w:val="false"/>
          <w:color w:val="000000"/>
          <w:sz w:val="28"/>
        </w:rPr>
        <w:t xml:space="preserve">
      1) участие в государственных и отраслевых программах в приоритетных для СПК направлениях; </w:t>
      </w:r>
    </w:p>
    <w:p>
      <w:pPr>
        <w:spacing w:after="0"/>
        <w:ind w:left="0"/>
        <w:jc w:val="both"/>
      </w:pPr>
      <w:r>
        <w:rPr>
          <w:rFonts w:ascii="Times New Roman"/>
          <w:b w:val="false"/>
          <w:i w:val="false"/>
          <w:color w:val="000000"/>
          <w:sz w:val="28"/>
        </w:rPr>
        <w:t xml:space="preserve">
      2) создание собственных социальных программ; </w:t>
      </w:r>
    </w:p>
    <w:p>
      <w:pPr>
        <w:spacing w:after="0"/>
        <w:ind w:left="0"/>
        <w:jc w:val="both"/>
      </w:pPr>
      <w:r>
        <w:rPr>
          <w:rFonts w:ascii="Times New Roman"/>
          <w:b w:val="false"/>
          <w:i w:val="false"/>
          <w:color w:val="000000"/>
          <w:sz w:val="28"/>
        </w:rPr>
        <w:t xml:space="preserve">
      3) обеспечение вовлечения государственных активов в деловой оборот, оздоровление проблемных активов и развитие на их базе конкурентоспособных производств. </w:t>
      </w:r>
    </w:p>
    <w:p>
      <w:pPr>
        <w:spacing w:after="0"/>
        <w:ind w:left="0"/>
        <w:jc w:val="both"/>
      </w:pPr>
      <w:r>
        <w:rPr>
          <w:rFonts w:ascii="Times New Roman"/>
          <w:b w:val="false"/>
          <w:i w:val="false"/>
          <w:color w:val="000000"/>
          <w:sz w:val="28"/>
        </w:rPr>
        <w:t xml:space="preserve">
      Ключевые показатели деятельности представлены в </w:t>
      </w:r>
      <w:r>
        <w:rPr>
          <w:rFonts w:ascii="Times New Roman"/>
          <w:b w:val="false"/>
          <w:i w:val="false"/>
          <w:color w:val="000000"/>
          <w:sz w:val="28"/>
        </w:rPr>
        <w:t>приложении 2</w:t>
      </w:r>
      <w:r>
        <w:rPr>
          <w:rFonts w:ascii="Times New Roman"/>
          <w:b w:val="false"/>
          <w:i w:val="false"/>
          <w:color w:val="000000"/>
          <w:sz w:val="28"/>
        </w:rPr>
        <w:t xml:space="preserve"> к Стратегии.</w:t>
      </w:r>
    </w:p>
    <w:p>
      <w:pPr>
        <w:spacing w:after="0"/>
        <w:ind w:left="0"/>
        <w:jc w:val="both"/>
      </w:pPr>
      <w:r>
        <w:rPr>
          <w:rFonts w:ascii="Times New Roman"/>
          <w:b w:val="false"/>
          <w:i w:val="false"/>
          <w:color w:val="000000"/>
          <w:sz w:val="28"/>
        </w:rPr>
        <w:t>
      Ожидаемые результаты:</w:t>
      </w:r>
    </w:p>
    <w:p>
      <w:pPr>
        <w:spacing w:after="0"/>
        <w:ind w:left="0"/>
        <w:jc w:val="both"/>
      </w:pPr>
      <w:r>
        <w:rPr>
          <w:rFonts w:ascii="Times New Roman"/>
          <w:b w:val="false"/>
          <w:i w:val="false"/>
          <w:color w:val="000000"/>
          <w:sz w:val="28"/>
        </w:rPr>
        <w:t xml:space="preserve">
      1) средства СПК будут инвестированы в проекты, реализация которых предполагает создание значительного количества рабочих мест; </w:t>
      </w:r>
    </w:p>
    <w:p>
      <w:pPr>
        <w:spacing w:after="0"/>
        <w:ind w:left="0"/>
        <w:jc w:val="both"/>
      </w:pPr>
      <w:r>
        <w:rPr>
          <w:rFonts w:ascii="Times New Roman"/>
          <w:b w:val="false"/>
          <w:i w:val="false"/>
          <w:color w:val="000000"/>
          <w:sz w:val="28"/>
        </w:rPr>
        <w:t xml:space="preserve">
      2) реализация собственной социальной программы "Жайляу"; </w:t>
      </w:r>
    </w:p>
    <w:p>
      <w:pPr>
        <w:spacing w:after="0"/>
        <w:ind w:left="0"/>
        <w:jc w:val="both"/>
      </w:pPr>
      <w:r>
        <w:rPr>
          <w:rFonts w:ascii="Times New Roman"/>
          <w:b w:val="false"/>
          <w:i w:val="false"/>
          <w:color w:val="000000"/>
          <w:sz w:val="28"/>
        </w:rPr>
        <w:t xml:space="preserve">
      3) привлечение инвесторов для реабилитации деятельности </w:t>
      </w:r>
    </w:p>
    <w:p>
      <w:pPr>
        <w:spacing w:after="0"/>
        <w:ind w:left="0"/>
        <w:jc w:val="both"/>
      </w:pPr>
      <w:r>
        <w:rPr>
          <w:rFonts w:ascii="Times New Roman"/>
          <w:b w:val="false"/>
          <w:i w:val="false"/>
          <w:color w:val="000000"/>
          <w:sz w:val="28"/>
        </w:rPr>
        <w:t xml:space="preserve">
      АО "Семейавиа" и других нерентабельных активов; </w:t>
      </w:r>
    </w:p>
    <w:p>
      <w:pPr>
        <w:spacing w:after="0"/>
        <w:ind w:left="0"/>
        <w:jc w:val="both"/>
      </w:pPr>
      <w:r>
        <w:rPr>
          <w:rFonts w:ascii="Times New Roman"/>
          <w:b w:val="false"/>
          <w:i w:val="false"/>
          <w:color w:val="000000"/>
          <w:sz w:val="28"/>
        </w:rPr>
        <w:t xml:space="preserve">
      4) создание более 17 тысяч рабочих мест; </w:t>
      </w:r>
    </w:p>
    <w:p>
      <w:pPr>
        <w:spacing w:after="0"/>
        <w:ind w:left="0"/>
        <w:jc w:val="both"/>
      </w:pPr>
      <w:r>
        <w:rPr>
          <w:rFonts w:ascii="Times New Roman"/>
          <w:b w:val="false"/>
          <w:i w:val="false"/>
          <w:color w:val="000000"/>
          <w:sz w:val="28"/>
        </w:rPr>
        <w:t xml:space="preserve">
      5) количество реабилитированных активов к 2023 году составит </w:t>
      </w:r>
    </w:p>
    <w:p>
      <w:pPr>
        <w:spacing w:after="0"/>
        <w:ind w:left="0"/>
        <w:jc w:val="both"/>
      </w:pPr>
      <w:r>
        <w:rPr>
          <w:rFonts w:ascii="Times New Roman"/>
          <w:b w:val="false"/>
          <w:i w:val="false"/>
          <w:color w:val="000000"/>
          <w:sz w:val="28"/>
        </w:rPr>
        <w:t xml:space="preserve">
      7 единиц; </w:t>
      </w:r>
    </w:p>
    <w:p>
      <w:pPr>
        <w:spacing w:after="0"/>
        <w:ind w:left="0"/>
        <w:jc w:val="both"/>
      </w:pPr>
      <w:r>
        <w:rPr>
          <w:rFonts w:ascii="Times New Roman"/>
          <w:b w:val="false"/>
          <w:i w:val="false"/>
          <w:color w:val="000000"/>
          <w:sz w:val="28"/>
        </w:rPr>
        <w:t xml:space="preserve">
      6) количество участников программы "Жайляу" возрастет до </w:t>
      </w:r>
    </w:p>
    <w:p>
      <w:pPr>
        <w:spacing w:after="0"/>
        <w:ind w:left="0"/>
        <w:jc w:val="both"/>
      </w:pPr>
      <w:r>
        <w:rPr>
          <w:rFonts w:ascii="Times New Roman"/>
          <w:b w:val="false"/>
          <w:i w:val="false"/>
          <w:color w:val="000000"/>
          <w:sz w:val="28"/>
        </w:rPr>
        <w:t>
      1350 человек в общей сложности.</w:t>
      </w:r>
    </w:p>
    <w:bookmarkStart w:name="z31" w:id="29"/>
    <w:p>
      <w:pPr>
        <w:spacing w:after="0"/>
        <w:ind w:left="0"/>
        <w:jc w:val="both"/>
      </w:pPr>
      <w:r>
        <w:rPr>
          <w:rFonts w:ascii="Times New Roman"/>
          <w:b w:val="false"/>
          <w:i w:val="false"/>
          <w:color w:val="000000"/>
          <w:sz w:val="28"/>
        </w:rPr>
        <w:t>
      Цель 2. Увеличение социальной составляющей в деятельности СПК</w:t>
      </w:r>
    </w:p>
    <w:bookmarkEnd w:id="29"/>
    <w:p>
      <w:pPr>
        <w:spacing w:after="0"/>
        <w:ind w:left="0"/>
        <w:jc w:val="both"/>
      </w:pPr>
      <w:r>
        <w:rPr>
          <w:rFonts w:ascii="Times New Roman"/>
          <w:b w:val="false"/>
          <w:i w:val="false"/>
          <w:color w:val="000000"/>
          <w:sz w:val="28"/>
        </w:rPr>
        <w:t>
      Задачи:</w:t>
      </w:r>
    </w:p>
    <w:p>
      <w:pPr>
        <w:spacing w:after="0"/>
        <w:ind w:left="0"/>
        <w:jc w:val="both"/>
      </w:pPr>
      <w:r>
        <w:rPr>
          <w:rFonts w:ascii="Times New Roman"/>
          <w:b w:val="false"/>
          <w:i w:val="false"/>
          <w:color w:val="000000"/>
          <w:sz w:val="28"/>
        </w:rPr>
        <w:t xml:space="preserve">
      1) улучшение эффективности социальных проектов, реализуемых СПК; </w:t>
      </w:r>
    </w:p>
    <w:p>
      <w:pPr>
        <w:spacing w:after="0"/>
        <w:ind w:left="0"/>
        <w:jc w:val="both"/>
      </w:pPr>
      <w:r>
        <w:rPr>
          <w:rFonts w:ascii="Times New Roman"/>
          <w:b w:val="false"/>
          <w:i w:val="false"/>
          <w:color w:val="000000"/>
          <w:sz w:val="28"/>
        </w:rPr>
        <w:t xml:space="preserve">
      2) создание внутри СПК фонда с капитализацией порядка </w:t>
      </w:r>
    </w:p>
    <w:p>
      <w:pPr>
        <w:spacing w:after="0"/>
        <w:ind w:left="0"/>
        <w:jc w:val="both"/>
      </w:pPr>
      <w:r>
        <w:rPr>
          <w:rFonts w:ascii="Times New Roman"/>
          <w:b w:val="false"/>
          <w:i w:val="false"/>
          <w:color w:val="000000"/>
          <w:sz w:val="28"/>
        </w:rPr>
        <w:t xml:space="preserve">
      200 миллионов тенге для реализации социальных программ. </w:t>
      </w:r>
    </w:p>
    <w:p>
      <w:pPr>
        <w:spacing w:after="0"/>
        <w:ind w:left="0"/>
        <w:jc w:val="both"/>
      </w:pPr>
      <w:r>
        <w:rPr>
          <w:rFonts w:ascii="Times New Roman"/>
          <w:b w:val="false"/>
          <w:i w:val="false"/>
          <w:color w:val="000000"/>
          <w:sz w:val="28"/>
        </w:rPr>
        <w:t xml:space="preserve">
      Ключевые показатели деятельности представлены в </w:t>
      </w:r>
      <w:r>
        <w:rPr>
          <w:rFonts w:ascii="Times New Roman"/>
          <w:b w:val="false"/>
          <w:i w:val="false"/>
          <w:color w:val="000000"/>
          <w:sz w:val="28"/>
        </w:rPr>
        <w:t>приложении 2</w:t>
      </w:r>
      <w:r>
        <w:rPr>
          <w:rFonts w:ascii="Times New Roman"/>
          <w:b w:val="false"/>
          <w:i w:val="false"/>
          <w:color w:val="000000"/>
          <w:sz w:val="28"/>
        </w:rPr>
        <w:t xml:space="preserve"> к Стратегии.</w:t>
      </w:r>
    </w:p>
    <w:p>
      <w:pPr>
        <w:spacing w:after="0"/>
        <w:ind w:left="0"/>
        <w:jc w:val="both"/>
      </w:pPr>
      <w:r>
        <w:rPr>
          <w:rFonts w:ascii="Times New Roman"/>
          <w:b w:val="false"/>
          <w:i w:val="false"/>
          <w:color w:val="000000"/>
          <w:sz w:val="28"/>
        </w:rPr>
        <w:t xml:space="preserve">
      Ожидаемые результаты: </w:t>
      </w:r>
    </w:p>
    <w:p>
      <w:pPr>
        <w:spacing w:after="0"/>
        <w:ind w:left="0"/>
        <w:jc w:val="both"/>
      </w:pPr>
      <w:r>
        <w:rPr>
          <w:rFonts w:ascii="Times New Roman"/>
          <w:b w:val="false"/>
          <w:i w:val="false"/>
          <w:color w:val="000000"/>
          <w:sz w:val="28"/>
        </w:rPr>
        <w:t xml:space="preserve">
      1) в инвестиционных программах в сфере недропользования будут предусмотрены статьи на развитие социальных проектов; </w:t>
      </w:r>
    </w:p>
    <w:p>
      <w:pPr>
        <w:spacing w:after="0"/>
        <w:ind w:left="0"/>
        <w:jc w:val="both"/>
      </w:pPr>
      <w:r>
        <w:rPr>
          <w:rFonts w:ascii="Times New Roman"/>
          <w:b w:val="false"/>
          <w:i w:val="false"/>
          <w:color w:val="000000"/>
          <w:sz w:val="28"/>
        </w:rPr>
        <w:t xml:space="preserve">
      2) к реализации социальных проектов буду привлекаться бизнес-структуры; </w:t>
      </w:r>
    </w:p>
    <w:p>
      <w:pPr>
        <w:spacing w:after="0"/>
        <w:ind w:left="0"/>
        <w:jc w:val="both"/>
      </w:pPr>
      <w:r>
        <w:rPr>
          <w:rFonts w:ascii="Times New Roman"/>
          <w:b w:val="false"/>
          <w:i w:val="false"/>
          <w:color w:val="000000"/>
          <w:sz w:val="28"/>
        </w:rPr>
        <w:t xml:space="preserve">
      3) формирование базы социальных проектов, необходимых для региона; </w:t>
      </w:r>
    </w:p>
    <w:p>
      <w:pPr>
        <w:spacing w:after="0"/>
        <w:ind w:left="0"/>
        <w:jc w:val="both"/>
      </w:pPr>
      <w:r>
        <w:rPr>
          <w:rFonts w:ascii="Times New Roman"/>
          <w:b w:val="false"/>
          <w:i w:val="false"/>
          <w:color w:val="000000"/>
          <w:sz w:val="28"/>
        </w:rPr>
        <w:t xml:space="preserve">
      4) формирование внутреннего фонда СПК для финансирования социальных проектов; </w:t>
      </w:r>
    </w:p>
    <w:p>
      <w:pPr>
        <w:spacing w:after="0"/>
        <w:ind w:left="0"/>
        <w:jc w:val="both"/>
      </w:pPr>
      <w:r>
        <w:rPr>
          <w:rFonts w:ascii="Times New Roman"/>
          <w:b w:val="false"/>
          <w:i w:val="false"/>
          <w:color w:val="000000"/>
          <w:sz w:val="28"/>
        </w:rPr>
        <w:t>
      5) количество социальных проектов, реализованных СПК, достигнет</w:t>
      </w:r>
    </w:p>
    <w:p>
      <w:pPr>
        <w:spacing w:after="0"/>
        <w:ind w:left="0"/>
        <w:jc w:val="both"/>
      </w:pPr>
      <w:r>
        <w:rPr>
          <w:rFonts w:ascii="Times New Roman"/>
          <w:b w:val="false"/>
          <w:i w:val="false"/>
          <w:color w:val="000000"/>
          <w:sz w:val="28"/>
        </w:rPr>
        <w:t>
      8 единиц в общей сложности за 10 лет.</w:t>
      </w:r>
    </w:p>
    <w:tbl>
      <w:tblPr>
        <w:tblW w:w="0" w:type="auto"/>
        <w:tblCellSpacing w:w="0" w:type="auto"/>
        <w:tblBorders>
          <w:top w:val="none"/>
          <w:left w:val="none"/>
          <w:bottom w:val="none"/>
          <w:right w:val="none"/>
          <w:insideH w:val="none"/>
          <w:insideV w:val="none"/>
        </w:tblBorders>
      </w:tblPr>
      <w:tblGrid>
        <w:gridCol w:w="172"/>
        <w:gridCol w:w="418"/>
        <w:gridCol w:w="1171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расшифровка аббревиатур:</w:t>
            </w:r>
          </w:p>
        </w:tc>
      </w:tr>
      <w:tr>
        <w:trPr>
          <w:trHeight w:val="30" w:hRule="atLeast"/>
        </w:trPr>
        <w:tc>
          <w:tcPr>
            <w:tcW w:w="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ВКО</w:t>
            </w:r>
          </w:p>
        </w:tc>
        <w:tc>
          <w:tcPr>
            <w:tcW w:w="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r>
      <w:tr>
        <w:trPr>
          <w:trHeight w:val="30" w:hRule="atLeast"/>
        </w:trPr>
        <w:tc>
          <w:tcPr>
            <w:tcW w:w="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w:t>
            </w:r>
          </w:p>
        </w:tc>
        <w:tc>
          <w:tcPr>
            <w:tcW w:w="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"Национальная компания "Социально-предпринимательская корпорация "Ертіс"</w:t>
            </w:r>
          </w:p>
        </w:tc>
      </w:tr>
      <w:tr>
        <w:trPr>
          <w:trHeight w:val="30" w:hRule="atLeast"/>
        </w:trPr>
        <w:tc>
          <w:tcPr>
            <w:tcW w:w="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АПК</w:t>
            </w:r>
          </w:p>
        </w:tc>
        <w:tc>
          <w:tcPr>
            <w:tcW w:w="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агропромышленный комплекс</w:t>
            </w:r>
          </w:p>
        </w:tc>
      </w:tr>
      <w:tr>
        <w:trPr>
          <w:trHeight w:val="30" w:hRule="atLeast"/>
        </w:trPr>
        <w:tc>
          <w:tcPr>
            <w:tcW w:w="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БВУ</w:t>
            </w:r>
          </w:p>
        </w:tc>
        <w:tc>
          <w:tcPr>
            <w:tcW w:w="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r>
      <w:tr>
        <w:trPr>
          <w:trHeight w:val="30" w:hRule="atLeast"/>
        </w:trPr>
        <w:tc>
          <w:tcPr>
            <w:tcW w:w="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МКО</w:t>
            </w:r>
          </w:p>
        </w:tc>
        <w:tc>
          <w:tcPr>
            <w:tcW w:w="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микрокредитная организация</w:t>
            </w:r>
          </w:p>
        </w:tc>
      </w:tr>
      <w:tr>
        <w:trPr>
          <w:trHeight w:val="30" w:hRule="atLeast"/>
        </w:trPr>
        <w:tc>
          <w:tcPr>
            <w:tcW w:w="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МСБ</w:t>
            </w:r>
          </w:p>
        </w:tc>
        <w:tc>
          <w:tcPr>
            <w:tcW w:w="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и средний бизнес</w:t>
            </w:r>
          </w:p>
        </w:tc>
      </w:tr>
      <w:tr>
        <w:trPr>
          <w:trHeight w:val="30" w:hRule="atLeast"/>
        </w:trPr>
        <w:tc>
          <w:tcPr>
            <w:tcW w:w="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СЗЦ</w:t>
            </w:r>
          </w:p>
        </w:tc>
        <w:tc>
          <w:tcPr>
            <w:tcW w:w="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сервисно-заготовительный центр</w:t>
            </w:r>
          </w:p>
        </w:tc>
      </w:tr>
      <w:tr>
        <w:trPr>
          <w:trHeight w:val="30" w:hRule="atLeast"/>
        </w:trPr>
        <w:tc>
          <w:tcPr>
            <w:tcW w:w="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w:t>
            </w:r>
          </w:p>
        </w:tc>
        <w:tc>
          <w:tcPr>
            <w:tcW w:w="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индустриальная зона</w:t>
            </w:r>
          </w:p>
        </w:tc>
      </w:tr>
      <w:tr>
        <w:trPr>
          <w:trHeight w:val="30" w:hRule="atLeast"/>
        </w:trPr>
        <w:tc>
          <w:tcPr>
            <w:tcW w:w="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w:t>
            </w:r>
          </w:p>
        </w:tc>
        <w:tc>
          <w:tcPr>
            <w:tcW w:w="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w:t>
            </w:r>
          </w:p>
        </w:tc>
      </w:tr>
      <w:tr>
        <w:trPr>
          <w:trHeight w:val="30" w:hRule="atLeast"/>
        </w:trPr>
        <w:tc>
          <w:tcPr>
            <w:tcW w:w="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w:t>
            </w:r>
          </w:p>
        </w:tc>
        <w:tc>
          <w:tcPr>
            <w:tcW w:w="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англ. ICAO – International Civil Aviation Organization, Международная организация гражданской авиации, устанавливающая международные нормы гражданской авиации</w:t>
            </w:r>
          </w:p>
        </w:tc>
      </w:tr>
      <w:tr>
        <w:trPr>
          <w:trHeight w:val="30" w:hRule="atLeast"/>
        </w:trPr>
        <w:tc>
          <w:tcPr>
            <w:tcW w:w="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ПИИ</w:t>
            </w:r>
          </w:p>
        </w:tc>
        <w:tc>
          <w:tcPr>
            <w:tcW w:w="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иностранные инвестиции</w:t>
            </w:r>
          </w:p>
        </w:tc>
      </w:tr>
      <w:tr>
        <w:trPr>
          <w:trHeight w:val="30" w:hRule="atLeast"/>
        </w:trPr>
        <w:tc>
          <w:tcPr>
            <w:tcW w:w="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w:t>
            </w:r>
          </w:p>
        </w:tc>
        <w:tc>
          <w:tcPr>
            <w:tcW w:w="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совместное предприятие</w:t>
            </w:r>
          </w:p>
        </w:tc>
      </w:tr>
      <w:tr>
        <w:trPr>
          <w:trHeight w:val="30" w:hRule="atLeast"/>
        </w:trPr>
        <w:tc>
          <w:tcPr>
            <w:tcW w:w="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w:t>
            </w:r>
          </w:p>
        </w:tc>
        <w:tc>
          <w:tcPr>
            <w:tcW w:w="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"Национальное агентство технологического развития"</w:t>
            </w:r>
          </w:p>
        </w:tc>
      </w:tr>
      <w:tr>
        <w:trPr>
          <w:trHeight w:val="30" w:hRule="atLeast"/>
        </w:trPr>
        <w:tc>
          <w:tcPr>
            <w:tcW w:w="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w:t>
            </w:r>
          </w:p>
        </w:tc>
        <w:tc>
          <w:tcPr>
            <w:tcW w:w="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"Казахстанский институт развития индустрии"</w:t>
            </w:r>
          </w:p>
        </w:tc>
      </w:tr>
      <w:tr>
        <w:trPr>
          <w:trHeight w:val="30" w:hRule="atLeast"/>
        </w:trPr>
        <w:tc>
          <w:tcPr>
            <w:tcW w:w="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ЦОИ</w:t>
            </w:r>
          </w:p>
        </w:tc>
        <w:tc>
          <w:tcPr>
            <w:tcW w:w="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обслуживания инвестора</w:t>
            </w:r>
          </w:p>
        </w:tc>
      </w:tr>
      <w:tr>
        <w:trPr>
          <w:trHeight w:val="30" w:hRule="atLeast"/>
        </w:trPr>
        <w:tc>
          <w:tcPr>
            <w:tcW w:w="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НУХ</w:t>
            </w:r>
          </w:p>
        </w:tc>
        <w:tc>
          <w:tcPr>
            <w:tcW w:w="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управляющий холдинг</w:t>
            </w:r>
          </w:p>
        </w:tc>
      </w:tr>
      <w:tr>
        <w:trPr>
          <w:trHeight w:val="30" w:hRule="atLeast"/>
        </w:trPr>
        <w:tc>
          <w:tcPr>
            <w:tcW w:w="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НИОКР</w:t>
            </w:r>
          </w:p>
        </w:tc>
        <w:tc>
          <w:tcPr>
            <w:tcW w:w="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научно-исследовательские и конструкторские разработки</w:t>
            </w:r>
          </w:p>
        </w:tc>
      </w:tr>
      <w:tr>
        <w:trPr>
          <w:trHeight w:val="30" w:hRule="atLeast"/>
        </w:trPr>
        <w:tc>
          <w:tcPr>
            <w:tcW w:w="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w:t>
            </w:r>
          </w:p>
        </w:tc>
        <w:tc>
          <w:tcPr>
            <w:tcW w:w="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ключевой показатель деятельности</w:t>
            </w:r>
          </w:p>
        </w:tc>
      </w:tr>
      <w:tr>
        <w:trPr>
          <w:trHeight w:val="30" w:hRule="atLeast"/>
        </w:trPr>
        <w:tc>
          <w:tcPr>
            <w:tcW w:w="1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КНР</w:t>
            </w:r>
          </w:p>
        </w:tc>
        <w:tc>
          <w:tcPr>
            <w:tcW w:w="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Китайская Народная Республика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Стратегии развития</w:t>
            </w:r>
            <w:r>
              <w:br/>
            </w:r>
            <w:r>
              <w:rPr>
                <w:rFonts w:ascii="Times New Roman"/>
                <w:b w:val="false"/>
                <w:i w:val="false"/>
                <w:color w:val="000000"/>
                <w:sz w:val="20"/>
              </w:rPr>
              <w:t>акционерного общества</w:t>
            </w:r>
            <w:r>
              <w:br/>
            </w:r>
            <w:r>
              <w:rPr>
                <w:rFonts w:ascii="Times New Roman"/>
                <w:b w:val="false"/>
                <w:i w:val="false"/>
                <w:color w:val="000000"/>
                <w:sz w:val="20"/>
              </w:rPr>
              <w:t>"НК "СПК "Ертic"</w:t>
            </w:r>
            <w:r>
              <w:br/>
            </w:r>
            <w:r>
              <w:rPr>
                <w:rFonts w:ascii="Times New Roman"/>
                <w:b w:val="false"/>
                <w:i w:val="false"/>
                <w:color w:val="000000"/>
                <w:sz w:val="20"/>
              </w:rPr>
              <w:t>на 2014 - 2023 годы</w:t>
            </w:r>
          </w:p>
        </w:tc>
      </w:tr>
    </w:tbl>
    <w:bookmarkStart w:name="z33" w:id="30"/>
    <w:p>
      <w:pPr>
        <w:spacing w:after="0"/>
        <w:ind w:left="0"/>
        <w:jc w:val="both"/>
      </w:pPr>
      <w:r>
        <w:rPr>
          <w:rFonts w:ascii="Times New Roman"/>
          <w:b w:val="false"/>
          <w:i w:val="false"/>
          <w:color w:val="000000"/>
          <w:sz w:val="28"/>
        </w:rPr>
        <w:t>
      Диаграмма 1.</w:t>
      </w:r>
    </w:p>
    <w:bookmarkEnd w:id="30"/>
    <w:p>
      <w:pPr>
        <w:spacing w:after="0"/>
        <w:ind w:left="0"/>
        <w:jc w:val="left"/>
      </w:pPr>
      <w:r>
        <w:rPr>
          <w:rFonts w:ascii="Times New Roman"/>
          <w:b/>
          <w:i w:val="false"/>
          <w:color w:val="000000"/>
        </w:rPr>
        <w:t xml:space="preserve"> Динамика валового регионального</w:t>
      </w:r>
      <w:r>
        <w:br/>
      </w:r>
      <w:r>
        <w:rPr>
          <w:rFonts w:ascii="Times New Roman"/>
          <w:b/>
          <w:i w:val="false"/>
          <w:color w:val="000000"/>
        </w:rPr>
        <w:t xml:space="preserve">продукта области, млрд. тенге    </w:t>
      </w:r>
    </w:p>
    <w:p>
      <w:pPr>
        <w:spacing w:after="0"/>
        <w:ind w:left="0"/>
        <w:jc w:val="both"/>
      </w:pPr>
      <w:r>
        <w:drawing>
          <wp:inline distT="0" distB="0" distL="0" distR="0">
            <wp:extent cx="76327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32700" cy="3251200"/>
                    </a:xfrm>
                    <a:prstGeom prst="rect">
                      <a:avLst/>
                    </a:prstGeom>
                  </pic:spPr>
                </pic:pic>
              </a:graphicData>
            </a:graphic>
          </wp:inline>
        </w:drawing>
      </w:r>
    </w:p>
    <w:p>
      <w:pPr>
        <w:spacing w:after="0"/>
        <w:ind w:left="0"/>
        <w:jc w:val="left"/>
      </w:pPr>
      <w:r>
        <w:br/>
      </w:r>
    </w:p>
    <w:bookmarkStart w:name="z34" w:id="31"/>
    <w:p>
      <w:pPr>
        <w:spacing w:after="0"/>
        <w:ind w:left="0"/>
        <w:jc w:val="both"/>
      </w:pPr>
      <w:r>
        <w:rPr>
          <w:rFonts w:ascii="Times New Roman"/>
          <w:b w:val="false"/>
          <w:i w:val="false"/>
          <w:color w:val="000000"/>
          <w:sz w:val="28"/>
        </w:rPr>
        <w:t>
      Диаграмма 2.</w:t>
      </w:r>
    </w:p>
    <w:bookmarkEnd w:id="31"/>
    <w:p>
      <w:pPr>
        <w:spacing w:after="0"/>
        <w:ind w:left="0"/>
        <w:jc w:val="left"/>
      </w:pPr>
      <w:r>
        <w:rPr>
          <w:rFonts w:ascii="Times New Roman"/>
          <w:b/>
          <w:i w:val="false"/>
          <w:color w:val="000000"/>
        </w:rPr>
        <w:t xml:space="preserve"> Динамика объема промышленного</w:t>
      </w:r>
      <w:r>
        <w:br/>
      </w:r>
      <w:r>
        <w:rPr>
          <w:rFonts w:ascii="Times New Roman"/>
          <w:b/>
          <w:i w:val="false"/>
          <w:color w:val="000000"/>
        </w:rPr>
        <w:t xml:space="preserve">производства области, млрд. тенге  </w:t>
      </w:r>
    </w:p>
    <w:p>
      <w:pPr>
        <w:spacing w:after="0"/>
        <w:ind w:left="0"/>
        <w:jc w:val="both"/>
      </w:pPr>
      <w:r>
        <w:drawing>
          <wp:inline distT="0" distB="0" distL="0" distR="0">
            <wp:extent cx="77724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72400" cy="4457700"/>
                    </a:xfrm>
                    <a:prstGeom prst="rect">
                      <a:avLst/>
                    </a:prstGeom>
                  </pic:spPr>
                </pic:pic>
              </a:graphicData>
            </a:graphic>
          </wp:inline>
        </w:drawing>
      </w:r>
    </w:p>
    <w:p>
      <w:pPr>
        <w:spacing w:after="0"/>
        <w:ind w:left="0"/>
        <w:jc w:val="left"/>
      </w:pPr>
      <w:r>
        <w:br/>
      </w:r>
    </w:p>
    <w:bookmarkStart w:name="z35" w:id="32"/>
    <w:p>
      <w:pPr>
        <w:spacing w:after="0"/>
        <w:ind w:left="0"/>
        <w:jc w:val="both"/>
      </w:pPr>
      <w:r>
        <w:rPr>
          <w:rFonts w:ascii="Times New Roman"/>
          <w:b w:val="false"/>
          <w:i w:val="false"/>
          <w:color w:val="000000"/>
          <w:sz w:val="28"/>
        </w:rPr>
        <w:t>
      Таблица 1.</w:t>
      </w:r>
    </w:p>
    <w:bookmarkEnd w:id="32"/>
    <w:p>
      <w:pPr>
        <w:spacing w:after="0"/>
        <w:ind w:left="0"/>
        <w:jc w:val="left"/>
      </w:pPr>
      <w:r>
        <w:rPr>
          <w:rFonts w:ascii="Times New Roman"/>
          <w:b/>
          <w:i w:val="false"/>
          <w:color w:val="000000"/>
        </w:rPr>
        <w:t xml:space="preserve"> Основные показатели развития субъектов</w:t>
      </w:r>
      <w:r>
        <w:br/>
      </w:r>
      <w:r>
        <w:rPr>
          <w:rFonts w:ascii="Times New Roman"/>
          <w:b/>
          <w:i w:val="false"/>
          <w:color w:val="000000"/>
        </w:rPr>
        <w:t>малого и среднего бизнеса в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
        <w:gridCol w:w="1412"/>
        <w:gridCol w:w="1412"/>
        <w:gridCol w:w="1048"/>
        <w:gridCol w:w="1412"/>
        <w:gridCol w:w="1413"/>
        <w:gridCol w:w="1290"/>
        <w:gridCol w:w="1413"/>
        <w:gridCol w:w="1413"/>
        <w:gridCol w:w="1292"/>
      </w:tblGrid>
      <w:tr>
        <w:trPr>
          <w:trHeight w:val="30" w:hRule="atLeast"/>
        </w:trPr>
        <w:tc>
          <w:tcPr>
            <w:tcW w:w="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активных субъектов малого и среднего бизнеса,</w:t>
            </w:r>
          </w:p>
          <w:p>
            <w:pPr>
              <w:spacing w:after="20"/>
              <w:ind w:left="20"/>
              <w:jc w:val="both"/>
            </w:pPr>
            <w:r>
              <w:rPr>
                <w:rFonts w:ascii="Times New Roman"/>
                <w:b w:val="false"/>
                <w:i w:val="false"/>
                <w:color w:val="000000"/>
                <w:sz w:val="20"/>
              </w:rPr>
              <w:t>
тыс. ед.</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роста,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занятых в них, тыс. человек</w:t>
            </w:r>
          </w:p>
        </w:tc>
        <w:tc>
          <w:tcPr>
            <w:tcW w:w="1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роста,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продукции млн. тенге</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роста, %</w:t>
            </w:r>
          </w:p>
        </w:tc>
      </w:tr>
      <w:tr>
        <w:trPr>
          <w:trHeight w:val="30" w:hRule="atLeast"/>
        </w:trPr>
        <w:tc>
          <w:tcPr>
            <w:tcW w:w="0" w:type="auto"/>
            <w:vMerge/>
            <w:tcBorders>
              <w:top w:val="nil"/>
              <w:left w:val="single" w:color="cfcfcf" w:sz="5"/>
              <w:bottom w:val="single" w:color="cfcfcf" w:sz="5"/>
              <w:right w:val="single" w:color="cfcfcf" w:sz="5"/>
            </w:tcBorders>
          </w:tc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c>
          <w:tcPr>
            <w:tcW w:w="0" w:type="auto"/>
            <w:vMerge/>
            <w:tcBorders>
              <w:top w:val="nil"/>
              <w:left w:val="single" w:color="cfcfcf" w:sz="5"/>
              <w:bottom w:val="single" w:color="cfcfcf" w:sz="5"/>
              <w:right w:val="single" w:color="cfcfcf" w:sz="5"/>
            </w:tcBorders>
          </w:tc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c>
          <w:tcPr>
            <w:tcW w:w="0" w:type="auto"/>
            <w:vMerge/>
            <w:tcBorders>
              <w:top w:val="nil"/>
              <w:left w:val="single" w:color="cfcfcf" w:sz="5"/>
              <w:bottom w:val="single" w:color="cfcfcf" w:sz="5"/>
              <w:right w:val="single" w:color="cfcfcf" w:sz="5"/>
            </w:tcBorders>
          </w:tcP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ВКО</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75683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r>
    </w:tbl>
    <w:p>
      <w:pPr>
        <w:spacing w:after="0"/>
        <w:ind w:left="0"/>
        <w:jc w:val="left"/>
      </w:pPr>
    </w:p>
    <w:bookmarkStart w:name="z36" w:id="33"/>
    <w:p>
      <w:pPr>
        <w:spacing w:after="0"/>
        <w:ind w:left="0"/>
        <w:jc w:val="both"/>
      </w:pPr>
      <w:r>
        <w:rPr>
          <w:rFonts w:ascii="Times New Roman"/>
          <w:b w:val="false"/>
          <w:i w:val="false"/>
          <w:color w:val="000000"/>
          <w:sz w:val="28"/>
        </w:rPr>
        <w:t>
      Таблица 2.</w:t>
      </w:r>
    </w:p>
    <w:bookmarkEnd w:id="33"/>
    <w:p>
      <w:pPr>
        <w:spacing w:after="0"/>
        <w:ind w:left="0"/>
        <w:jc w:val="left"/>
      </w:pPr>
      <w:r>
        <w:rPr>
          <w:rFonts w:ascii="Times New Roman"/>
          <w:b/>
          <w:i w:val="false"/>
          <w:color w:val="000000"/>
        </w:rPr>
        <w:t xml:space="preserve"> Итоги экономического развития области</w:t>
      </w:r>
      <w:r>
        <w:br/>
      </w:r>
      <w:r>
        <w:rPr>
          <w:rFonts w:ascii="Times New Roman"/>
          <w:b/>
          <w:i w:val="false"/>
          <w:color w:val="000000"/>
        </w:rPr>
        <w:t>с 2003 по 2013 гг.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1015"/>
        <w:gridCol w:w="1015"/>
        <w:gridCol w:w="1102"/>
        <w:gridCol w:w="1015"/>
        <w:gridCol w:w="1015"/>
        <w:gridCol w:w="1015"/>
        <w:gridCol w:w="1015"/>
        <w:gridCol w:w="1103"/>
        <w:gridCol w:w="1103"/>
        <w:gridCol w:w="1103"/>
        <w:gridCol w:w="1192"/>
      </w:tblGrid>
      <w:tr>
        <w:trPr>
          <w:trHeight w:val="30" w:hRule="atLeast"/>
        </w:trPr>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основных</w:t>
            </w:r>
          </w:p>
          <w:p>
            <w:pPr>
              <w:spacing w:after="20"/>
              <w:ind w:left="20"/>
              <w:jc w:val="both"/>
            </w:pPr>
            <w:r>
              <w:rPr>
                <w:rFonts w:ascii="Times New Roman"/>
                <w:b w:val="false"/>
                <w:i w:val="false"/>
                <w:color w:val="000000"/>
                <w:sz w:val="20"/>
              </w:rPr>
              <w:t>
показателей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г.</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г.</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г.</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г.</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г.</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w:t>
            </w:r>
          </w:p>
          <w:p>
            <w:pPr>
              <w:spacing w:after="20"/>
              <w:ind w:left="20"/>
              <w:jc w:val="both"/>
            </w:pPr>
            <w:r>
              <w:rPr>
                <w:rFonts w:ascii="Times New Roman"/>
                <w:b w:val="false"/>
                <w:i w:val="false"/>
                <w:color w:val="000000"/>
                <w:sz w:val="20"/>
              </w:rPr>
              <w:t>
региональный</w:t>
            </w:r>
          </w:p>
          <w:p>
            <w:pPr>
              <w:spacing w:after="20"/>
              <w:ind w:left="20"/>
              <w:jc w:val="both"/>
            </w:pPr>
            <w:r>
              <w:rPr>
                <w:rFonts w:ascii="Times New Roman"/>
                <w:b w:val="false"/>
                <w:i w:val="false"/>
                <w:color w:val="000000"/>
                <w:sz w:val="20"/>
              </w:rPr>
              <w:t>
продукт,</w:t>
            </w:r>
          </w:p>
          <w:p>
            <w:pPr>
              <w:spacing w:after="20"/>
              <w:ind w:left="20"/>
              <w:jc w:val="both"/>
            </w:pPr>
            <w:r>
              <w:rPr>
                <w:rFonts w:ascii="Times New Roman"/>
                <w:b w:val="false"/>
                <w:i w:val="false"/>
                <w:color w:val="000000"/>
                <w:sz w:val="20"/>
              </w:rPr>
              <w:t>
млрд. тенге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1929,2 оценка</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p>
            <w:pPr>
              <w:spacing w:after="20"/>
              <w:ind w:left="20"/>
              <w:jc w:val="both"/>
            </w:pPr>
            <w:r>
              <w:rPr>
                <w:rFonts w:ascii="Times New Roman"/>
                <w:b w:val="false"/>
                <w:i w:val="false"/>
                <w:color w:val="000000"/>
                <w:sz w:val="20"/>
              </w:rPr>
              <w:t>
промышленного</w:t>
            </w:r>
          </w:p>
          <w:p>
            <w:pPr>
              <w:spacing w:after="20"/>
              <w:ind w:left="20"/>
              <w:jc w:val="both"/>
            </w:pPr>
            <w:r>
              <w:rPr>
                <w:rFonts w:ascii="Times New Roman"/>
                <w:b w:val="false"/>
                <w:i w:val="false"/>
                <w:color w:val="000000"/>
                <w:sz w:val="20"/>
              </w:rPr>
              <w:t>
производства,</w:t>
            </w:r>
          </w:p>
          <w:p>
            <w:pPr>
              <w:spacing w:after="20"/>
              <w:ind w:left="20"/>
              <w:jc w:val="both"/>
            </w:pPr>
            <w:r>
              <w:rPr>
                <w:rFonts w:ascii="Times New Roman"/>
                <w:b w:val="false"/>
                <w:i w:val="false"/>
                <w:color w:val="000000"/>
                <w:sz w:val="20"/>
              </w:rPr>
              <w:t>
млрд. тенге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1 007,3</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w:t>
            </w:r>
          </w:p>
          <w:p>
            <w:pPr>
              <w:spacing w:after="20"/>
              <w:ind w:left="20"/>
              <w:jc w:val="both"/>
            </w:pPr>
            <w:r>
              <w:rPr>
                <w:rFonts w:ascii="Times New Roman"/>
                <w:b w:val="false"/>
                <w:i w:val="false"/>
                <w:color w:val="000000"/>
                <w:sz w:val="20"/>
              </w:rPr>
              <w:t>
объем</w:t>
            </w:r>
          </w:p>
          <w:p>
            <w:pPr>
              <w:spacing w:after="20"/>
              <w:ind w:left="20"/>
              <w:jc w:val="both"/>
            </w:pPr>
            <w:r>
              <w:rPr>
                <w:rFonts w:ascii="Times New Roman"/>
                <w:b w:val="false"/>
                <w:i w:val="false"/>
                <w:color w:val="000000"/>
                <w:sz w:val="20"/>
              </w:rPr>
              <w:t>
сельского</w:t>
            </w:r>
          </w:p>
          <w:p>
            <w:pPr>
              <w:spacing w:after="20"/>
              <w:ind w:left="20"/>
              <w:jc w:val="both"/>
            </w:pPr>
            <w:r>
              <w:rPr>
                <w:rFonts w:ascii="Times New Roman"/>
                <w:b w:val="false"/>
                <w:i w:val="false"/>
                <w:color w:val="000000"/>
                <w:sz w:val="20"/>
              </w:rPr>
              <w:t>
хозяйства,</w:t>
            </w:r>
          </w:p>
          <w:p>
            <w:pPr>
              <w:spacing w:after="20"/>
              <w:ind w:left="20"/>
              <w:jc w:val="both"/>
            </w:pPr>
            <w:r>
              <w:rPr>
                <w:rFonts w:ascii="Times New Roman"/>
                <w:b w:val="false"/>
                <w:i w:val="false"/>
                <w:color w:val="000000"/>
                <w:sz w:val="20"/>
              </w:rPr>
              <w:t>
млрд. тенге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Внешнеторговый</w:t>
            </w:r>
          </w:p>
          <w:p>
            <w:pPr>
              <w:spacing w:after="20"/>
              <w:ind w:left="20"/>
              <w:jc w:val="both"/>
            </w:pPr>
            <w:r>
              <w:rPr>
                <w:rFonts w:ascii="Times New Roman"/>
                <w:b w:val="false"/>
                <w:i w:val="false"/>
                <w:color w:val="000000"/>
                <w:sz w:val="20"/>
              </w:rPr>
              <w:t>
оборот,</w:t>
            </w:r>
          </w:p>
          <w:p>
            <w:pPr>
              <w:spacing w:after="20"/>
              <w:ind w:left="20"/>
              <w:jc w:val="both"/>
            </w:pPr>
            <w:r>
              <w:rPr>
                <w:rFonts w:ascii="Times New Roman"/>
                <w:b w:val="false"/>
                <w:i w:val="false"/>
                <w:color w:val="000000"/>
                <w:sz w:val="20"/>
              </w:rPr>
              <w:t>
млн. долл. США</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3685,5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4869,9</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3406,7</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w:t>
            </w:r>
          </w:p>
          <w:p>
            <w:pPr>
              <w:spacing w:after="20"/>
              <w:ind w:left="20"/>
              <w:jc w:val="both"/>
            </w:pPr>
            <w:r>
              <w:rPr>
                <w:rFonts w:ascii="Times New Roman"/>
                <w:b w:val="false"/>
                <w:i w:val="false"/>
                <w:color w:val="000000"/>
                <w:sz w:val="20"/>
              </w:rPr>
              <w:t>
в основной</w:t>
            </w:r>
          </w:p>
          <w:p>
            <w:pPr>
              <w:spacing w:after="20"/>
              <w:ind w:left="20"/>
              <w:jc w:val="both"/>
            </w:pPr>
            <w:r>
              <w:rPr>
                <w:rFonts w:ascii="Times New Roman"/>
                <w:b w:val="false"/>
                <w:i w:val="false"/>
                <w:color w:val="000000"/>
                <w:sz w:val="20"/>
              </w:rPr>
              <w:t>
капитал,</w:t>
            </w:r>
          </w:p>
          <w:p>
            <w:pPr>
              <w:spacing w:after="20"/>
              <w:ind w:left="20"/>
              <w:jc w:val="both"/>
            </w:pPr>
            <w:r>
              <w:rPr>
                <w:rFonts w:ascii="Times New Roman"/>
                <w:b w:val="false"/>
                <w:i w:val="false"/>
                <w:color w:val="000000"/>
                <w:sz w:val="20"/>
              </w:rPr>
              <w:t>
млрд. тенге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зарегистрированных</w:t>
            </w:r>
          </w:p>
          <w:p>
            <w:pPr>
              <w:spacing w:after="20"/>
              <w:ind w:left="20"/>
              <w:jc w:val="both"/>
            </w:pPr>
            <w:r>
              <w:rPr>
                <w:rFonts w:ascii="Times New Roman"/>
                <w:b w:val="false"/>
                <w:i w:val="false"/>
                <w:color w:val="000000"/>
                <w:sz w:val="20"/>
              </w:rPr>
              <w:t>
предприятий,</w:t>
            </w:r>
          </w:p>
          <w:p>
            <w:pPr>
              <w:spacing w:after="20"/>
              <w:ind w:left="20"/>
              <w:jc w:val="both"/>
            </w:pPr>
            <w:r>
              <w:rPr>
                <w:rFonts w:ascii="Times New Roman"/>
                <w:b w:val="false"/>
                <w:i w:val="false"/>
                <w:color w:val="000000"/>
                <w:sz w:val="20"/>
              </w:rPr>
              <w:t>
ед.</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действующих</w:t>
            </w:r>
          </w:p>
          <w:p>
            <w:pPr>
              <w:spacing w:after="20"/>
              <w:ind w:left="20"/>
              <w:jc w:val="both"/>
            </w:pPr>
            <w:r>
              <w:rPr>
                <w:rFonts w:ascii="Times New Roman"/>
                <w:b w:val="false"/>
                <w:i w:val="false"/>
                <w:color w:val="000000"/>
                <w:sz w:val="20"/>
              </w:rPr>
              <w:t>
предприятий,</w:t>
            </w:r>
          </w:p>
          <w:p>
            <w:pPr>
              <w:spacing w:after="20"/>
              <w:ind w:left="20"/>
              <w:jc w:val="both"/>
            </w:pPr>
            <w:r>
              <w:rPr>
                <w:rFonts w:ascii="Times New Roman"/>
                <w:b w:val="false"/>
                <w:i w:val="false"/>
                <w:color w:val="000000"/>
                <w:sz w:val="20"/>
              </w:rPr>
              <w:t>
ед.</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w:t>
            </w:r>
          </w:p>
          <w:p>
            <w:pPr>
              <w:spacing w:after="20"/>
              <w:ind w:left="20"/>
              <w:jc w:val="both"/>
            </w:pPr>
            <w:r>
              <w:rPr>
                <w:rFonts w:ascii="Times New Roman"/>
                <w:b w:val="false"/>
                <w:i w:val="false"/>
                <w:color w:val="000000"/>
                <w:sz w:val="20"/>
              </w:rPr>
              <w:t>
поступлений</w:t>
            </w:r>
          </w:p>
          <w:p>
            <w:pPr>
              <w:spacing w:after="20"/>
              <w:ind w:left="20"/>
              <w:jc w:val="both"/>
            </w:pPr>
            <w:r>
              <w:rPr>
                <w:rFonts w:ascii="Times New Roman"/>
                <w:b w:val="false"/>
                <w:i w:val="false"/>
                <w:color w:val="000000"/>
                <w:sz w:val="20"/>
              </w:rPr>
              <w:t xml:space="preserve">
собственных </w:t>
            </w:r>
          </w:p>
          <w:p>
            <w:pPr>
              <w:spacing w:after="20"/>
              <w:ind w:left="20"/>
              <w:jc w:val="both"/>
            </w:pPr>
            <w:r>
              <w:rPr>
                <w:rFonts w:ascii="Times New Roman"/>
                <w:b w:val="false"/>
                <w:i w:val="false"/>
                <w:color w:val="000000"/>
                <w:sz w:val="20"/>
              </w:rPr>
              <w:t>
доходов,</w:t>
            </w:r>
          </w:p>
          <w:p>
            <w:pPr>
              <w:spacing w:after="20"/>
              <w:ind w:left="20"/>
              <w:jc w:val="both"/>
            </w:pPr>
            <w:r>
              <w:rPr>
                <w:rFonts w:ascii="Times New Roman"/>
                <w:b w:val="false"/>
                <w:i w:val="false"/>
                <w:color w:val="000000"/>
                <w:sz w:val="20"/>
              </w:rPr>
              <w:t>
млрд. тенге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p>
            <w:pPr>
              <w:spacing w:after="20"/>
              <w:ind w:left="20"/>
              <w:jc w:val="both"/>
            </w:pPr>
            <w:r>
              <w:rPr>
                <w:rFonts w:ascii="Times New Roman"/>
                <w:b w:val="false"/>
                <w:i w:val="false"/>
                <w:color w:val="000000"/>
                <w:sz w:val="20"/>
              </w:rPr>
              <w:t>
месячная</w:t>
            </w:r>
          </w:p>
          <w:p>
            <w:pPr>
              <w:spacing w:after="20"/>
              <w:ind w:left="20"/>
              <w:jc w:val="both"/>
            </w:pPr>
            <w:r>
              <w:rPr>
                <w:rFonts w:ascii="Times New Roman"/>
                <w:b w:val="false"/>
                <w:i w:val="false"/>
                <w:color w:val="000000"/>
                <w:sz w:val="20"/>
              </w:rPr>
              <w:t>
заработная</w:t>
            </w:r>
          </w:p>
          <w:p>
            <w:pPr>
              <w:spacing w:after="20"/>
              <w:ind w:left="20"/>
              <w:jc w:val="both"/>
            </w:pPr>
            <w:r>
              <w:rPr>
                <w:rFonts w:ascii="Times New Roman"/>
                <w:b w:val="false"/>
                <w:i w:val="false"/>
                <w:color w:val="000000"/>
                <w:sz w:val="20"/>
              </w:rPr>
              <w:t>
плата, тенге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73677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84 111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88653</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уровень</w:t>
            </w:r>
          </w:p>
          <w:p>
            <w:pPr>
              <w:spacing w:after="20"/>
              <w:ind w:left="20"/>
              <w:jc w:val="both"/>
            </w:pPr>
            <w:r>
              <w:rPr>
                <w:rFonts w:ascii="Times New Roman"/>
                <w:b w:val="false"/>
                <w:i w:val="false"/>
                <w:color w:val="000000"/>
                <w:sz w:val="20"/>
              </w:rPr>
              <w:t>
безработицы,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квартал</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p>
            <w:pPr>
              <w:spacing w:after="20"/>
              <w:ind w:left="20"/>
              <w:jc w:val="both"/>
            </w:pPr>
            <w:r>
              <w:rPr>
                <w:rFonts w:ascii="Times New Roman"/>
                <w:b w:val="false"/>
                <w:i w:val="false"/>
                <w:color w:val="000000"/>
                <w:sz w:val="20"/>
              </w:rPr>
              <w:t xml:space="preserve">
потребительских </w:t>
            </w:r>
          </w:p>
          <w:p>
            <w:pPr>
              <w:spacing w:after="20"/>
              <w:ind w:left="20"/>
              <w:jc w:val="both"/>
            </w:pPr>
            <w:r>
              <w:rPr>
                <w:rFonts w:ascii="Times New Roman"/>
                <w:b w:val="false"/>
                <w:i w:val="false"/>
                <w:color w:val="000000"/>
                <w:sz w:val="20"/>
              </w:rPr>
              <w:t>
цен,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bl>
    <w:p>
      <w:pPr>
        <w:spacing w:after="0"/>
        <w:ind w:left="0"/>
        <w:jc w:val="left"/>
      </w:pPr>
    </w:p>
    <w:bookmarkStart w:name="z37" w:id="34"/>
    <w:p>
      <w:pPr>
        <w:spacing w:after="0"/>
        <w:ind w:left="0"/>
        <w:jc w:val="both"/>
      </w:pPr>
      <w:r>
        <w:rPr>
          <w:rFonts w:ascii="Times New Roman"/>
          <w:b w:val="false"/>
          <w:i w:val="false"/>
          <w:color w:val="000000"/>
          <w:sz w:val="28"/>
        </w:rPr>
        <w:t>
      Рисунок 1.</w:t>
      </w:r>
    </w:p>
    <w:bookmarkEnd w:id="34"/>
    <w:p>
      <w:pPr>
        <w:spacing w:after="0"/>
        <w:ind w:left="0"/>
        <w:jc w:val="left"/>
      </w:pPr>
      <w:r>
        <w:rPr>
          <w:rFonts w:ascii="Times New Roman"/>
          <w:b/>
          <w:i w:val="false"/>
          <w:color w:val="000000"/>
        </w:rPr>
        <w:t xml:space="preserve"> Внутренняя корпоративная система</w:t>
      </w:r>
      <w:r>
        <w:br/>
      </w:r>
      <w:r>
        <w:rPr>
          <w:rFonts w:ascii="Times New Roman"/>
          <w:b/>
          <w:i w:val="false"/>
          <w:color w:val="000000"/>
        </w:rPr>
        <w:t xml:space="preserve">АО "НК "СПК "Ертic"  </w:t>
      </w:r>
    </w:p>
    <w:p>
      <w:pPr>
        <w:spacing w:after="0"/>
        <w:ind w:left="0"/>
        <w:jc w:val="both"/>
      </w:pPr>
      <w:r>
        <w:drawing>
          <wp:inline distT="0" distB="0" distL="0" distR="0">
            <wp:extent cx="7810500" cy="566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664200"/>
                    </a:xfrm>
                    <a:prstGeom prst="rect">
                      <a:avLst/>
                    </a:prstGeom>
                  </pic:spPr>
                </pic:pic>
              </a:graphicData>
            </a:graphic>
          </wp:inline>
        </w:drawing>
      </w:r>
    </w:p>
    <w:p>
      <w:pPr>
        <w:spacing w:after="0"/>
        <w:ind w:left="0"/>
        <w:jc w:val="left"/>
      </w:pPr>
      <w:r>
        <w:br/>
      </w:r>
    </w:p>
    <w:bookmarkStart w:name="z38" w:id="35"/>
    <w:p>
      <w:pPr>
        <w:spacing w:after="0"/>
        <w:ind w:left="0"/>
        <w:jc w:val="both"/>
      </w:pPr>
      <w:r>
        <w:rPr>
          <w:rFonts w:ascii="Times New Roman"/>
          <w:b w:val="false"/>
          <w:i w:val="false"/>
          <w:color w:val="000000"/>
          <w:sz w:val="28"/>
        </w:rPr>
        <w:t>
      Рисунок 2</w:t>
      </w:r>
    </w:p>
    <w:bookmarkEnd w:id="35"/>
    <w:p>
      <w:pPr>
        <w:spacing w:after="0"/>
        <w:ind w:left="0"/>
        <w:jc w:val="left"/>
      </w:pPr>
      <w:r>
        <w:rPr>
          <w:rFonts w:ascii="Times New Roman"/>
          <w:b/>
          <w:i w:val="false"/>
          <w:color w:val="000000"/>
        </w:rPr>
        <w:t xml:space="preserve"> Структура проектов, реализуемых</w:t>
      </w:r>
      <w:r>
        <w:br/>
      </w:r>
      <w:r>
        <w:rPr>
          <w:rFonts w:ascii="Times New Roman"/>
          <w:b/>
          <w:i w:val="false"/>
          <w:color w:val="000000"/>
        </w:rPr>
        <w:t xml:space="preserve">АО "НК "СПК "Ертic"  </w:t>
      </w:r>
    </w:p>
    <w:p>
      <w:pPr>
        <w:spacing w:after="0"/>
        <w:ind w:left="0"/>
        <w:jc w:val="both"/>
      </w:pPr>
      <w:r>
        <w:drawing>
          <wp:inline distT="0" distB="0" distL="0" distR="0">
            <wp:extent cx="7810500" cy="532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321300"/>
                    </a:xfrm>
                    <a:prstGeom prst="rect">
                      <a:avLst/>
                    </a:prstGeom>
                  </pic:spPr>
                </pic:pic>
              </a:graphicData>
            </a:graphic>
          </wp:inline>
        </w:drawing>
      </w:r>
    </w:p>
    <w:p>
      <w:pPr>
        <w:spacing w:after="0"/>
        <w:ind w:left="0"/>
        <w:jc w:val="left"/>
      </w:pPr>
      <w:r>
        <w:br/>
      </w:r>
    </w:p>
    <w:bookmarkStart w:name="z39" w:id="36"/>
    <w:p>
      <w:pPr>
        <w:spacing w:after="0"/>
        <w:ind w:left="0"/>
        <w:jc w:val="both"/>
      </w:pPr>
      <w:r>
        <w:rPr>
          <w:rFonts w:ascii="Times New Roman"/>
          <w:b w:val="false"/>
          <w:i w:val="false"/>
          <w:color w:val="000000"/>
          <w:sz w:val="28"/>
        </w:rPr>
        <w:t>
      Рисунок 3.</w:t>
      </w:r>
    </w:p>
    <w:bookmarkEnd w:id="36"/>
    <w:p>
      <w:pPr>
        <w:spacing w:after="0"/>
        <w:ind w:left="0"/>
        <w:jc w:val="left"/>
      </w:pPr>
      <w:r>
        <w:rPr>
          <w:rFonts w:ascii="Times New Roman"/>
          <w:b/>
          <w:i w:val="false"/>
          <w:color w:val="000000"/>
        </w:rPr>
        <w:t xml:space="preserve"> Процесс участия АО "НК "СПК "Ертic"</w:t>
      </w:r>
      <w:r>
        <w:br/>
      </w:r>
      <w:r>
        <w:rPr>
          <w:rFonts w:ascii="Times New Roman"/>
          <w:b/>
          <w:i w:val="false"/>
          <w:color w:val="000000"/>
        </w:rPr>
        <w:t xml:space="preserve">в реализации проектов в сфере недропользования  </w:t>
      </w:r>
    </w:p>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000500"/>
                    </a:xfrm>
                    <a:prstGeom prst="rect">
                      <a:avLst/>
                    </a:prstGeom>
                  </pic:spPr>
                </pic:pic>
              </a:graphicData>
            </a:graphic>
          </wp:inline>
        </w:drawing>
      </w:r>
    </w:p>
    <w:p>
      <w:pPr>
        <w:spacing w:after="0"/>
        <w:ind w:left="0"/>
        <w:jc w:val="left"/>
      </w:pPr>
      <w:r>
        <w:br/>
      </w:r>
    </w:p>
    <w:bookmarkStart w:name="z40" w:id="37"/>
    <w:p>
      <w:pPr>
        <w:spacing w:after="0"/>
        <w:ind w:left="0"/>
        <w:jc w:val="both"/>
      </w:pPr>
      <w:r>
        <w:rPr>
          <w:rFonts w:ascii="Times New Roman"/>
          <w:b w:val="false"/>
          <w:i w:val="false"/>
          <w:color w:val="000000"/>
          <w:sz w:val="28"/>
        </w:rPr>
        <w:t>
      Рисунок 4.</w:t>
      </w:r>
    </w:p>
    <w:bookmarkEnd w:id="37"/>
    <w:p>
      <w:pPr>
        <w:spacing w:after="0"/>
        <w:ind w:left="0"/>
        <w:jc w:val="left"/>
      </w:pPr>
      <w:r>
        <w:rPr>
          <w:rFonts w:ascii="Times New Roman"/>
          <w:b/>
          <w:i w:val="false"/>
          <w:color w:val="000000"/>
        </w:rPr>
        <w:t xml:space="preserve"> Процесс участия АО "НК "СПК "Ертic"</w:t>
      </w:r>
      <w:r>
        <w:br/>
      </w:r>
      <w:r>
        <w:rPr>
          <w:rFonts w:ascii="Times New Roman"/>
          <w:b/>
          <w:i w:val="false"/>
          <w:color w:val="000000"/>
        </w:rPr>
        <w:t xml:space="preserve">в реализации бизнес-проектов  </w:t>
      </w:r>
    </w:p>
    <w:p>
      <w:pPr>
        <w:spacing w:after="0"/>
        <w:ind w:left="0"/>
        <w:jc w:val="both"/>
      </w:pPr>
      <w:r>
        <w:drawing>
          <wp:inline distT="0" distB="0" distL="0" distR="0">
            <wp:extent cx="78105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200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Стратегии развития</w:t>
            </w:r>
            <w:r>
              <w:br/>
            </w:r>
            <w:r>
              <w:rPr>
                <w:rFonts w:ascii="Times New Roman"/>
                <w:b w:val="false"/>
                <w:i w:val="false"/>
                <w:color w:val="000000"/>
                <w:sz w:val="20"/>
              </w:rPr>
              <w:t>акционерного общества</w:t>
            </w:r>
            <w:r>
              <w:br/>
            </w:r>
            <w:r>
              <w:rPr>
                <w:rFonts w:ascii="Times New Roman"/>
                <w:b w:val="false"/>
                <w:i w:val="false"/>
                <w:color w:val="000000"/>
                <w:sz w:val="20"/>
              </w:rPr>
              <w:t>"НК "СПК "Ертic"</w:t>
            </w:r>
            <w:r>
              <w:br/>
            </w:r>
            <w:r>
              <w:rPr>
                <w:rFonts w:ascii="Times New Roman"/>
                <w:b w:val="false"/>
                <w:i w:val="false"/>
                <w:color w:val="000000"/>
                <w:sz w:val="20"/>
              </w:rPr>
              <w:t>на 2014 - 2023 годы</w:t>
            </w:r>
          </w:p>
        </w:tc>
      </w:tr>
    </w:tbl>
    <w:bookmarkStart w:name="z42" w:id="38"/>
    <w:p>
      <w:pPr>
        <w:spacing w:after="0"/>
        <w:ind w:left="0"/>
        <w:jc w:val="left"/>
      </w:pPr>
      <w:r>
        <w:rPr>
          <w:rFonts w:ascii="Times New Roman"/>
          <w:b/>
          <w:i w:val="false"/>
          <w:color w:val="000000"/>
        </w:rPr>
        <w:t xml:space="preserve"> Ключевые показатели деятельности</w:t>
      </w:r>
      <w:r>
        <w:br/>
      </w:r>
      <w:r>
        <w:rPr>
          <w:rFonts w:ascii="Times New Roman"/>
          <w:b/>
          <w:i w:val="false"/>
          <w:color w:val="000000"/>
        </w:rPr>
        <w:t>(далее – КПД) СПК</w:t>
      </w:r>
    </w:p>
    <w:bookmarkEnd w:id="38"/>
    <w:bookmarkStart w:name="z43" w:id="39"/>
    <w:p>
      <w:pPr>
        <w:spacing w:after="0"/>
        <w:ind w:left="0"/>
        <w:jc w:val="both"/>
      </w:pPr>
      <w:r>
        <w:rPr>
          <w:rFonts w:ascii="Times New Roman"/>
          <w:b w:val="false"/>
          <w:i w:val="false"/>
          <w:color w:val="000000"/>
          <w:sz w:val="28"/>
        </w:rPr>
        <w:t>
      Стратегическое направление 1. Привлечение инвесторов и создание новых производств в точках роста региона</w:t>
      </w:r>
    </w:p>
    <w:bookmarkEnd w:id="39"/>
    <w:bookmarkStart w:name="z44" w:id="40"/>
    <w:p>
      <w:pPr>
        <w:spacing w:after="0"/>
        <w:ind w:left="0"/>
        <w:jc w:val="both"/>
      </w:pPr>
      <w:r>
        <w:rPr>
          <w:rFonts w:ascii="Times New Roman"/>
          <w:b w:val="false"/>
          <w:i w:val="false"/>
          <w:color w:val="000000"/>
          <w:sz w:val="28"/>
        </w:rPr>
        <w:t>
      Цель 1. Активизация работы по привлечению отечественных и прямых иностранных инвестиций в приоритетные сектора экономики региона (точки роста)</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2"/>
        <w:gridCol w:w="882"/>
        <w:gridCol w:w="812"/>
        <w:gridCol w:w="812"/>
        <w:gridCol w:w="812"/>
        <w:gridCol w:w="812"/>
        <w:gridCol w:w="813"/>
        <w:gridCol w:w="813"/>
        <w:gridCol w:w="813"/>
        <w:gridCol w:w="813"/>
        <w:gridCol w:w="813"/>
        <w:gridCol w:w="813"/>
      </w:tblGrid>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2013 г.</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 Объем привлеченных инвестиций (инвестиционный портфель), млн. тенге (с учетом проектов недропользования)</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2. Количество ежегодно запускаемых инвестиционных проектов, в том числе с участием иностранного капитала (не менее пяти ежегодно), ед.</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отрасли сельского хозяйства, ед.:</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промышленных свинокомплексов, ед.</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промышленных молочно-товарных ферм, ед.</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экспортно-ориентированных откормочных площадок, ед.</w:t>
            </w:r>
          </w:p>
          <w:p>
            <w:pPr>
              <w:spacing w:after="20"/>
              <w:ind w:left="20"/>
              <w:jc w:val="both"/>
            </w:pPr>
            <w:r>
              <w:rPr>
                <w:rFonts w:ascii="Times New Roman"/>
                <w:b w:val="false"/>
                <w:i w:val="false"/>
                <w:color w:val="000000"/>
                <w:sz w:val="20"/>
              </w:rPr>
              <w:t xml:space="preserve">
строительство комбикормового завода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3. Рост объема прямых иностранных инвестиций в обрабатывающую промышленность не менее чем на 20 % (к 2023 году),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bl>
    <w:p>
      <w:pPr>
        <w:spacing w:after="0"/>
        <w:ind w:left="0"/>
        <w:jc w:val="left"/>
      </w:pPr>
      <w:r>
        <w:br/>
      </w:r>
      <w:r>
        <w:rPr>
          <w:rFonts w:ascii="Times New Roman"/>
          <w:b w:val="false"/>
          <w:i w:val="false"/>
          <w:color w:val="000000"/>
          <w:sz w:val="28"/>
        </w:rPr>
        <w:t>
</w:t>
      </w:r>
    </w:p>
    <w:bookmarkStart w:name="z45" w:id="41"/>
    <w:p>
      <w:pPr>
        <w:spacing w:after="0"/>
        <w:ind w:left="0"/>
        <w:jc w:val="both"/>
      </w:pPr>
      <w:r>
        <w:rPr>
          <w:rFonts w:ascii="Times New Roman"/>
          <w:b w:val="false"/>
          <w:i w:val="false"/>
          <w:color w:val="000000"/>
          <w:sz w:val="28"/>
        </w:rPr>
        <w:t>
      Цель 2. Привлечение новых (инновационных) технологий в регион и оказание поддержки науке Казахстана</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4"/>
        <w:gridCol w:w="1059"/>
        <w:gridCol w:w="975"/>
        <w:gridCol w:w="975"/>
        <w:gridCol w:w="975"/>
        <w:gridCol w:w="976"/>
        <w:gridCol w:w="976"/>
        <w:gridCol w:w="976"/>
        <w:gridCol w:w="976"/>
        <w:gridCol w:w="976"/>
        <w:gridCol w:w="976"/>
        <w:gridCol w:w="976"/>
      </w:tblGrid>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2013 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 Количество инвестиционных проектов с трансфертом новых технологий для области, ед.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2. Количество коммерциализованных идей технопарков, ед.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46" w:id="42"/>
    <w:p>
      <w:pPr>
        <w:spacing w:after="0"/>
        <w:ind w:left="0"/>
        <w:jc w:val="both"/>
      </w:pPr>
      <w:r>
        <w:rPr>
          <w:rFonts w:ascii="Times New Roman"/>
          <w:b w:val="false"/>
          <w:i w:val="false"/>
          <w:color w:val="000000"/>
          <w:sz w:val="28"/>
        </w:rPr>
        <w:t>
      Цель 3. Развитие казахстанского содержания на региональном уровне</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1"/>
        <w:gridCol w:w="966"/>
        <w:gridCol w:w="889"/>
        <w:gridCol w:w="889"/>
        <w:gridCol w:w="889"/>
        <w:gridCol w:w="889"/>
        <w:gridCol w:w="889"/>
        <w:gridCol w:w="889"/>
        <w:gridCol w:w="889"/>
        <w:gridCol w:w="890"/>
        <w:gridCol w:w="890"/>
        <w:gridCol w:w="890"/>
      </w:tblGrid>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2013 г.</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 Доля казахстанского содержания за счет региональных производителей по ВКО, в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закупке товаров - до 60%; работ/услуг – до 90 %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2. Количество проведенных семинаров по развитию местного содержания при закупке товаров, работ и услуг, ед.</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3. Количество проведенных семинаров по разъяснению инструментов государственной поддержки в рамках индустриально-инновационного развития, ед.</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bookmarkStart w:name="z47" w:id="43"/>
    <w:p>
      <w:pPr>
        <w:spacing w:after="0"/>
        <w:ind w:left="0"/>
        <w:jc w:val="both"/>
      </w:pPr>
      <w:r>
        <w:rPr>
          <w:rFonts w:ascii="Times New Roman"/>
          <w:b w:val="false"/>
          <w:i w:val="false"/>
          <w:color w:val="000000"/>
          <w:sz w:val="28"/>
        </w:rPr>
        <w:t>
      Стратегическое направление 2. Создание условий для стимулирования экономической активности в точках роста</w:t>
      </w:r>
    </w:p>
    <w:bookmarkEnd w:id="43"/>
    <w:bookmarkStart w:name="z48" w:id="44"/>
    <w:p>
      <w:pPr>
        <w:spacing w:after="0"/>
        <w:ind w:left="0"/>
        <w:jc w:val="both"/>
      </w:pPr>
      <w:r>
        <w:rPr>
          <w:rFonts w:ascii="Times New Roman"/>
          <w:b w:val="false"/>
          <w:i w:val="false"/>
          <w:color w:val="000000"/>
          <w:sz w:val="28"/>
        </w:rPr>
        <w:t>
      Цель 1. Использование потенциала инфраструктуры поддержки развития бизнеса</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1"/>
        <w:gridCol w:w="986"/>
        <w:gridCol w:w="908"/>
        <w:gridCol w:w="908"/>
        <w:gridCol w:w="908"/>
        <w:gridCol w:w="908"/>
        <w:gridCol w:w="908"/>
        <w:gridCol w:w="908"/>
        <w:gridCol w:w="908"/>
        <w:gridCol w:w="909"/>
        <w:gridCol w:w="909"/>
        <w:gridCol w:w="909"/>
      </w:tblGrid>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2013 г.</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 Количество проведенных road-show, ед.</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2. Количество привлеченных инвестиционных проектов несырьевого сектора в ИЗ, ед.</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3. Количество объектов инфраструктуры поддержки начинающего бизнеса (бизнес-инкубаторов, технопарков, индустриальных зон), ед.</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49" w:id="45"/>
    <w:p>
      <w:pPr>
        <w:spacing w:after="0"/>
        <w:ind w:left="0"/>
        <w:jc w:val="both"/>
      </w:pPr>
      <w:r>
        <w:rPr>
          <w:rFonts w:ascii="Times New Roman"/>
          <w:b w:val="false"/>
          <w:i w:val="false"/>
          <w:color w:val="000000"/>
          <w:sz w:val="28"/>
        </w:rPr>
        <w:t>
      Цель 2. Использование возможностей альтернативных источников финансирования</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6"/>
        <w:gridCol w:w="803"/>
        <w:gridCol w:w="740"/>
        <w:gridCol w:w="740"/>
        <w:gridCol w:w="740"/>
        <w:gridCol w:w="740"/>
        <w:gridCol w:w="740"/>
        <w:gridCol w:w="740"/>
        <w:gridCol w:w="740"/>
        <w:gridCol w:w="740"/>
        <w:gridCol w:w="740"/>
        <w:gridCol w:w="741"/>
      </w:tblGrid>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2013 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 Количество проектов с участием средств институтов развития, ед.</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2. Количество привлеченных иностранных инвесторов в регион (не менее двух ежегодно), том числе из списка Global-2000 (не менее трех до 2023 года), ед.</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3. Соотношение привлеченных средств частных инвесторов к вложенным средствам СПК, коэффициент.</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bookmarkStart w:name="z50" w:id="46"/>
    <w:p>
      <w:pPr>
        <w:spacing w:after="0"/>
        <w:ind w:left="0"/>
        <w:jc w:val="both"/>
      </w:pPr>
      <w:r>
        <w:rPr>
          <w:rFonts w:ascii="Times New Roman"/>
          <w:b w:val="false"/>
          <w:i w:val="false"/>
          <w:color w:val="000000"/>
          <w:sz w:val="28"/>
        </w:rPr>
        <w:t>
      Стратегическое направление 3. Увеличение стоимости СПК и повышение уровня корпоративного управления</w:t>
      </w:r>
    </w:p>
    <w:bookmarkEnd w:id="46"/>
    <w:bookmarkStart w:name="z51" w:id="47"/>
    <w:p>
      <w:pPr>
        <w:spacing w:after="0"/>
        <w:ind w:left="0"/>
        <w:jc w:val="both"/>
      </w:pPr>
      <w:r>
        <w:rPr>
          <w:rFonts w:ascii="Times New Roman"/>
          <w:b w:val="false"/>
          <w:i w:val="false"/>
          <w:color w:val="000000"/>
          <w:sz w:val="28"/>
        </w:rPr>
        <w:t>
      Цель 1. Совершенствование корпоративного управления и прозрачности деятельности СПК</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5"/>
        <w:gridCol w:w="1036"/>
        <w:gridCol w:w="953"/>
        <w:gridCol w:w="954"/>
        <w:gridCol w:w="954"/>
        <w:gridCol w:w="954"/>
        <w:gridCol w:w="954"/>
        <w:gridCol w:w="954"/>
        <w:gridCol w:w="954"/>
        <w:gridCol w:w="954"/>
        <w:gridCol w:w="954"/>
        <w:gridCol w:w="954"/>
      </w:tblGrid>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2013 г.</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 Рейтинг качества управления национальной компании (РКУ НК), балл (СПК)</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2. Посещаемость интернет-ресурса, количество посещений в год</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3. Количество бизнес-заявок, поступивших на рассмотрение в СПК в течение года, шт.</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bookmarkStart w:name="z52" w:id="48"/>
    <w:p>
      <w:pPr>
        <w:spacing w:after="0"/>
        <w:ind w:left="0"/>
        <w:jc w:val="both"/>
      </w:pPr>
      <w:r>
        <w:rPr>
          <w:rFonts w:ascii="Times New Roman"/>
          <w:b w:val="false"/>
          <w:i w:val="false"/>
          <w:color w:val="000000"/>
          <w:sz w:val="28"/>
        </w:rPr>
        <w:t>
      Цель 2. Увеличение доходности СПК</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1033"/>
        <w:gridCol w:w="951"/>
        <w:gridCol w:w="951"/>
        <w:gridCol w:w="951"/>
        <w:gridCol w:w="951"/>
        <w:gridCol w:w="951"/>
        <w:gridCol w:w="951"/>
        <w:gridCol w:w="951"/>
        <w:gridCol w:w="951"/>
        <w:gridCol w:w="952"/>
        <w:gridCol w:w="952"/>
      </w:tblGrid>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2013 г.</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 Показатель ROA,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КПД 2. Рентабельность инвестиций, %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КПД 3. Уровень чистого дохода, млн. тенге в том числе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на одного сотрудника, млн. тенге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bl>
    <w:p>
      <w:pPr>
        <w:spacing w:after="0"/>
        <w:ind w:left="0"/>
        <w:jc w:val="left"/>
      </w:pPr>
      <w:r>
        <w:br/>
      </w:r>
      <w:r>
        <w:rPr>
          <w:rFonts w:ascii="Times New Roman"/>
          <w:b w:val="false"/>
          <w:i w:val="false"/>
          <w:color w:val="000000"/>
          <w:sz w:val="28"/>
        </w:rPr>
        <w:t>
</w:t>
      </w:r>
    </w:p>
    <w:bookmarkStart w:name="z53" w:id="49"/>
    <w:p>
      <w:pPr>
        <w:spacing w:after="0"/>
        <w:ind w:left="0"/>
        <w:jc w:val="both"/>
      </w:pPr>
      <w:r>
        <w:rPr>
          <w:rFonts w:ascii="Times New Roman"/>
          <w:b w:val="false"/>
          <w:i w:val="false"/>
          <w:color w:val="000000"/>
          <w:sz w:val="28"/>
        </w:rPr>
        <w:t>
      Стратегическое направление 4. Содействие в реализации социальной политики МИО</w:t>
      </w:r>
    </w:p>
    <w:bookmarkEnd w:id="49"/>
    <w:bookmarkStart w:name="z54" w:id="50"/>
    <w:p>
      <w:pPr>
        <w:spacing w:after="0"/>
        <w:ind w:left="0"/>
        <w:jc w:val="both"/>
      </w:pPr>
      <w:r>
        <w:rPr>
          <w:rFonts w:ascii="Times New Roman"/>
          <w:b w:val="false"/>
          <w:i w:val="false"/>
          <w:color w:val="000000"/>
          <w:sz w:val="28"/>
        </w:rPr>
        <w:t>
      Цель 1. Улучшение социальной политики СПК</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8"/>
        <w:gridCol w:w="1020"/>
        <w:gridCol w:w="939"/>
        <w:gridCol w:w="939"/>
        <w:gridCol w:w="939"/>
        <w:gridCol w:w="939"/>
        <w:gridCol w:w="939"/>
        <w:gridCol w:w="939"/>
        <w:gridCol w:w="939"/>
        <w:gridCol w:w="939"/>
        <w:gridCol w:w="940"/>
        <w:gridCol w:w="940"/>
      </w:tblGrid>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2013 г.</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 Количество созданных рабочих мест в проектах с участием СПК, ед.</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2. Количество реабилитированных предприятий (с учетом возможной передачи на баланс СПК таких активов), ед.</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3. Количество участников социальной программы "Жайляу" по развитию животноводческой отрасли региона, чел.</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p>
      <w:pPr>
        <w:spacing w:after="0"/>
        <w:ind w:left="0"/>
        <w:jc w:val="left"/>
      </w:pPr>
      <w:r>
        <w:br/>
      </w:r>
      <w:r>
        <w:rPr>
          <w:rFonts w:ascii="Times New Roman"/>
          <w:b w:val="false"/>
          <w:i w:val="false"/>
          <w:color w:val="000000"/>
          <w:sz w:val="28"/>
        </w:rPr>
        <w:t>
</w:t>
      </w:r>
    </w:p>
    <w:bookmarkStart w:name="z55" w:id="51"/>
    <w:p>
      <w:pPr>
        <w:spacing w:after="0"/>
        <w:ind w:left="0"/>
        <w:jc w:val="both"/>
      </w:pPr>
      <w:r>
        <w:rPr>
          <w:rFonts w:ascii="Times New Roman"/>
          <w:b w:val="false"/>
          <w:i w:val="false"/>
          <w:color w:val="000000"/>
          <w:sz w:val="28"/>
        </w:rPr>
        <w:t>
      Цель 2. Увеличение социальной составляющей в деятельности СПК</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9"/>
        <w:gridCol w:w="1089"/>
        <w:gridCol w:w="1003"/>
        <w:gridCol w:w="1003"/>
        <w:gridCol w:w="1003"/>
        <w:gridCol w:w="1003"/>
        <w:gridCol w:w="1003"/>
        <w:gridCol w:w="1003"/>
        <w:gridCol w:w="1003"/>
        <w:gridCol w:w="1003"/>
        <w:gridCol w:w="1004"/>
        <w:gridCol w:w="1004"/>
      </w:tblGrid>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КПД</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2013 г.</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г.</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г.</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 Количество реализованных социальных проектов, ед.</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2. Капитализация фонда СПК, млн. тенге.</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