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d68d6" w14:textId="f5d68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Рамочного соглашения о партнерстве между Правительством Республики Казахстан и Азиатским Банком Развития по усилению сотрудничества в целях экономической диверсификации, устойчивому развитию и всеобъемлющему росту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мая 2014 года № 451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Рамочного 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партнерстве между Правительством Республики Казахстан и Азиатским Банком Развития по усилению сотрудничества в целях экономической диверсификации, устойчивому развитию и всеобъемлющему росту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Подписать Рамочное соглашение о партнерстве между Правительством Республики Казахстан и Азиатским Банком Развития по усилению сотрудничества в целях экономической диверсификации, устойчивому развитию и всеобъемлющему росту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мая 2014 года № 451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Рамочное cоглашение</w:t>
      </w:r>
      <w:r>
        <w:br/>
      </w:r>
      <w:r>
        <w:rPr>
          <w:rFonts w:ascii="Times New Roman"/>
          <w:b/>
          <w:i w:val="false"/>
          <w:color w:val="000000"/>
        </w:rPr>
        <w:t>
о партнерстве 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Азиатским Банком Развития по усилению сотрудничества в целях</w:t>
      </w:r>
      <w:r>
        <w:br/>
      </w:r>
      <w:r>
        <w:rPr>
          <w:rFonts w:ascii="Times New Roman"/>
          <w:b/>
          <w:i w:val="false"/>
          <w:color w:val="000000"/>
        </w:rPr>
        <w:t>
экономической диверсификации, устойчивому развитию и</w:t>
      </w:r>
      <w:r>
        <w:br/>
      </w:r>
      <w:r>
        <w:rPr>
          <w:rFonts w:ascii="Times New Roman"/>
          <w:b/>
          <w:i w:val="false"/>
          <w:color w:val="000000"/>
        </w:rPr>
        <w:t>
всеобъемлющему росту Республики Казахстан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1. Предпосылки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1.1. Правительство Республики Казахстан (далее – Правительство) и Азиатский Банк Развития (далее – АБР) имеют намерение усилить сотрудничество, направленное на достижение целей, установленных Страновой стратегией партнерства (далее – ССП) с Республикой Казахстан на 2012 – 2016 годы, одобренной в октябре 2012 года. Придавая особое значение экономической диверсификации, устойчивому развитию и инклюзивному росту, с целью обеспечения равномерного распределения результатов экономического роста и их доступности для групп с низким уровнем дохода, настоящее Рамочное соглашение о партнерстве между Правительством и АБР составлено на основе ССП, в которой определены основополагающие принципы партнерства и направления совместных мероприятий в поддержку реализации стратегий развития Правительства на ближайшее десятилетие.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1.2. Правительство высоко ценит долгосрочное плодотворное сотрудничество с АБР, которое началось с 1994 года и по настоящий момент составляет 3,2 миллиарда долларов США в виде 25 кредитов государственному сектору, 68 проектов технической помощи в размере 31 миллион долларов США, и 6 проектов в частном секторе на сумму 455 миллионов долларов США. Партнерство вылилось в реализацию успешных инвестиционных проектов и проектов по наращиванию институционального потенциала в сельском хозяйстве, образовании, финансовом секторе, транспортной отрасли, водоснабжении и санитарии, и ирригационном секторе. В последние годы операции АБР были сфокусированы на транспортном секторе, развитии малого и среднего бизнеса (далее – МСБ), поддержке обмена знаниями, развитии частного сектора, при этом региональное сотрудничество в рамках Программы Центрально-Азиатского Регионального Экономического Сотрудничества (ЦАРЭС) являлось неотъемлемым аспектом операций АБР в стране. Правительство изъявило желание укрепить успешное сотрудничество с АБР в целях ускорения диверсификации экономики и усиления ее конкурентоспособности для достижения устойчивого и инклюзивного роста.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1.3. АБР ценит тесное партнерство с Правительством, которое внесло вклад в стремительное превращение государства, после приобретения независимости, в страну с уровнем доходов выше среднего, и отмечает устойчивые достижения Правительства в сфере макроэкономического управления. Стратегия АБР делает акцент на максимизацию вклада в правительственные приоритеты развития и их реализацию.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2. Цели и сферы сотрудничества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2.1. Настоящее Рамочное соглашение о партнерстве будет основано на принципах ССП и направлено на оказание поддержки Правительству в предпринимаемых им усилиях по диверсификации экономики и повышению конкурентоспособности. Правительство намерено достичь следующие основные задачи: (i) привлечение инвестиций преимущественно в несырьевой сектор экономики; (ii) развитие частного предпринимательства и инноваций; (iii) стимулирование развития малых и средних предприятий; (iv) развитие институционального и человеческого капитала; и (v) повышение качества и доступности государственных услуг и обеспечение устойчивого регионального развития. Операционный фокус АБР направлен на модернизацию инфраструктуры и коммунальных услуг, в то же время нацелен на поиск инновационных и гибких решений, с тем, чтобы сократить дефицит инвестиционных средств и обеспечить устойчивость проектов; и улучшение доступа к финансированию для МСБ, торговли и инвестиций в инфраструктуру в рамках государственно-частного партнерства (ГЧП). Основные движущие моменты стратегии АБР включают управление и институциональные реформы, развитие частного сектора, региональное сотрудничество, обмен знаниями, изменение климата и экологическую устойчивость, и гендерное равенство.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2.2. В рамках настоящего Рамочного соглашения о партнерстве предусмотрены, помимо прочего, следующие направления: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финансовый сектор;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малый и средний бизнес;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инфраструктура, включая транспорт, энергетику и развитие городов;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частного сектора, включая государственно-частное партнерство;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региональное сотрудничество и интеграция.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2.3. Правительство в сотрудничестве с АБР и при его поддержке разработает, в случае необходимости, программы развития с подробными мерами для каждой из вышеуказанных сфер.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3. Реализация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3.1. Реализация программ развития будет финансироваться из общей суммы предварительно в размере 500 миллиардов тенге, которая будет выделена Правительством в соответствии с законодательством Республики Казахстан. Данные средства будут служить, в частности, в качестве софинансирования индикативной инвестиционной программы АБР в государственном секторе, составляющей порядка 1,6 миллиарда долларов США в рамках сроков ССП. АБР намерен дополнять эту программу в государственном секторе инвестициями в рамках операций в частном секторе с использованием инструментов, включающих акции, долговые и гарантийные инструменты, на уровне, определяемом на ежегодной основе.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3.2. АБР в пределах сферы действия ССП и с использованием предусмотренных в ней инструментов, будет предоставлять: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(i) консультационную поддержку и техническую помощь в разработке и реализации программ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(ii) заемные средства и прочие виды финансовой поддержки;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(iii) поддержку обучения, развития потенциала и обмена знаниями;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(iv) поддержку государственно-частному партнерству;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(v) привлечение финансовых ресурсов для поддержки инвестиций частного сектора в стране;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(vi) поддержку Правительству в проведении надзора и мониторинга своих программ по развитию в областях, указанных в параграфе 2.2.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3.3. Для обеспечения реализации программ развития, при необходимости может быть рассмотрен вариант создания фондов специального назначения, которые, в том числе, могут быть направлены на региональное развитие, инфраструктуру, венчурный капитал, энергоэффективность и развитие МСБ.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4. Институциональные механизмы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4.1. Правительство учредит Координационный совет для реализации настоящего Рамочного соглашения о партнерстве, состав которого будет включать, но не ограничится, представителями Правительства и АБР. Данный совет будет выполнять функции обзора ключевых мер политики и надзора за реализацией программ, а также будет содействовать эффективному процессу принятия решений. Состав и функции такого Координационного совета будут определены по согласованию с АБР и другими вовлеченными сторонами.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4.2. Правительство создаст группы реализации с участием соответствующих министерств/агентств, которые будут координировать реализацию своих соответствующих программ по развитию. Состав групп будет определен по согласованию с АБР и другими вовлеченными сторонами.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4.3. Правительство и АБР будут прилагать совместные усилия по мониторингу реализации проектов и программ, предусмотренных в рамках настоящего Рамочного соглашения о партнерстве, и будут своевременно решать вопросы, связанные с реализацией, с целью достижения целей развития.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5. Другие положения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5.1. Настоящее Рамочное соглашение о партнерстве вступает в силу с момента его подписания Правительством и АБР. Рамочное соглашение о партнерстве может быть расторгнуто либо Правительством, либо АБР посредством направления письменного уведомления другой Стороне.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5.2. Правительство и АБР признают, что ничто в данном Рамочном соглашении о партнерстве не дает никаких законных прав, не налагает никаких юридических, финансовых или политических обязательств со стороны Правительства или АБР. В соответствии с административным характером настоящего Рамочного соглашении о партнерстве, ни одно из положений настоящего документа не будет истолковываться вмешательством в независимый процесс принятия решений Правительством или АБР. Ничто в настоящем Рамочном соглашении о партнерстве не предназначено, чтобы быть, или будет истолковано как отказ от привилегий, льгот и иммунитетов АБР, привилегии, льготы и иммунитеты которого настоящим специально защищены.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5.3. При реализации программ развития, упомянутых в </w:t>
      </w:r>
      <w:r>
        <w:rPr>
          <w:rFonts w:ascii="Times New Roman"/>
          <w:b w:val="false"/>
          <w:i w:val="false"/>
          <w:color w:val="000000"/>
          <w:sz w:val="28"/>
        </w:rPr>
        <w:t>пункте 2.2.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Рамочного соглашения о партнерстве, Правительство и АБР будут поддерживать широкое сотрудничество с другими партнерами по развитию и вовлеченными сторонами.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5.4. Правительство и АБР заключили настоящее Рамочное соглашение о партнерстве в городе Астане (Республика Казахстан) __________ 2014 года в двух подлинных экземплярах на казахском, русском и английском языках, при этом вариант на английском языке имеет преимущественную силу.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317"/>
        <w:gridCol w:w="6683"/>
      </w:tblGrid>
      <w:tr>
        <w:trPr>
          <w:trHeight w:val="30" w:hRule="atLeast"/>
        </w:trPr>
        <w:tc>
          <w:tcPr>
            <w:tcW w:w="63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6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Азиатский Банк Развития</w:t>
            </w:r>
          </w:p>
        </w:tc>
      </w:tr>
      <w:tr>
        <w:trPr>
          <w:trHeight w:val="30" w:hRule="atLeast"/>
        </w:trPr>
        <w:tc>
          <w:tcPr>
            <w:tcW w:w="63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Далее следует текст Соглашения на английском языке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