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5d6" w14:textId="978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перечня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перечня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перечня компетентных государственных органов по</w:t>
      </w:r>
      <w:r>
        <w:br/>
      </w:r>
      <w:r>
        <w:rPr>
          <w:rFonts w:ascii="Times New Roman"/>
          <w:b/>
          <w:i w:val="false"/>
          <w:color w:val="000000"/>
        </w:rPr>
        <w:t>
Договору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 противодействии легализации (отмыванию) преступных</w:t>
      </w:r>
      <w:r>
        <w:br/>
      </w:r>
      <w:r>
        <w:rPr>
          <w:rFonts w:ascii="Times New Roman"/>
          <w:b/>
          <w:i w:val="false"/>
          <w:color w:val="000000"/>
        </w:rPr>
        <w:t>
доходов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 противодействии легализации (отмыванию) преступных доходов и финансированию терроризма, ратифицированного Законом Республики Казахстан от 29 марта 2011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об утверждении и в течение одного месяца уведомлять об изменениях перечня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компетентных государственных органов по Договору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 о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противодействии легализации (отмыванию) преступных доходов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Министерство финансов Республики Казахстан –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Республики Казахстан по борьбе с экономической и коррупционной преступностью (финансовая полиция)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