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1c8d7" w14:textId="6e1c8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30 апреля 2011 года № 473 "Об утверждении Программы модернизации жилищно-коммунального хозяйства Республики Казахстан на 2011 - 2020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апреля 2014 года № 410. Утратило силу постановлением Правительства Республики Казахстан от 28 июня 2014 года № 728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28.06.2014 </w:t>
      </w:r>
      <w:r>
        <w:rPr>
          <w:rFonts w:ascii="Times New Roman"/>
          <w:b w:val="false"/>
          <w:i w:val="false"/>
          <w:color w:val="ff0000"/>
          <w:sz w:val="28"/>
        </w:rPr>
        <w:t>№ 728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апреля 2011 года № 473 «Об утверждении Программы модернизации жилищно-коммунального хозяйства Республики Казахстан на 2011 – 2020 годы»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Программе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модернизации жилищно-коммунального хозяйства Республики Казахстан на 2011 – 2020 годы, утвержденной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3</w:t>
      </w:r>
      <w:r>
        <w:rPr>
          <w:rFonts w:ascii="Times New Roman"/>
          <w:b w:val="false"/>
          <w:i w:val="false"/>
          <w:color w:val="000000"/>
          <w:sz w:val="28"/>
        </w:rPr>
        <w:t xml:space="preserve"> «Анализ текущей ситуации»: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подразделе 2</w:t>
      </w:r>
      <w:r>
        <w:rPr>
          <w:rFonts w:ascii="Times New Roman"/>
          <w:b w:val="false"/>
          <w:i w:val="false"/>
          <w:color w:val="000000"/>
          <w:sz w:val="28"/>
        </w:rPr>
        <w:t xml:space="preserve"> «Состояние коммунальной инфраструктуры»: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«Электроснабжение» часть первую изложить в следущей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 сфере электроснабжения самая высокая по всему коммунальному сектору доля сетей, требующих ремонта. Так, при общей протяженности электрических сетей 0,4 кВ по республике 133,6 тыс. км, требуют ремонта – 73 % или 97,5 тыс. км. Кроме того, требуется ремонт трансформаторных подстанций 10/0,4 кВ, внутридомовых распределительных устройств и сетей.»;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4</w:t>
      </w:r>
      <w:r>
        <w:rPr>
          <w:rFonts w:ascii="Times New Roman"/>
          <w:b w:val="false"/>
          <w:i w:val="false"/>
          <w:color w:val="000000"/>
          <w:sz w:val="28"/>
        </w:rPr>
        <w:t xml:space="preserve"> «Цель, задачи, целевые индикаторы и показатели результатов реализации Программы» в Задаче 1 «Создание оптимальной жилищной модели»: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78"/>
        <w:gridCol w:w="905"/>
        <w:gridCol w:w="1024"/>
        <w:gridCol w:w="965"/>
        <w:gridCol w:w="965"/>
        <w:gridCol w:w="1122"/>
        <w:gridCol w:w="1123"/>
        <w:gridCol w:w="1123"/>
        <w:gridCol w:w="965"/>
        <w:gridCol w:w="965"/>
        <w:gridCol w:w="965"/>
      </w:tblGrid>
      <w:tr>
        <w:trPr>
          <w:trHeight w:val="1065" w:hRule="atLeast"/>
        </w:trPr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объектов кондоминиума, требующих капитального ремонта, снизится от 32 % в 2010 году до 22 % к 2015 году, %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1425" w:hRule="atLeast"/>
        </w:trPr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объектов кондоминиума, самостоятельно обеспечивающих нормативную эксплуатацию жилого фонда, %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</w:tr>
    </w:tbl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74"/>
        <w:gridCol w:w="904"/>
        <w:gridCol w:w="1022"/>
        <w:gridCol w:w="963"/>
        <w:gridCol w:w="963"/>
        <w:gridCol w:w="1121"/>
        <w:gridCol w:w="1121"/>
        <w:gridCol w:w="1121"/>
        <w:gridCol w:w="964"/>
        <w:gridCol w:w="964"/>
        <w:gridCol w:w="983"/>
      </w:tblGrid>
      <w:tr>
        <w:trPr>
          <w:trHeight w:val="2715" w:hRule="atLeast"/>
        </w:trPr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объектов кондоминиума, требующих капитального ремонта, снизится от 32 % в 2010 году до 22 % к 2015 году, %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840" w:hRule="atLeast"/>
        </w:trPr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объектов кондоминиума, самостоятельно обеспечивающих нормативную эксплуатацию жилого фонда, %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</w:tr>
    </w:tbl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5</w:t>
      </w:r>
      <w:r>
        <w:rPr>
          <w:rFonts w:ascii="Times New Roman"/>
          <w:b w:val="false"/>
          <w:i w:val="false"/>
          <w:color w:val="000000"/>
          <w:sz w:val="28"/>
        </w:rPr>
        <w:t xml:space="preserve"> «Этапы реализации Программы»: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подразделе 5.1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«Обеспечение содержания жилищного фонда»: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восьмую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«Ремонт общего имущества объектов кондоминиума включает в себя элементы термомодернизации – вида строительных работ по улучшению теплотехнических характеристик ограждающих конструкций зданий.»;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частями девятой, десятой и одиннадцатой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«Работы по термомодернизации имеют два вида: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минимальный вид работ – это ремонт (утепление) кровли, подъезда и подвала жилого дома;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максимальный вид работ – это ремонт (утепление) кровли, подъезда, подвала, фасада, ремонта лифта (при наличии).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Исключением из вышеизложенного является проведение ремонта подвала (включая инженерные сети) при условии, что в проведении ремонта кровли, фасада и подъезда, дом не нуждается.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комплексе работ по термомодернизации здания устанавливаются автоматизированные системы регулирования теплопотребления и общедомовые приборы учета тепловой энергии, финансирование которых будет производиться за счет средств республиканского бюджета»;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«</w:t>
      </w:r>
      <w:r>
        <w:rPr>
          <w:rFonts w:ascii="Times New Roman"/>
          <w:b w:val="false"/>
          <w:i w:val="false"/>
          <w:color w:val="000000"/>
          <w:sz w:val="28"/>
        </w:rPr>
        <w:t>механизме 2</w:t>
      </w:r>
      <w:r>
        <w:rPr>
          <w:rFonts w:ascii="Times New Roman"/>
          <w:b w:val="false"/>
          <w:i w:val="false"/>
          <w:color w:val="000000"/>
          <w:sz w:val="28"/>
        </w:rPr>
        <w:t>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восемнадцатую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части двадцать шестую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двадцать седьмую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«Специализированная уполномоченная организация производит ремонт общего имущества с возможностью привлечения субподрядчиков.»;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двадцать девятую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«Эти средства орган управления объектом кондоминиума использует для оплаты ремонтных работ, выполненных специализированной уполномоченной организацией.»;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тридцать третью и тридцать четвертую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части тридцать девятой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4) части сороковой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«4) организует разработку ПСД и проведение ее экспертизы в соответствии с законодательством Республики Казахстан;»;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части сорок первой: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подпункты 2), 3) и 4)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«7) утверждает сумму расходов на ремонт общего имущества объекта кондоминиума, возлагаемую на каждую квартиру (помещение), которая определяется отношением полезной площади жилых и (или) нежилых площадей, находящейся в индивидуальной (раздельной) собственности, к сумме полезных площадей всех жилых и площадей всех нежилых помещений, находящихся в данном объекте кондоминиума;»;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подразделом 5.3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«5.3 «Реформирование и развитие сектора эксплуатации котельных до 100 Гкал/час»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сегодняшний день большинство объектов коммунальной инфраструктуры вводились в эксплуатацию в период с 1970-х по 1980-е годы, и срок их эксплуатации, к тому же скорректированный в сторону сокращения объективными природными и субъективными техногенными факторами, давно истек. Необходимо отметить, что за годы, прошедшие со времен строительства большей части инженерных коммуникаций, города существенно расширили свои границы, и мощностей, заложенных проектировщиками, физически не хватает на обеспечение жизнедеятельности новых мегаполисов.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основании статистических данных, в республике годовая выработка тепловой энергии всеми источниками составляет 82 млн. Гкал, из них 25 млн. Гкал или 29 % произведено котельными до 100 Гкал/час (далее – котельные). При этом на 1 августа 2013 года по данным акиматов, общее количество котельных по республике составляет 5 646 единиц. Из них по мощности котельные распределены следующим образом: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до 1 Гкал/час – 4 754 ед. (84 %);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 1 до 10 Гкал/час – 779 ед. (14 %);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свыше 10 Гкал/час – 113 ед. (2 %).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виду топлива котельные распределены следующим образом: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твердом топливе – 3 202 ед. (59 %);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газе – 1 623 ед. (27 %);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 мазуте – 663 ед. (11 %);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 электричестве – 158 ед. (3 %).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Двумя основными проблемами котельных является их низкая энергоэффективность, связанная с высокой степенью износа и устаревшими технологиями, и негативное влияние на экологию. В среднем износ котельных составляет порядка 41 %, а в некоторых случаях достигает 100 %.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среднем по республике, согласно статистическим данным, ежегодные потери тепловой энергии составляют 10,7 млн. Гкал, из них потери тепловой энергии по котельным достигают порядка 3 млн. Гкал в год, что составляет около 9 млрд. тенге при средней стоимости 3000 тг./Гкал.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Меры для решения проблем котельных можно разделить на три основные группы: организационные, технологические и экологические. В результате реализации данных мер повысится эффективность вложения бюджетных средств, энергопотребление снизится на 10 %, экономия средств составит 41 млрд. тенге ежегодно.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Организационные проблемы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Запрос информации от регионов показал, что при эксплуатации котельных грубо нарушаются следующие технико-экономические нормы: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отсутствуют технические паспорта;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 ведется учет основных параметров (частота и уровень аварийности, коэффициент полезного действия (далее – КПД), предельно допустимые выбросы вредных газов в атмосферу);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отсутствуют приборы учета (датчики аварийности, газоанализаторы), химводоподготовка.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Одной из основных причин грубого нарушения технико-экономических норм является дефицит специализированных организаций по контролю за технологическими режимами работы систем теплоснабжения и проведению комплексной наладки режимов работы системы теплоснабжения.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этой части будут созданы управляющие компании по источникам теплоснабжения до 100 Гкал/ч, в том числе для объектов образования, здравоохранения и культуры, будет проведено комплексное техническое обследование котельных. Данная мера позволит выстроить схему по контролю, управлению, мониторингу работы сектора котельных с внедрением передовых технологий для качественой работы оборудования и автоматизированой передачи данных.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Технологические проблемы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Среди технологических проблем целесообразно выделить следующие: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изношенные котельные и устаревшие технологии;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отсутствие химводоподготовки;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неэффективное использование топлива.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котельных в основном используются устаревшие энергонеэффективные котлы прошлого века (таких марок, как НР, КСТ, Е и др). Средний КПД котельных составляет около 40 %.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решения данной проблемы будет производена замена устаревших и отработавших свой ресурс котлов на новые современные котлы. В этом направлении разрабатывается программный документ, в котором будут учитываться затраты на реформирование сектора теплоснабжения в целом, в том числе, и на модернизацию котельных. При этом предпочтение будет отдаваться следующим технологиям: котлы с кипящим слоем, котлы с многоходовым контуром. Это обеспечит увеличение КПД котлов от 85 %, продлит срок службы, снизит сжигание угля на 40 %, сократит выбросы вредных веществ в атмосферу, снизит эксплуатационные затраты.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Так, при замене газового котла ДКВР, с присоединенной мощностью 2,5 Гкал/час и КПД 30 % на новый котел, с КПД 92 %, годовой расход газа сокращается на 66 % с 2,6 млн. куб.м. до 884 тыс. куб.м. Экономия топлива за год на один котел составляет 26 млн. тенге. В результате себестоимость выработанной тепловой энергии снижается с 7 752 тг./Гкал до 2 736 тг./Гкал. С учетом стоимости оборудования в 37,8 млн. тенге, срок окупаемости проекта составляет 1 год и 3 месяца.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Повышение КПД котлов до 80-90 % позволит в перспективе сэкономить порядка 11,2 млрд. тенге в год только на топливе. При использовании данной меры, снижение потребления топлива составляет 40 % или около 2,5 млн. тонн, что при стоимости в среднем 4,5 тыс. тенге за тонну дает экономию в 11,2 млрд. тенге. Также при замене котельных будет рассматриваться вопрос установки блочно-модульных котельных (БМК) на угле мощностью до 5-10 Гкал/ч. Основными преимуществами БМК являются незначительный срок и стоимость монтажа, компактность, высокий КПД котлов и автоматизированное управление. На содержании персонала ежемесячно будет сэкономлено 24,5 млн. тенге из расчета установки БМК вместо действующих котельных свыше 5 Гкал/час. В итоге стоимость выработки тепловой энергии будет снижена почти в 2 раза.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Другим вариантом решения проблемы в регионах с достаточным запасом газа является установка современных когенерационных систем, которые преимущественно используют газ как топливо. Среди положительных эффектов следует отметить минимальный срок монтажа, компактность установки, низкую себестоимость производства тепла и электроэнергии (расход газа менее 0,3 куб.м на 1 кВт/час, межремонтный ресурс установок около 60 тыс. часов). Система обеспечивает собственные потребности в электроэнергии, и подача электроэнергии со стороны не влияет на ход технологического процесса и стоимость тарифа на тепло.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Кроме того, в этом направлении рассматривается вопрос об использовании опыта Дании по решению вопросов теплоснабжения, которая признана как эталонная система. Реформирование теплоснабжения в Дании демонстрирует эффективность комплексного подхода, как активное использование комбинированной выработки тепловой и электрической энергии. При этом работают от нескольких энергоисточников: угольные, газовые или мультитопливные ТЭЦ, мусоросжигательные заводы, мини-ТЭЦ, работающие на биомассе и др.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котельных будет вестись целенаправленная работа по обеспечению химводоподготовки, что позволит использовать очищенную воду, удовлетворяющую техническим характеристикам котлоагрегатов. На текущий момент по республике оборудования по химводоподготовке не имеют 90 % котельных. В результате требуется выделение дополнительных средств на их ремонт и модернизацию котлов и тепловых сетей из-за снижения их срока службы.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Экономия от установки систем химводоподготовки в денежном выражении составит порядка 41 млрд. тенге за 15 лет. Так, при замене котла стоимостью 2,5 млн. тенге каждые 3 года затраты составят 12,5 млн.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Стоимость оборудования химводоподготовки составляет в среднем 1,5 млн. тенге, а эксплуатационные расходы достигают также 1,5 млн. тенге, что суммарно составляет 3 млн. тенге. В итоге, экономия составит 9,5 млн. тенге в расчете на одну котельную. При расчете экономии для всех котельных, не имеющих химводоподготовку (4 278 ед.), итоговая сумма составит до 41 млрд.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республике наиболее дешевым и выгодным видом топлива является уголь. Так же следует отметить проблемы с доставкой угля, которая осуществляется различными организациями, подчас пренебрегающими вопросами качества. В то же время, из-за применения низкокачественного угля ежегодно теряется порядка 3,6 млрд. тенге. Следовательно, необходимо обеспечить поставку на теплоисточники угля с калорийностью не менее 4-5 тыс. ккал/кг.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Кроме того, при анализе топливообеспечения котельных целесообразно рассмотреть возможность использования брикетированного угля, концентрата, обогащенного угля. Ориентировочная стоимость завода по производству 1 млн. тонн брикетов составляет 50 млн. евро. При этом ежегодная экономия затрат на топливо составляет 1,9 млрд. тенге. К тому же, при применении брикетированного угля или установке котлов с кипящим слоем потребность в золоотвалах существенно сокращается.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результате использования качественного угля улучшается производительность котельных, уменьшаются выбросы вредных веществ в атмосферу.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Дополнительной возможностью улучшения топливообеспечения является использование газа в качестве топлива, при его наличии в регионе в достаточном количестве. В частности, возможно использование газа при поквартирном теплоснабжении в многоквартирных жилых домах. В этом направлении активно ведется работа в России, в частности, в Татарстане. В случае внедрения вышеуказанного опыта отпадет необходимость строительства централизованных котельных и подведения сетей теплоснабжения к новым объектам застройки. Для эксплуатации установленного оборудования необходимы будут только газ и вода.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Однако, следует отметить две проблемы: стоимость газа и приведение в соответствие нормативно-правовой базы.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Экологические проблемы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Учитывая высокую зольность используемого угля, нехватка мощностей золоотвалов приводит к возникновению экологических проблем. Затраты на строительство одного золоотвала на 10 лет составляют около 2 млрд. тенге. Например, ГКП «Кокшетау жылу» использует золоотвал на 1,85 млн. куб. Затраты на его строительство составили 1,8 млрд. тенге. При использовании экибастузского угля с ежегодным выходом шлака в количестве 132 тыс. тонн, данный золоотвал обеспечит прием золы в течение 10 лет.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Кроме того, в этой части будут рассматриваться технологические методы и технические решения по установке и малозатратной модернизации оборудования (электрофильтров, золоудаления и т.д.) в условиях действующих котельных. При этом будет предупреждаться эксплуатация не отвечающих санитарным нормам устройств и производится наложение штрафных санкций.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целом все вышеуказанные меры позволят: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эффективно вкладывать бюджетные средства;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снизить энергопотребление на котельных до 10 %;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сэкономить бюджетные средства примерно на сумму 41 млрд. тенге ежегодно.».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Раздел 7</w:t>
      </w:r>
      <w:r>
        <w:rPr>
          <w:rFonts w:ascii="Times New Roman"/>
          <w:b w:val="false"/>
          <w:i w:val="false"/>
          <w:color w:val="000000"/>
          <w:sz w:val="28"/>
        </w:rPr>
        <w:t xml:space="preserve"> «Плана мероприятий по реализации Программы модернизации жилищно-коммунального хозяйства Республики Казахстан на 2011 – 2020 годы»: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10.1 и 10.2,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8"/>
        <w:gridCol w:w="2351"/>
        <w:gridCol w:w="1936"/>
        <w:gridCol w:w="2351"/>
        <w:gridCol w:w="1798"/>
        <w:gridCol w:w="1106"/>
        <w:gridCol w:w="415"/>
        <w:gridCol w:w="415"/>
        <w:gridCol w:w="415"/>
        <w:gridCol w:w="830"/>
        <w:gridCol w:w="415"/>
      </w:tblGrid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управляющей компании по котельным до 100 Гкал/час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акиматов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акиматы областей, городов Астаны и Алматы 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10.2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Установка тепловых счетчиков в жилых домах 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о количестве установленных счетчиков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«Фонд развития ЖКХ» (по согласованию), акиматы областей, городов Астаны и Алматы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