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d14f" w14:textId="101d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программно-целевом финансировании вне конкурсных процедур на 2014 - 2016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2014 года № 357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февраля 2011 года «О науке»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программно-целевое финансирование вне конкурсных процедур на 2014 – 2016 годы из республиканского бюджета осуществляется по научно-техническим программам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апреля 2014 года № 357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Научно-технические программы, программно-целевое финансирование</w:t>
      </w:r>
      <w:r>
        <w:br/>
      </w:r>
      <w:r>
        <w:rPr>
          <w:rFonts w:ascii="Times New Roman"/>
          <w:b/>
          <w:i w:val="false"/>
          <w:color w:val="000000"/>
        </w:rPr>
        <w:t>
которых осуществляется из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
вне конкурсных процедур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здравоохранения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прикладные научные исследования в области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экологические риски и здоровье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новых технологий охраны здоровья детей и репродуктивного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комплексные подходы в управлении состоянием здоровья населения Приаралья.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