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5001" w14:textId="07f5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(Проект институционального укрепления сектора правосудия)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10 апреля 2014 года № 337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(Проект институционального укрепления сектора правосудия) между Республикой Казахстан и Международным Банком Реконструкции и Развития».</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подписании Соглашения о займе (Проект институционального</w:t>
      </w:r>
      <w:r>
        <w:br/>
      </w:r>
      <w:r>
        <w:rPr>
          <w:rFonts w:ascii="Times New Roman"/>
          <w:b/>
          <w:i w:val="false"/>
          <w:color w:val="000000"/>
        </w:rPr>
        <w:t>
укрепления сектора правосудия) между Республикой Казахстан и</w:t>
      </w:r>
      <w:r>
        <w:br/>
      </w:r>
      <w:r>
        <w:rPr>
          <w:rFonts w:ascii="Times New Roman"/>
          <w:b/>
          <w:i w:val="false"/>
          <w:color w:val="000000"/>
        </w:rPr>
        <w:t>
Международным Банком Реконструкции и Развития</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xml:space="preserve">
      1. Одобрить прилагаемый проект Соглашения о займе (Проект институционального укрепления сектора правосудия) между Республикой Казахстан и Международным Банком Реконструкции и Развития. </w:t>
      </w:r>
      <w:r>
        <w:br/>
      </w:r>
      <w:r>
        <w:rPr>
          <w:rFonts w:ascii="Times New Roman"/>
          <w:b w:val="false"/>
          <w:i w:val="false"/>
          <w:color w:val="000000"/>
          <w:sz w:val="28"/>
        </w:rPr>
        <w:t>
      2. Уполномочить Заместителя Премьер-Министра Республики Казахстан – Министра финансов Республики Казахстан Султанова Бахыта Турлыхановича подписать от имени Республики Казахстан Соглашение о займе (Проект институционального укрепления сектора правосудия) между Республикой Казахстан и Международным Банком Реконструкции и Развития.</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Н.Назарбаев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2014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(Проект институционального укрепления сектора правосудия) между</w:t>
      </w:r>
      <w:r>
        <w:br/>
      </w:r>
      <w:r>
        <w:rPr>
          <w:rFonts w:ascii="Times New Roman"/>
          <w:b/>
          <w:i w:val="false"/>
          <w:color w:val="000000"/>
        </w:rPr>
        <w:t>
Республикой Казахстан и Международным Банком</w:t>
      </w:r>
      <w:r>
        <w:br/>
      </w:r>
      <w:r>
        <w:rPr>
          <w:rFonts w:ascii="Times New Roman"/>
          <w:b/>
          <w:i w:val="false"/>
          <w:color w:val="000000"/>
        </w:rPr>
        <w:t>
Реконструкции и Развития</w:t>
      </w:r>
    </w:p>
    <w:p>
      <w:pPr>
        <w:spacing w:after="0"/>
        <w:ind w:left="0"/>
        <w:jc w:val="both"/>
      </w:pPr>
      <w:r>
        <w:rPr>
          <w:rFonts w:ascii="Times New Roman"/>
          <w:b w:val="false"/>
          <w:i w:val="false"/>
          <w:color w:val="000000"/>
          <w:sz w:val="28"/>
        </w:rPr>
        <w:t>      Соглашение от ____________________ 2014 года между Республикой Казахстан («Заемщик») и МЕЖДУНАРОДНЫМ БАНКОМ РЕКОНСТРУКЦИИ И РАЗВИТИЯ («Банк»). Настоящим Заемщик и Банк договорились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xml:space="preserve">      1.01. Общие Условия (определенные в Приложении к настоящему Соглашению) являются неотъемлемой частью настоящего Соглашения. </w:t>
      </w:r>
      <w:r>
        <w:br/>
      </w:r>
      <w:r>
        <w:rPr>
          <w:rFonts w:ascii="Times New Roman"/>
          <w:b w:val="false"/>
          <w:i w:val="false"/>
          <w:color w:val="000000"/>
          <w:sz w:val="28"/>
        </w:rPr>
        <w:t>
      1.02. Если из контекста не следует иное, то используемые в настоящем Соглашении термины, начинающиеся с заглавных букв, имеют значения, закрепленные за ними в Общих Условиях или в Приложении к настоящему Соглашению.</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2.01. Банк соглашается предоставить Заемщику сумму, равную тридцати шести миллионам долларов США (36 000 000 долларов США), которая может периодически конвертироваться посредством конвертации валют в соответствии с положениями Раздела 2.07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Дополнении 1 к настоящему Соглашению («Проект»).</w:t>
      </w:r>
      <w:r>
        <w:br/>
      </w:r>
      <w:r>
        <w:rPr>
          <w:rFonts w:ascii="Times New Roman"/>
          <w:b w:val="false"/>
          <w:i w:val="false"/>
          <w:color w:val="000000"/>
          <w:sz w:val="28"/>
        </w:rPr>
        <w:t>
      2.02. Заемщик вправе снимать средства Займа в соответствии с Разделом IV Дополнения 2 к настоящему Соглашению.</w:t>
      </w:r>
      <w:r>
        <w:br/>
      </w: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чем через 60 дней после даты вступления настоящего Соглашения в силу.</w:t>
      </w:r>
      <w:r>
        <w:br/>
      </w:r>
      <w:r>
        <w:rPr>
          <w:rFonts w:ascii="Times New Roman"/>
          <w:b w:val="false"/>
          <w:i w:val="false"/>
          <w:color w:val="000000"/>
          <w:sz w:val="28"/>
        </w:rPr>
        <w:t>
      2.04. Проценты, подлежащие уплате Заемщиком за каждый процентный период, будут начисляться по ставке, равной референтной ставке для валюты Займа плюс переменный спред;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в таком случае рассчитывается в соответствии с положениями Раздела 3.02 (е) Общих Условий.</w:t>
      </w:r>
      <w:r>
        <w:br/>
      </w:r>
      <w:r>
        <w:rPr>
          <w:rFonts w:ascii="Times New Roman"/>
          <w:b w:val="false"/>
          <w:i w:val="false"/>
          <w:color w:val="000000"/>
          <w:sz w:val="28"/>
        </w:rPr>
        <w:t>
      2.05. Датами платежей являются 15 марта и 15 сентября каждого года.</w:t>
      </w:r>
      <w:r>
        <w:br/>
      </w:r>
      <w:r>
        <w:rPr>
          <w:rFonts w:ascii="Times New Roman"/>
          <w:b w:val="false"/>
          <w:i w:val="false"/>
          <w:color w:val="000000"/>
          <w:sz w:val="28"/>
        </w:rPr>
        <w:t>
      2.06. Основная сумма Займа погашается в соответствии с графиком погашения, приведенным в Дополнении 3 к настоящему Соглашению.</w:t>
      </w:r>
      <w:r>
        <w:br/>
      </w:r>
      <w:r>
        <w:rPr>
          <w:rFonts w:ascii="Times New Roman"/>
          <w:b w:val="false"/>
          <w:i w:val="false"/>
          <w:color w:val="000000"/>
          <w:sz w:val="28"/>
        </w:rPr>
        <w:t xml:space="preserve">
      2.07. (a) Заемщик может в любое время запросить произвести любое из следующих конверсий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(A) ко всей или к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 </w:t>
      </w:r>
      <w:r>
        <w:br/>
      </w:r>
      <w:r>
        <w:rPr>
          <w:rFonts w:ascii="Times New Roman"/>
          <w:b w:val="false"/>
          <w:i w:val="false"/>
          <w:color w:val="000000"/>
          <w:sz w:val="28"/>
        </w:rPr>
        <w:t>
      (b) Любое изменение, запрошенное в соответствии с пунктом (a) настоящего раздела,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3.01. Заемщик заявляет о своей приверженности целям Проекта. С этой целью Заемщик реализует Проект через Министерство юстиции в соответствии с положениями Статьи V Общих Условий.</w:t>
      </w:r>
      <w:r>
        <w:br/>
      </w:r>
      <w:r>
        <w:rPr>
          <w:rFonts w:ascii="Times New Roman"/>
          <w:b w:val="false"/>
          <w:i w:val="false"/>
          <w:color w:val="000000"/>
          <w:sz w:val="28"/>
        </w:rPr>
        <w:t xml:space="preserve">
      3.02. Без ограничения для положений раздела 3.01 настоящего Соглашения, если иное не согласовано между Заемщиком и Банком, Заемщик обеспечивает реализацию Проекта в соответствии с положениями Дополнения 2 к настоящему Соглашению. </w:t>
      </w:r>
    </w:p>
    <w:p>
      <w:pPr>
        <w:spacing w:after="0"/>
        <w:ind w:left="0"/>
        <w:jc w:val="left"/>
      </w:pPr>
      <w:r>
        <w:rPr>
          <w:rFonts w:ascii="Times New Roman"/>
          <w:b/>
          <w:i w:val="false"/>
          <w:color w:val="000000"/>
        </w:rPr>
        <w:t xml:space="preserve"> СТАТЬЯ IV – ВСТУПЛЕНИЕ В СИЛУ; ПРЕКРАЩЕНИЕ ДЕЙСТВИЯ</w:t>
      </w:r>
    </w:p>
    <w:p>
      <w:pPr>
        <w:spacing w:after="0"/>
        <w:ind w:left="0"/>
        <w:jc w:val="both"/>
      </w:pPr>
      <w:r>
        <w:rPr>
          <w:rFonts w:ascii="Times New Roman"/>
          <w:b w:val="false"/>
          <w:i w:val="false"/>
          <w:color w:val="000000"/>
          <w:sz w:val="28"/>
        </w:rPr>
        <w:t>      4.01. Дополнительными условиями вступления в силу являются следующие:</w:t>
      </w:r>
      <w:r>
        <w:br/>
      </w:r>
      <w:r>
        <w:rPr>
          <w:rFonts w:ascii="Times New Roman"/>
          <w:b w:val="false"/>
          <w:i w:val="false"/>
          <w:color w:val="000000"/>
          <w:sz w:val="28"/>
        </w:rPr>
        <w:t>
      (a) Министерство юстиции сформирует ГРП с техническим заданием, персоналом и ресурсами, удовлетворительными для Банка;</w:t>
      </w:r>
      <w:r>
        <w:br/>
      </w:r>
      <w:r>
        <w:rPr>
          <w:rFonts w:ascii="Times New Roman"/>
          <w:b w:val="false"/>
          <w:i w:val="false"/>
          <w:color w:val="000000"/>
          <w:sz w:val="28"/>
        </w:rPr>
        <w:t>
      (b) Заемщик через Министерство юстиции отберет Группу по поддержке реализации, которая войдет в состав ГРП; и</w:t>
      </w:r>
      <w:r>
        <w:br/>
      </w:r>
      <w:r>
        <w:rPr>
          <w:rFonts w:ascii="Times New Roman"/>
          <w:b w:val="false"/>
          <w:i w:val="false"/>
          <w:color w:val="000000"/>
          <w:sz w:val="28"/>
        </w:rPr>
        <w:t>
      (c) Заемщик через Министерство юстиции примет Руководство по реализации проекта, которое по форме и по сути является удовлетворительным для Банка.</w:t>
      </w:r>
      <w:r>
        <w:br/>
      </w:r>
      <w:r>
        <w:rPr>
          <w:rFonts w:ascii="Times New Roman"/>
          <w:b w:val="false"/>
          <w:i w:val="false"/>
          <w:color w:val="000000"/>
          <w:sz w:val="28"/>
        </w:rPr>
        <w:t>
      4.02. Последним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p>
      <w:pPr>
        <w:spacing w:after="0"/>
        <w:ind w:left="0"/>
        <w:jc w:val="left"/>
      </w:pPr>
      <w:r>
        <w:rPr>
          <w:rFonts w:ascii="Times New Roman"/>
          <w:b/>
          <w:i w:val="false"/>
          <w:color w:val="000000"/>
        </w:rPr>
        <w:t xml:space="preserve"> СТАТЬЯ V - ПРЕДСТАВИТЕЛЬ; АДРЕСА</w:t>
      </w:r>
    </w:p>
    <w:p>
      <w:pPr>
        <w:spacing w:after="0"/>
        <w:ind w:left="0"/>
        <w:jc w:val="both"/>
      </w:pPr>
      <w:r>
        <w:rPr>
          <w:rFonts w:ascii="Times New Roman"/>
          <w:b w:val="false"/>
          <w:i w:val="false"/>
          <w:color w:val="000000"/>
          <w:sz w:val="28"/>
        </w:rPr>
        <w:t>      5.01. Представителем Заемщика является Министр финансов.</w:t>
      </w:r>
      <w:r>
        <w:br/>
      </w:r>
      <w:r>
        <w:rPr>
          <w:rFonts w:ascii="Times New Roman"/>
          <w:b w:val="false"/>
          <w:i w:val="false"/>
          <w:color w:val="000000"/>
          <w:sz w:val="28"/>
        </w:rPr>
        <w:t xml:space="preserve">
      5.02. Адрес Заемщика: </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xml:space="preserve">      Телекс: Факс: </w:t>
      </w:r>
      <w:r>
        <w:br/>
      </w:r>
      <w:r>
        <w:rPr>
          <w:rFonts w:ascii="Times New Roman"/>
          <w:b w:val="false"/>
          <w:i w:val="false"/>
          <w:color w:val="000000"/>
          <w:sz w:val="28"/>
        </w:rPr>
        <w:t>
      265126 (FILIN) (7) (7172) 717785</w:t>
      </w:r>
    </w:p>
    <w:p>
      <w:pPr>
        <w:spacing w:after="0"/>
        <w:ind w:left="0"/>
        <w:jc w:val="both"/>
      </w:pPr>
      <w:r>
        <w:rPr>
          <w:rFonts w:ascii="Times New Roman"/>
          <w:b w:val="false"/>
          <w:i w:val="false"/>
          <w:color w:val="000000"/>
          <w:sz w:val="28"/>
        </w:rPr>
        <w:t xml:space="preserve">      5.03. Адрес Банка: </w:t>
      </w:r>
    </w:p>
    <w:p>
      <w:pPr>
        <w:spacing w:after="0"/>
        <w:ind w:left="0"/>
        <w:jc w:val="both"/>
      </w:pP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xml:space="preserve">
      Улица 1818 H, N.W. </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Соединенные Штаты Америки</w:t>
      </w:r>
    </w:p>
    <w:p>
      <w:pPr>
        <w:spacing w:after="0"/>
        <w:ind w:left="0"/>
        <w:jc w:val="both"/>
      </w:pPr>
      <w:r>
        <w:rPr>
          <w:rFonts w:ascii="Times New Roman"/>
          <w:b w:val="false"/>
          <w:i w:val="false"/>
          <w:color w:val="000000"/>
          <w:sz w:val="28"/>
        </w:rPr>
        <w:t xml:space="preserve">      Телеграфный адрес:        Телекс:               Факс: </w:t>
      </w:r>
      <w:r>
        <w:br/>
      </w:r>
      <w:r>
        <w:rPr>
          <w:rFonts w:ascii="Times New Roman"/>
          <w:b w:val="false"/>
          <w:i w:val="false"/>
          <w:color w:val="000000"/>
          <w:sz w:val="28"/>
        </w:rPr>
        <w:t>
      INTBAFRAD                 248423(MCI) или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в ______________, ________________, в день и год, указанные выше.</w:t>
      </w:r>
    </w:p>
    <w:p>
      <w:pPr>
        <w:spacing w:after="0"/>
        <w:ind w:left="0"/>
        <w:jc w:val="both"/>
      </w:pPr>
      <w:r>
        <w:rPr>
          <w:rFonts w:ascii="Times New Roman"/>
          <w:b w:val="false"/>
          <w:i w:val="false"/>
          <w:color w:val="000000"/>
          <w:sz w:val="28"/>
        </w:rPr>
        <w:t xml:space="preserve">      За РЕСПУБЛИКУ КАЗАХСТАН               </w:t>
      </w:r>
    </w:p>
    <w:p>
      <w:pPr>
        <w:spacing w:after="0"/>
        <w:ind w:left="0"/>
        <w:jc w:val="both"/>
      </w:pPr>
      <w:r>
        <w:rPr>
          <w:rFonts w:ascii="Times New Roman"/>
          <w:b w:val="false"/>
          <w:i w:val="false"/>
          <w:color w:val="000000"/>
          <w:sz w:val="28"/>
        </w:rPr>
        <w:t xml:space="preserve">      Кем:                                  </w:t>
      </w:r>
      <w:r>
        <w:br/>
      </w:r>
      <w:r>
        <w:rPr>
          <w:rFonts w:ascii="Times New Roman"/>
          <w:b w:val="false"/>
          <w:i w:val="false"/>
          <w:color w:val="000000"/>
          <w:sz w:val="28"/>
        </w:rPr>
        <w:t>
      ______________________________________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______________________________</w:t>
      </w:r>
      <w:r>
        <w:br/>
      </w:r>
      <w:r>
        <w:rPr>
          <w:rFonts w:ascii="Times New Roman"/>
          <w:b w:val="false"/>
          <w:i w:val="false"/>
          <w:color w:val="000000"/>
          <w:sz w:val="28"/>
        </w:rPr>
        <w:t>
      Должность: ___________________________</w:t>
      </w:r>
    </w:p>
    <w:p>
      <w:pPr>
        <w:spacing w:after="0"/>
        <w:ind w:left="0"/>
        <w:jc w:val="both"/>
      </w:pPr>
      <w:r>
        <w:rPr>
          <w:rFonts w:ascii="Times New Roman"/>
          <w:b w:val="false"/>
          <w:i w:val="false"/>
          <w:color w:val="000000"/>
          <w:sz w:val="28"/>
        </w:rPr>
        <w:t xml:space="preserve">      За МЕЖДУНАРОДНЫЙ БАНК                 </w:t>
      </w:r>
      <w:r>
        <w:br/>
      </w:r>
      <w:r>
        <w:rPr>
          <w:rFonts w:ascii="Times New Roman"/>
          <w:b w:val="false"/>
          <w:i w:val="false"/>
          <w:color w:val="000000"/>
          <w:sz w:val="28"/>
        </w:rPr>
        <w:t xml:space="preserve">
      РЕКОНСТРУКЦИИ И РАЗВИТИЯ              </w:t>
      </w:r>
    </w:p>
    <w:p>
      <w:pPr>
        <w:spacing w:after="0"/>
        <w:ind w:left="0"/>
        <w:jc w:val="both"/>
      </w:pPr>
      <w:r>
        <w:rPr>
          <w:rFonts w:ascii="Times New Roman"/>
          <w:b w:val="false"/>
          <w:i w:val="false"/>
          <w:color w:val="000000"/>
          <w:sz w:val="28"/>
        </w:rPr>
        <w:t xml:space="preserve">      Кем:                                  </w:t>
      </w:r>
      <w:r>
        <w:br/>
      </w:r>
      <w:r>
        <w:rPr>
          <w:rFonts w:ascii="Times New Roman"/>
          <w:b w:val="false"/>
          <w:i w:val="false"/>
          <w:color w:val="000000"/>
          <w:sz w:val="28"/>
        </w:rPr>
        <w:t>
      ______________________________________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______________________________</w:t>
      </w:r>
      <w:r>
        <w:br/>
      </w:r>
      <w:r>
        <w:rPr>
          <w:rFonts w:ascii="Times New Roman"/>
          <w:b w:val="false"/>
          <w:i w:val="false"/>
          <w:color w:val="000000"/>
          <w:sz w:val="28"/>
        </w:rPr>
        <w:t>
      Должность: ___________________________</w:t>
      </w:r>
    </w:p>
    <w:p>
      <w:pPr>
        <w:spacing w:after="0"/>
        <w:ind w:left="0"/>
        <w:jc w:val="left"/>
      </w:pPr>
      <w:r>
        <w:rPr>
          <w:rFonts w:ascii="Times New Roman"/>
          <w:b/>
          <w:i w:val="false"/>
          <w:color w:val="000000"/>
        </w:rPr>
        <w:t xml:space="preserve"> ДОПОЛНЕНИЕ 1</w:t>
      </w:r>
      <w:r>
        <w:br/>
      </w:r>
      <w:r>
        <w:rPr>
          <w:rFonts w:ascii="Times New Roman"/>
          <w:b/>
          <w:i w:val="false"/>
          <w:color w:val="000000"/>
        </w:rPr>
        <w:t>
Описание Проекта</w:t>
      </w:r>
    </w:p>
    <w:p>
      <w:pPr>
        <w:spacing w:after="0"/>
        <w:ind w:left="0"/>
        <w:jc w:val="both"/>
      </w:pPr>
      <w:r>
        <w:rPr>
          <w:rFonts w:ascii="Times New Roman"/>
          <w:b w:val="false"/>
          <w:i w:val="false"/>
          <w:color w:val="000000"/>
          <w:sz w:val="28"/>
        </w:rPr>
        <w:t>      Цели Проекта заключаются в: (a) повышении институциональных возможностей отобранных учреждений для эффективной реализации отобранных законов и (b) повышении эффективности, прозрачности и доступа к отобранным государственным услугам в секторе правосудия.</w:t>
      </w:r>
      <w:r>
        <w:br/>
      </w:r>
      <w:r>
        <w:rPr>
          <w:rFonts w:ascii="Times New Roman"/>
          <w:b w:val="false"/>
          <w:i w:val="false"/>
          <w:color w:val="000000"/>
          <w:sz w:val="28"/>
        </w:rPr>
        <w:t>
      Проект состоит из следующих частей:</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A. Укрепление реализации ключевых элементов правовой и институциональной базы</w:t>
      </w:r>
    </w:p>
    <w:p>
      <w:pPr>
        <w:spacing w:after="0"/>
        <w:ind w:left="0"/>
        <w:jc w:val="both"/>
      </w:pPr>
      <w:r>
        <w:rPr>
          <w:rFonts w:ascii="Times New Roman"/>
          <w:b w:val="false"/>
          <w:i w:val="false"/>
          <w:color w:val="000000"/>
          <w:sz w:val="28"/>
        </w:rPr>
        <w:t>      1. Оказание консультационных услуг и проведение обучения для укрепления институциональных возможностей Министерства юстиции и других отобранных учреждений, в компетенцию которых входит исполнение государственных функций по проекту Предпринимательского кодекса, Кодекса об административных правонарушениях и Уголовному кодексу, включая, но не ограничиваясь: (a) проведением регуляторных оценок и оценок воздействия; (b) семинарами, обучением, организацией фокус-групп и проведением опросов пользователей, а также других коммуникационных и пропагандистских мероприятий для широких консультаций по вопросам применения Кодексов; и (c) разработкой систем мониторинга и оценки для измерения эффективности Кодексов.</w:t>
      </w:r>
      <w:r>
        <w:br/>
      </w:r>
      <w:r>
        <w:rPr>
          <w:rFonts w:ascii="Times New Roman"/>
          <w:b w:val="false"/>
          <w:i w:val="false"/>
          <w:color w:val="000000"/>
          <w:sz w:val="28"/>
        </w:rPr>
        <w:t>
      2. Оказание консультационных услуг, проведение обучения и предоставление товаров для поддержки отобранных учреждений при разработке нового предлагаемого закона о саморегулируемых профессиональных организациях, а также соответствующих подзаконных актов, включая, но не ограничиваясь: (a) организацией семинаров и обучения по разработке проектов нормативных документов, (b) проведением регуляторных оценок и оценок воздействия; (c) организацией фокус-групп и проведением опросов пользователей и других коммуникационных и пропагандистских мероприятий для широких консультаций по разработке предлагаемого закона и подзаконных актов; и (d) разработкой систем мониторинга и оценки для измерения эффективности предлагаемого закона и подзаконных актов после их принятия.</w:t>
      </w:r>
      <w:r>
        <w:br/>
      </w:r>
      <w:r>
        <w:rPr>
          <w:rFonts w:ascii="Times New Roman"/>
          <w:b w:val="false"/>
          <w:i w:val="false"/>
          <w:color w:val="000000"/>
          <w:sz w:val="28"/>
        </w:rPr>
        <w:t>
      3. Оказание консультационных услуг, проведение обучения и предоставление товаров Министерству юстиции и другим отобранным учреждениям для совершенствования законотворческого работы, процессов и возможностей Заемщика, включая: (a) процессы координации и консультаций между соответствующими государственными органами Заемщика, (b) механизмы обратной связи для оценки качества законотворчества и (c) меры по повышению прозрачности и укреплению базы знаний для законотворчества, включая создание и поддержку законотворческого интернет-портала для Министерства юстиции и других отобранных учреждений Заемщика.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Часть В. Повышение качества услуг и оперативности Министерства юстиции </w:t>
      </w:r>
    </w:p>
    <w:p>
      <w:pPr>
        <w:spacing w:after="0"/>
        <w:ind w:left="0"/>
        <w:jc w:val="both"/>
      </w:pPr>
      <w:r>
        <w:rPr>
          <w:rFonts w:ascii="Times New Roman"/>
          <w:b w:val="false"/>
          <w:i w:val="false"/>
          <w:color w:val="000000"/>
          <w:sz w:val="28"/>
        </w:rPr>
        <w:t xml:space="preserve">      1. Оказание консультационных услуг, проведение обучения и предоставление товаров Министерству юстиции для повышения его возможностей, включая, но не ограничиваясь: (a) проведением периодических институциональных самооценок; (b) проведением ежегодных опросов общественного мнения для оценки общественного доверия к Министерству юстиции и другим органам правовой системы Заемщика, отобранным в соответствии с критериями, сформулированными в Руководстве по реализации проекта; (c) разработкой и внедрением комплексных механизмов и индикаторов мониторинга эффективности, а также сбором результатов и подготовкой отчетности; (d) разработкой комплексной стратегии коммуникации и развития возможностей; (e) разработкой и реализацией операционной дорожной карты Министерства юстиции; и (f) разработкой систем мониторинга и оценки. </w:t>
      </w:r>
      <w:r>
        <w:br/>
      </w:r>
      <w:r>
        <w:rPr>
          <w:rFonts w:ascii="Times New Roman"/>
          <w:b w:val="false"/>
          <w:i w:val="false"/>
          <w:color w:val="000000"/>
          <w:sz w:val="28"/>
        </w:rPr>
        <w:t>
      2. Оказание консультационных услуг, проведение обучения и предоставление товаров Министерству юстиции с целью совершенствования: (a) исполнения судебных решений судов Заемщика, (b) проведения опросов и оценок эффективности и прозрачности при исполнении судебных решений, (c) разработки систем мониторинга и оценки для сравнения лучшей международной практики с практикой правоприменения Заемщика; (d) разработки и экспериментальной реализации среднесрочной стратегии модернизации и инвестирования в информационные системы; и (e) возможностей судебно-экспертной деятельности.</w:t>
      </w:r>
      <w:r>
        <w:br/>
      </w:r>
      <w:r>
        <w:rPr>
          <w:rFonts w:ascii="Times New Roman"/>
          <w:b w:val="false"/>
          <w:i w:val="false"/>
          <w:color w:val="000000"/>
          <w:sz w:val="28"/>
        </w:rPr>
        <w:t>
      3. Оказание консультационных услуг, проведение обучения и предоставление товаров для совершенствования государственных услуг по регистрации Министерства юстиции Заемщика через, включая, но не ограничиваясь: (а) проведение институциональных оценок и диагностики, а также поддержку в применении результатов данных оценок и диагностики, (b) поддержку применения индикаторов эффективности, (c) проведение мероприятий по повышению качества данных и информации в базах данных по регистрации недвижимости и (d) поддержку ускоренного перевода документов учета с бумажного в электронный формат.</w:t>
      </w:r>
      <w:r>
        <w:br/>
      </w:r>
      <w:r>
        <w:rPr>
          <w:rFonts w:ascii="Times New Roman"/>
          <w:b w:val="false"/>
          <w:i w:val="false"/>
          <w:color w:val="000000"/>
          <w:sz w:val="28"/>
        </w:rPr>
        <w:t>
      4. Оказание консультационных услуг и предоставление товаров Министерству юстиции для совершенствования доступа к правовой помощи через, среди прочего: (a) проведение семинаров и обучения по применению закона о бесплатной правовой помощи; (b) использование экспериментальных инновационных, с участием заинтересованных сторон, более эффективных методов оказания правовой помощи и разработки необходимых поправок и обеспечивающих его реализацию подзаконных актов; (c) разработку и обеспечение работы интернет-портала правовой помощи; (d) получение и публикацию комментариев пользователей, поставщиков и других заинтересованных сторон; (e) проведение анализа оказания услуг адвокатами и нотариусами; (f) проведение обзора политики и оценки финансового воздействия (g) проведение анализа гендерных проблем при предоставлении бесплатной правовой помощи и доступа к ней и подготовки поэтапной стратегии решения ключевых гендерных проблем по оказанию помощи с указанием расходов, а также поддержки реализации стратегии.</w:t>
      </w:r>
      <w:r>
        <w:br/>
      </w:r>
      <w:r>
        <w:rPr>
          <w:rFonts w:ascii="Times New Roman"/>
          <w:b w:val="false"/>
          <w:i w:val="false"/>
          <w:color w:val="000000"/>
          <w:sz w:val="28"/>
        </w:rPr>
        <w:t>
      5. Оказание консультационных услуг отобранным учреждениям по разработке: (a) стратегии содействия социально-экономической реинтеграции бывших правонарушителей, включая посредством предоставления возможностей трудоустройства; и (b) технических спецификаций для пенитенциарной информационной системы с целью улучшения связи с судами и отобранными учреждениями для более эффективного рассмотрения дел.</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C. Повышение эффективности и профессионализма судей</w:t>
      </w:r>
    </w:p>
    <w:p>
      <w:pPr>
        <w:spacing w:after="0"/>
        <w:ind w:left="0"/>
        <w:jc w:val="both"/>
      </w:pPr>
      <w:r>
        <w:rPr>
          <w:rFonts w:ascii="Times New Roman"/>
          <w:b w:val="false"/>
          <w:i w:val="false"/>
          <w:color w:val="000000"/>
          <w:sz w:val="28"/>
        </w:rPr>
        <w:t>      1. Оказание консультационных услуг, проведение обучения и предоставление товаров Верховному Суду и отобранным судам в следующих сферах:</w:t>
      </w:r>
      <w:r>
        <w:br/>
      </w:r>
      <w:r>
        <w:rPr>
          <w:rFonts w:ascii="Times New Roman"/>
          <w:b w:val="false"/>
          <w:i w:val="false"/>
          <w:color w:val="000000"/>
          <w:sz w:val="28"/>
        </w:rPr>
        <w:t>
      (a) Поддержка отобранных судов посредством оказания консультационных услуг, проведения обучения и предоставления товаров для: (i) проведения исследований и диагностики с целью выявления препятствий, которые увеличивают несудебную нагрузку на судей; (ii) выработки рекомендаций по устранению таких препятствий и повышению эффективности работы судей; и (iii) выполнения таких рекомендаций в пилотных судах.</w:t>
      </w:r>
      <w:r>
        <w:br/>
      </w:r>
      <w:r>
        <w:rPr>
          <w:rFonts w:ascii="Times New Roman"/>
          <w:b w:val="false"/>
          <w:i w:val="false"/>
          <w:color w:val="000000"/>
          <w:sz w:val="28"/>
        </w:rPr>
        <w:t>
      (b) Повышение возможностей Верховного Суда по поддержке и управлению судебной системой посредством оказания консультационных услуг, проведения обучения и предоставления товаров для: (i) мониторинга и оценки работы судов низшей инстанции; (ii) упрощения и оптимизации судебных процедур; (iii) разработки плана мероприятий по расширению доступа к информации о функционировании судов для общественности и участников судебных процессов; (iv) содействия специализации судов и судей; и (v) укрепления институциональных возможностей Верховного Суда по исполнению административных и управленческих функций в отношении судов низшей инстанции; (vi) повышения возможностей Высшего Судебного Совета по оценке и усилению судебных дисциплинарных процессов; (vii) содействия обмену знаниями между судьями и другими должностными лицами сектора правосудия.</w:t>
      </w:r>
      <w:r>
        <w:br/>
      </w:r>
      <w:r>
        <w:rPr>
          <w:rFonts w:ascii="Times New Roman"/>
          <w:b w:val="false"/>
          <w:i w:val="false"/>
          <w:color w:val="000000"/>
          <w:sz w:val="28"/>
        </w:rPr>
        <w:t>
      2. (a) Поддержка повышения возможностей Института правосудия и отобранных учреждений посредством оказания консультационных услуг, проведения обучения и предоставления товаров для: (i) обучения судей и персонала судов; (ii) подготовки и проведения институциональных оценок, обзоров, политических исследований и разработки стратегий и планов мероприятий; (iii) разработки и проведения социально-психологической подготовки и семинаров для судей и других заинтересованных сторон сектора правосудия по решению проблем социальной демаргинализации и гендерных проблем, а также других проблем, стоящих перед социально незащищенными группами.</w:t>
      </w:r>
      <w:r>
        <w:br/>
      </w:r>
      <w:r>
        <w:rPr>
          <w:rFonts w:ascii="Times New Roman"/>
          <w:b w:val="false"/>
          <w:i w:val="false"/>
          <w:color w:val="000000"/>
          <w:sz w:val="28"/>
        </w:rPr>
        <w:t xml:space="preserve">
      (b) Оказание технической поддержки: </w:t>
      </w:r>
      <w:r>
        <w:br/>
      </w:r>
      <w:r>
        <w:rPr>
          <w:rFonts w:ascii="Times New Roman"/>
          <w:b w:val="false"/>
          <w:i w:val="false"/>
          <w:color w:val="000000"/>
          <w:sz w:val="28"/>
        </w:rPr>
        <w:t>
      (i) Институту правосудия по подготовке среднесрочной стратегии развития и плана мероприятий, включая оценку потребностей в обучении и инфраструктуре;</w:t>
      </w:r>
      <w:r>
        <w:br/>
      </w:r>
      <w:r>
        <w:rPr>
          <w:rFonts w:ascii="Times New Roman"/>
          <w:b w:val="false"/>
          <w:i w:val="false"/>
          <w:color w:val="000000"/>
          <w:sz w:val="28"/>
        </w:rPr>
        <w:t>
      (ii) Институту правосудия и отобранным учреждениям по проведению пилотных курсов по электронному обучению судей и сотрудников судов; созданию системы мониторинга для измерения эффективности обучения; созданию соответствующих механизмов развития персонала с целью получения доступа к мировым знаниям и лучшей практике; и повышению возможностей Института и усиление акцента на прикладных политических исследованиях (включая сферы социальной демаргинализации, гендерные проблемы, социально-экономическую реинтеграцию бывших правонарушителей и т.д.).</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D. Реализация и координация проекта и научной деятельности</w:t>
      </w:r>
    </w:p>
    <w:p>
      <w:pPr>
        <w:spacing w:after="0"/>
        <w:ind w:left="0"/>
        <w:jc w:val="both"/>
      </w:pPr>
      <w:r>
        <w:rPr>
          <w:rFonts w:ascii="Times New Roman"/>
          <w:b w:val="false"/>
          <w:i w:val="false"/>
          <w:color w:val="000000"/>
          <w:sz w:val="28"/>
        </w:rPr>
        <w:t>      1. Оказание консультационных услуг, проведение обучения и покрытие дополнительных операционных расходов Министерства юстиции на: реализацию, управление, координацию, мониторинг и оценку Проекта, включая наем ГПР.</w:t>
      </w:r>
      <w:r>
        <w:br/>
      </w:r>
      <w:r>
        <w:rPr>
          <w:rFonts w:ascii="Times New Roman"/>
          <w:b w:val="false"/>
          <w:i w:val="false"/>
          <w:color w:val="000000"/>
          <w:sz w:val="28"/>
        </w:rPr>
        <w:t>
      2. Предоставление грантов по стипендиальной программе отобранным на конкурсной основе правомочным кандидатам из организаций сектора правосудия для их ознакомления с мировыми знаниями и лучшей международной практикой разработки реформ и их проведения.</w:t>
      </w:r>
    </w:p>
    <w:p>
      <w:pPr>
        <w:spacing w:after="0"/>
        <w:ind w:left="0"/>
        <w:jc w:val="left"/>
      </w:pPr>
      <w:r>
        <w:rPr>
          <w:rFonts w:ascii="Times New Roman"/>
          <w:b/>
          <w:i w:val="false"/>
          <w:color w:val="000000"/>
        </w:rPr>
        <w:t xml:space="preserve"> ДОПОЛНЕНИЕ 2</w:t>
      </w:r>
      <w:r>
        <w:br/>
      </w:r>
      <w:r>
        <w:rPr>
          <w:rFonts w:ascii="Times New Roman"/>
          <w:b/>
          <w:i w:val="false"/>
          <w:color w:val="000000"/>
        </w:rPr>
        <w:t>
Исполнение Проекта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rPr>
          <w:rFonts w:ascii="Times New Roman"/>
          <w:b w:val="false"/>
          <w:i w:val="false"/>
          <w:color w:val="000000"/>
          <w:sz w:val="28"/>
          <w:u w:val="single"/>
        </w:rPr>
        <w:t>Механизмы реализации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A. Институциональные механизмы</w:t>
      </w:r>
    </w:p>
    <w:p>
      <w:pPr>
        <w:spacing w:after="0"/>
        <w:ind w:left="0"/>
        <w:jc w:val="both"/>
      </w:pPr>
      <w:r>
        <w:rPr>
          <w:rFonts w:ascii="Times New Roman"/>
          <w:b w:val="false"/>
          <w:i w:val="false"/>
          <w:color w:val="000000"/>
          <w:sz w:val="28"/>
        </w:rPr>
        <w:t>      1. Заемщик через Министерство юстиции:</w:t>
      </w:r>
      <w:r>
        <w:br/>
      </w:r>
      <w:r>
        <w:rPr>
          <w:rFonts w:ascii="Times New Roman"/>
          <w:b w:val="false"/>
          <w:i w:val="false"/>
          <w:color w:val="000000"/>
          <w:sz w:val="28"/>
        </w:rPr>
        <w:t>
      (a) будет поддерживать в течение периода реализации Проекта группу реализации проекта («ГРП»), возглавляемую Директором Проекта, которая будет отвечать за общую реализацию Проекта, управление и контроль за Группой по поддержке реализации.</w:t>
      </w:r>
      <w:r>
        <w:br/>
      </w:r>
      <w:r>
        <w:rPr>
          <w:rFonts w:ascii="Times New Roman"/>
          <w:b w:val="false"/>
          <w:i w:val="false"/>
          <w:color w:val="000000"/>
          <w:sz w:val="28"/>
        </w:rPr>
        <w:t>
      (b) не позднее, чем через семь (7) дней после даты вступления в силу или другой более поздней даты, которую Заемщик и Банк могут согласовать в письменной форме, заключит контракт на оказание консультационных услуг с Группой по поддержке реализации для поддержки ГРП с техническим заданием, ресурсами и персоналом, удовлетворительными для Банка, и в дальнейшем сохранит Группу по поддержке реализации в составе ГРП.</w:t>
      </w:r>
      <w:r>
        <w:br/>
      </w:r>
      <w:r>
        <w:rPr>
          <w:rFonts w:ascii="Times New Roman"/>
          <w:b w:val="false"/>
          <w:i w:val="false"/>
          <w:color w:val="000000"/>
          <w:sz w:val="28"/>
        </w:rPr>
        <w:t>
      (c) отберет правомочных Кандидатов на получение грантов по стипендиальной программе в соответствии с критериями правомочности, методами отбора и процедурами, приемлемыми для Банка, которые должны быть включены в Руководство по выделению грантов на выплату стипендий, и обеспечить, чтобы ГРП рассмотрела и провела оценку правомочных Кандидатов в соответствии с процессами финансовой оплаты, контроля и утверждения, а также другими положениями, приемлемыми для Банка, которые более подробно указаны в Руководстве по реализации проекта.</w:t>
      </w:r>
      <w:r>
        <w:br/>
      </w:r>
      <w:r>
        <w:rPr>
          <w:rFonts w:ascii="Times New Roman"/>
          <w:b w:val="false"/>
          <w:i w:val="false"/>
          <w:color w:val="000000"/>
          <w:sz w:val="28"/>
        </w:rPr>
        <w:t>
      (d) обеспечит заключение контрактов, по форме и сути и на срок и условиях, удовлетворительных для Банка, по каждому гранту по стипендиальной программе, при этом согласно таким контрактам Заемщик должен получить права, достаточные для защиты своих интересов и интересов Банка и для достижения целей Проекта, включая право на: (i) приостановку или прекращение права правомочного Кандидата на получение гранта по стипендиальной программе в случае неисполнения правомочным Кандидатом любого из своих обязательств по соответствующему контракту; и (ii) получение всей информации, которую Банк или Заемщик могут обоснованно запросить в отношении гранта по стипендиальной программе.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B. Руководство по реализации проекта и Руководство по выделению грантов на выплату стипендий</w:t>
      </w:r>
    </w:p>
    <w:p>
      <w:pPr>
        <w:spacing w:after="0"/>
        <w:ind w:left="0"/>
        <w:jc w:val="both"/>
      </w:pPr>
      <w:r>
        <w:rPr>
          <w:rFonts w:ascii="Times New Roman"/>
          <w:b w:val="false"/>
          <w:i w:val="false"/>
          <w:color w:val="000000"/>
          <w:sz w:val="28"/>
        </w:rPr>
        <w:t>      1. Заемщик должен реализовывать Проект в соответствии с Руководством по реализации проекта, по форме и по сути удовлетворительным для Банка, при этом данное Руководство должно включать, среди прочего, институциональные механизмы, механизмы закупок, финансового управления, мониторинга и оценки для реализации Проекта, обязанности и механизмы координации отобранных учреждений.</w:t>
      </w:r>
      <w:r>
        <w:br/>
      </w:r>
      <w:r>
        <w:rPr>
          <w:rFonts w:ascii="Times New Roman"/>
          <w:b w:val="false"/>
          <w:i w:val="false"/>
          <w:color w:val="000000"/>
          <w:sz w:val="28"/>
        </w:rPr>
        <w:t>
      2. Заемщик должен обеспечить реализацию Части D.2 Проекта в соответствии с Руководством по выделению грантов на выплату стипендий, по форме и по сути удовлетворительным для Банка, которое должно включать, среди прочего (a) методы отбора и критерии правомочности для правомочных Кандидатов, (b) процессы финансовой оплаты, контроля и утверждения, (c) технические задания по грантам по стипендиальной программе и (d) типовой договор на предоставление грантов по стипендиальной программе.</w:t>
      </w:r>
      <w:r>
        <w:br/>
      </w:r>
      <w:r>
        <w:rPr>
          <w:rFonts w:ascii="Times New Roman"/>
          <w:b w:val="false"/>
          <w:i w:val="false"/>
          <w:color w:val="000000"/>
          <w:sz w:val="28"/>
        </w:rPr>
        <w:t>
      3. В Руководство по реализации проекта и/или Руководство по выделению грантов на выплату стипендий время от времени могут вноситься поправки с предварительного письменного согласия Банка. В случае возникновения каких-либо противоречий между положениями Руководства по реализации проекта или Руководства по грантам и положениями настоящего Соглашения, положения настоящего Соглашения будут иметь преимущественную силу. В случае возникновения каких-либо противоречий между положениями Руководства по реализации проекта и положениями Руководства по выделению грантов на выплату стипендий, положения Руководства по реализации проекта будут иметь преимущественную силу.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C. Противодействие коррупции</w:t>
      </w:r>
    </w:p>
    <w:p>
      <w:pPr>
        <w:spacing w:after="0"/>
        <w:ind w:left="0"/>
        <w:jc w:val="both"/>
      </w:pPr>
      <w:r>
        <w:rPr>
          <w:rFonts w:ascii="Times New Roman"/>
          <w:b w:val="false"/>
          <w:i w:val="false"/>
          <w:color w:val="000000"/>
          <w:sz w:val="28"/>
        </w:rPr>
        <w:t>      Заемщик обеспечит реализацию Проекта в соответствии с Руководством по противодействию коррупции.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Раздел II. Мониторинг, отчетность и оценка Проекта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A. Отчеты по Проекту</w:t>
      </w:r>
    </w:p>
    <w:p>
      <w:pPr>
        <w:spacing w:after="0"/>
        <w:ind w:left="0"/>
        <w:jc w:val="both"/>
      </w:pPr>
      <w:r>
        <w:rPr>
          <w:rFonts w:ascii="Times New Roman"/>
          <w:b w:val="false"/>
          <w:i w:val="false"/>
          <w:color w:val="000000"/>
          <w:sz w:val="28"/>
        </w:rPr>
        <w:t xml:space="preserve">      1. Заемщик будет проводить мониторинг и оценку хода реализации Проекта и будет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одно календарное полугодие и предоставляться Банку не позднее чем через сорок пять (45) дней после окончания периода, охватываемого таким отчетом.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B. Финансовое управление, финансовые отчеты и аудит</w:t>
      </w:r>
    </w:p>
    <w:p>
      <w:pPr>
        <w:spacing w:after="0"/>
        <w:ind w:left="0"/>
        <w:jc w:val="both"/>
      </w:pPr>
      <w:r>
        <w:rPr>
          <w:rFonts w:ascii="Times New Roman"/>
          <w:b w:val="false"/>
          <w:i w:val="false"/>
          <w:color w:val="000000"/>
          <w:sz w:val="28"/>
        </w:rPr>
        <w:t>      1. Заемщик будет вести или обеспечит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2. Заемщик будет готовить и представлять в Банк не позднее чем через сорок пять (45) дней после окончания каждого календарного квартала приемлемые для Банка по форме и сути промежуточные финансовые отчеты по Проекту за соответствующий квартал, не прошедшие аудиторскую проверку.</w:t>
      </w:r>
      <w:r>
        <w:br/>
      </w:r>
      <w:r>
        <w:rPr>
          <w:rFonts w:ascii="Times New Roman"/>
          <w:b w:val="false"/>
          <w:i w:val="false"/>
          <w:color w:val="000000"/>
          <w:sz w:val="28"/>
        </w:rPr>
        <w:t>
      3. Заемщик будет проводить аудит своей финансовой отчетности в соответствии с положениями Раздела 5.09 (b) Общих Условий. Каждый аудит финансовой отчетности должен охватывать период в один финансовый год Заемщика. Финансовая отчетность за каждый такой период, прошедшая аудиторскую проверку, должна быть предоставлена Банку не позднее чем через шесть месяцев после окончания соответствующего периода.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Раздел III. Закупки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A. Общие положения</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Товары и неконсультационные услуги</w:t>
      </w:r>
      <w:r>
        <w:rPr>
          <w:rFonts w:ascii="Times New Roman"/>
          <w:b w:val="false"/>
          <w:i w:val="false"/>
          <w:color w:val="000000"/>
          <w:sz w:val="28"/>
        </w:rPr>
        <w:t>. Все товары и неконсультационные услуги, необходимые для реализации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r>
        <w:br/>
      </w:r>
      <w:r>
        <w:rPr>
          <w:rFonts w:ascii="Times New Roman"/>
          <w:b w:val="false"/>
          <w:i w:val="false"/>
          <w:color w:val="000000"/>
          <w:sz w:val="28"/>
        </w:rPr>
        <w:t xml:space="preserve">
      2. </w:t>
      </w:r>
      <w:r>
        <w:rPr>
          <w:rFonts w:ascii="Times New Roman"/>
          <w:b/>
          <w:i w:val="false"/>
          <w:color w:val="000000"/>
          <w:sz w:val="28"/>
        </w:rPr>
        <w:t>Консультационные услуги</w:t>
      </w:r>
      <w:r>
        <w:rPr>
          <w:rFonts w:ascii="Times New Roman"/>
          <w:b w:val="false"/>
          <w:i w:val="false"/>
          <w:color w:val="000000"/>
          <w:sz w:val="28"/>
        </w:rPr>
        <w:t xml:space="preserve">. 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Разделах I и IV Руководства по отбору и найму консультантов, а также в соответствии с положениями настоящего Раздела. </w:t>
      </w:r>
      <w:r>
        <w:br/>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xml:space="preserve">. Термины, начинающиеся с заглавных букв, которые  используются ниже в настоящем Разделе для описания отдельных методов закупок или методов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отбору и найму консультантов, в зависимости от конкретного случая.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B. Отдельные методы закупок товаров и неконсультационных услуг</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Если иное не предусмотрено в пункте 2 ниже, закуп товаров и неконсультационных услуг будет осуществляться по контрактам, присужденным в соответствии с процедурами международных конкурсных торгов.</w:t>
      </w:r>
      <w:r>
        <w:br/>
      </w:r>
      <w:r>
        <w:rPr>
          <w:rFonts w:ascii="Times New Roman"/>
          <w:b w:val="false"/>
          <w:i w:val="false"/>
          <w:color w:val="000000"/>
          <w:sz w:val="28"/>
        </w:rPr>
        <w:t xml:space="preserve">
      2. </w:t>
      </w:r>
      <w:r>
        <w:rPr>
          <w:rFonts w:ascii="Times New Roman"/>
          <w:b/>
          <w:i w:val="false"/>
          <w:color w:val="000000"/>
          <w:sz w:val="28"/>
        </w:rPr>
        <w:t>Другие методы закупок товаров и неконсультационных услуг</w:t>
      </w:r>
      <w:r>
        <w:rPr>
          <w:rFonts w:ascii="Times New Roman"/>
          <w:b w:val="false"/>
          <w:i w:val="false"/>
          <w:color w:val="000000"/>
          <w:sz w:val="28"/>
        </w:rPr>
        <w:t>. Кроме международных конкурсных торгов могут использоваться следующие методы закупок товаров и неконсультационных услуг по тем контрактам, которые указаны в Плане закупок: (a) национальные конкурсные торги, которые регулируются дополнительными положениями, указанными в Приложении к настоящему Дополнению 2; и (b) закупки на открытом рынке.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C. Отдельные методы закупок консультационных услуг</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Если в пункте 2 ниже не предусмотрено иное, закуп консультационных услуг будет осуществляться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xml:space="preserve">
      2. </w:t>
      </w:r>
      <w:r>
        <w:rPr>
          <w:rFonts w:ascii="Times New Roman"/>
          <w:b/>
          <w:i w:val="false"/>
          <w:color w:val="000000"/>
          <w:sz w:val="28"/>
        </w:rPr>
        <w:t>Прочие методы закупок консультационных услуг</w:t>
      </w:r>
      <w:r>
        <w:rPr>
          <w:rFonts w:ascii="Times New Roman"/>
          <w:b w:val="false"/>
          <w:i w:val="false"/>
          <w:color w:val="000000"/>
          <w:sz w:val="28"/>
        </w:rPr>
        <w:t>. Кроме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 (a) Отбор при фиксированном бюджете; (b) Отбор по наименьшей стоимости; (c) Отбор на основе квалификации консультантов; (d) Закупки услуг консалтинговых фирм из одного источника; и (e) Процедуры отбора индивидуальных консультантов из одного источника.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D. Рассмотрение Банком решений по закупкам</w:t>
      </w:r>
    </w:p>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Раздел IV. Снятие Средств Займа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A. Общие положения</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датированных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пункте 2 ниже.</w:t>
      </w:r>
      <w:r>
        <w:br/>
      </w: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выделяемые суммы Займа по каждой Категории и процентная доля расходов, подлежащих финансированию в качестве Правомочных расходов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0"/>
        <w:gridCol w:w="5119"/>
        <w:gridCol w:w="2702"/>
      </w:tblGrid>
      <w:tr>
        <w:trPr>
          <w:trHeight w:val="30" w:hRule="atLeast"/>
        </w:trPr>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Выделяемая сумма займа (выраженная в долларах США)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расходов, подлежащая финансированию</w:t>
            </w:r>
          </w:p>
        </w:tc>
      </w:tr>
      <w:tr>
        <w:trPr>
          <w:trHeight w:val="30" w:hRule="atLeast"/>
        </w:trPr>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Оказание консультационных услуг, проведение обучения и покрытие дополнительных операционных расходов Проекта (не включая гранты по стипендиальной программе в рамках Части D.2. Проекта) </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35,577,000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r>
      <w:tr>
        <w:trPr>
          <w:trHeight w:val="30" w:hRule="atLeast"/>
        </w:trPr>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Предоставление грантов по стипендиальной программе в рамках Части D.2. Проекта</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r>
      <w:tr>
        <w:trPr>
          <w:trHeight w:val="30" w:hRule="atLeast"/>
        </w:trPr>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B. Условия снятия; период снятия</w:t>
      </w:r>
    </w:p>
    <w:p>
      <w:pPr>
        <w:spacing w:after="0"/>
        <w:ind w:left="0"/>
        <w:jc w:val="both"/>
      </w:pPr>
      <w:r>
        <w:rPr>
          <w:rFonts w:ascii="Times New Roman"/>
          <w:b w:val="false"/>
          <w:i w:val="false"/>
          <w:color w:val="000000"/>
          <w:sz w:val="28"/>
        </w:rPr>
        <w:t>      1. Независимо от положений Части А данного Раздела средства не должны сниматься:</w:t>
      </w:r>
      <w:r>
        <w:br/>
      </w:r>
      <w:r>
        <w:rPr>
          <w:rFonts w:ascii="Times New Roman"/>
          <w:b w:val="false"/>
          <w:i w:val="false"/>
          <w:color w:val="000000"/>
          <w:sz w:val="28"/>
        </w:rPr>
        <w:t>
      (a) со счета Займа до тех пор, пока Банк не получит полную сумму единовременной комиссии;</w:t>
      </w:r>
      <w:r>
        <w:br/>
      </w:r>
      <w:r>
        <w:rPr>
          <w:rFonts w:ascii="Times New Roman"/>
          <w:b w:val="false"/>
          <w:i w:val="false"/>
          <w:color w:val="000000"/>
          <w:sz w:val="28"/>
        </w:rPr>
        <w:t>
      (b) по платежам, совершенным до даты настоящего Соглашения; или</w:t>
      </w:r>
      <w:r>
        <w:br/>
      </w:r>
      <w:r>
        <w:rPr>
          <w:rFonts w:ascii="Times New Roman"/>
          <w:b w:val="false"/>
          <w:i w:val="false"/>
          <w:color w:val="000000"/>
          <w:sz w:val="28"/>
        </w:rPr>
        <w:t>
      (c) по категории (2) до тех пор, пока Руководство по выделению грантов на выплату стипендий, удовлетворительное для Банка, не будет принято Заемщиком через Министерство юстиции.</w:t>
      </w:r>
      <w:r>
        <w:br/>
      </w:r>
      <w:r>
        <w:rPr>
          <w:rFonts w:ascii="Times New Roman"/>
          <w:b w:val="false"/>
          <w:i w:val="false"/>
          <w:color w:val="000000"/>
          <w:sz w:val="28"/>
        </w:rPr>
        <w:t>
      2. Дата закрытия – 31 декабря 2018 года.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Раздел V. Другие обязательства </w:t>
      </w:r>
    </w:p>
    <w:p>
      <w:pPr>
        <w:spacing w:after="0"/>
        <w:ind w:left="0"/>
        <w:jc w:val="both"/>
      </w:pPr>
      <w:r>
        <w:rPr>
          <w:rFonts w:ascii="Times New Roman"/>
          <w:b w:val="false"/>
          <w:i w:val="false"/>
          <w:color w:val="000000"/>
          <w:sz w:val="28"/>
        </w:rPr>
        <w:t>      Не позднее, чем через сорок пять (45) дней с Даты вступления в силу Заемщик должен обеспечить, чтобы Министерство юстиции запустило полностью работоспособный модуль автоматизированного компьютерного программного обеспечения бухгалтерского учета для Проекта, способный генерировать промежуточные финансовые отчеты, не прошедшие аудиторскую проверку, и предоставлять данные по счетам и обязательствам Проекта, приемлемые для Банка.</w:t>
      </w:r>
    </w:p>
    <w:p>
      <w:pPr>
        <w:spacing w:after="0"/>
        <w:ind w:left="0"/>
        <w:jc w:val="left"/>
      </w:pPr>
      <w:r>
        <w:rPr>
          <w:rFonts w:ascii="Times New Roman"/>
          <w:b/>
          <w:i w:val="false"/>
          <w:color w:val="000000"/>
        </w:rPr>
        <w:t xml:space="preserve"> Приложение</w:t>
      </w:r>
      <w:r>
        <w:br/>
      </w:r>
      <w:r>
        <w:rPr>
          <w:rFonts w:ascii="Times New Roman"/>
          <w:b/>
          <w:i w:val="false"/>
          <w:color w:val="000000"/>
        </w:rPr>
        <w:t>
к ДОПОЛНЕНИЮ 2</w:t>
      </w:r>
    </w:p>
    <w:p>
      <w:pPr>
        <w:spacing w:after="0"/>
        <w:ind w:left="0"/>
        <w:jc w:val="both"/>
      </w:pPr>
      <w:r>
        <w:rPr>
          <w:rFonts w:ascii="Times New Roman"/>
          <w:b w:val="false"/>
          <w:i w:val="false"/>
          <w:color w:val="000000"/>
          <w:sz w:val="28"/>
        </w:rPr>
        <w:t>      Процедуры проведения национальных конкурсных торгов должны соответствовать процедурам торгов, изложенным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21 июля 2007 года № 303-III «О государственных закупках» с изменениями, внесенными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января 2014 года № 161-V «О внесении изменений и дополнений в некоторые законодательные акты Республики Казахстан по вопросам государственных закупок», однако при условии, что такие процедуры будут соответствовать положениям Раздела I и пунктов 3.3 и 3.4 «Руководства по закупкам товаров, работ и неконсультационных услуг за счет средств займов МБРР и кредитов МАР, а также грантов, предоставляемых заемщикам Всемирного Банка» (январь 2011 года) («Руководство по закупкам») и следующим дополнительным положениям: </w:t>
      </w:r>
      <w:r>
        <w:br/>
      </w:r>
      <w:r>
        <w:rPr>
          <w:rFonts w:ascii="Times New Roman"/>
          <w:b w:val="false"/>
          <w:i w:val="false"/>
          <w:color w:val="000000"/>
          <w:sz w:val="28"/>
        </w:rPr>
        <w:t>
      (a) Правомочность: Правомочность участников торгов на участие в процессе закупок и заключение контракта, финансируемого Банком, будет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они не обязаны вступать в партнерские отношения с местными участниками торгов, чтобы участвовать в процессе закупок.</w:t>
      </w:r>
      <w:r>
        <w:br/>
      </w:r>
      <w:r>
        <w:rPr>
          <w:rFonts w:ascii="Times New Roman"/>
          <w:b w:val="false"/>
          <w:i w:val="false"/>
          <w:color w:val="000000"/>
          <w:sz w:val="28"/>
        </w:rPr>
        <w:t xml:space="preserve">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 </w:t>
      </w:r>
      <w:r>
        <w:br/>
      </w:r>
      <w:r>
        <w:rPr>
          <w:rFonts w:ascii="Times New Roman"/>
          <w:b w:val="false"/>
          <w:i w:val="false"/>
          <w:color w:val="000000"/>
          <w:sz w:val="28"/>
        </w:rPr>
        <w:t>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w:t>
      </w:r>
      <w:r>
        <w:br/>
      </w:r>
      <w:r>
        <w:rPr>
          <w:rFonts w:ascii="Times New Roman"/>
          <w:b w:val="false"/>
          <w:i w:val="false"/>
          <w:color w:val="000000"/>
          <w:sz w:val="28"/>
        </w:rPr>
        <w:t xml:space="preserve">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приемлемые для Банка. </w:t>
      </w:r>
      <w:r>
        <w:br/>
      </w:r>
      <w:r>
        <w:rPr>
          <w:rFonts w:ascii="Times New Roman"/>
          <w:b w:val="false"/>
          <w:i w:val="false"/>
          <w:color w:val="000000"/>
          <w:sz w:val="28"/>
        </w:rPr>
        <w:t xml:space="preserve">
      (e) Сметные затраты: Сметные затраты не должны раскрываться потенциальным участникам торгов. </w:t>
      </w:r>
      <w:r>
        <w:br/>
      </w:r>
      <w:r>
        <w:rPr>
          <w:rFonts w:ascii="Times New Roman"/>
          <w:b w:val="false"/>
          <w:i w:val="false"/>
          <w:color w:val="000000"/>
          <w:sz w:val="28"/>
        </w:rPr>
        <w:t xml:space="preserve">
      (f) Срок действия конкурсной заявки: Продление срока действия конкурсных заявок, если это связано с исключительными обстоятельствами, может быть затребовано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 </w:t>
      </w:r>
      <w:r>
        <w:br/>
      </w:r>
      <w:r>
        <w:rPr>
          <w:rFonts w:ascii="Times New Roman"/>
          <w:b w:val="false"/>
          <w:i w:val="false"/>
          <w:color w:val="000000"/>
          <w:sz w:val="28"/>
        </w:rPr>
        <w:t>
      (g) 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с даты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Всемирному Банку в отношении контрактов, подлежащих предварительному рассмотрению Банком.</w:t>
      </w:r>
      <w:r>
        <w:br/>
      </w:r>
      <w:r>
        <w:rPr>
          <w:rFonts w:ascii="Times New Roman"/>
          <w:b w:val="false"/>
          <w:i w:val="false"/>
          <w:color w:val="000000"/>
          <w:sz w:val="28"/>
        </w:rPr>
        <w:t xml:space="preserve">
      (h) Квалификация: Квалификационные критерии должны быть четко указаны в конкурсной документации. Все критерии, указанные в такой документации,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специфического опыта и удовлетворительного послужного списка успешного выполнения подобных контрактов за определенный период; (ii) финансовое положение; и в зависимости от обстоятельств (iii) наличие строительных и/или производственных мощностей. </w:t>
      </w:r>
      <w:r>
        <w:br/>
      </w:r>
      <w:r>
        <w:rPr>
          <w:rFonts w:ascii="Times New Roman"/>
          <w:b w:val="false"/>
          <w:i w:val="false"/>
          <w:color w:val="000000"/>
          <w:sz w:val="28"/>
        </w:rPr>
        <w:t xml:space="preserve">
      (i) Процедуры предварительной квалификации и документы, удовлетворительные для Банка, должны использоваться для больших,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включая текущие обязательства и возможности участника торгов относительно персонала и оборудования, должна проводиться во время присуждения контракта. </w:t>
      </w:r>
      <w:r>
        <w:br/>
      </w:r>
      <w:r>
        <w:rPr>
          <w:rFonts w:ascii="Times New Roman"/>
          <w:b w:val="false"/>
          <w:i w:val="false"/>
          <w:color w:val="000000"/>
          <w:sz w:val="28"/>
        </w:rPr>
        <w:t xml:space="preserve">
      (j) В тех случаях, когда предварительная квалификация не используется, квалификация участника торгов, который рекомендован к присуждению контракта, будет оцениваться в процессе постквалификации с применением критериев квалификации, указанных в конкурсной документации. </w:t>
      </w:r>
      <w:r>
        <w:br/>
      </w:r>
      <w:r>
        <w:rPr>
          <w:rFonts w:ascii="Times New Roman"/>
          <w:b w:val="false"/>
          <w:i w:val="false"/>
          <w:color w:val="000000"/>
          <w:sz w:val="28"/>
        </w:rPr>
        <w:t xml:space="preserve">
      (k)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их конкурсных заявок, но он не может просить или разрешать участникам торгов изменять суть или цену своих конкурсных заявок после вскрытия конкурсных заявок. </w:t>
      </w:r>
      <w:r>
        <w:br/>
      </w:r>
      <w:r>
        <w:rPr>
          <w:rFonts w:ascii="Times New Roman"/>
          <w:b w:val="false"/>
          <w:i w:val="false"/>
          <w:color w:val="000000"/>
          <w:sz w:val="28"/>
        </w:rPr>
        <w:t xml:space="preserve">
      (l) Контракты должны присуждаться квалифицированному участнику торгов, конкурсная заявка которого: (i) в основном отвечает требованиям конкурсной документации; и (ii) и предлагает наименьшую оценочную стоимость. Не должны вестись никакие переговоры относительно цены или сути конкурсной заявки. </w:t>
      </w:r>
      <w:r>
        <w:br/>
      </w:r>
      <w:r>
        <w:rPr>
          <w:rFonts w:ascii="Times New Roman"/>
          <w:b w:val="false"/>
          <w:i w:val="false"/>
          <w:color w:val="000000"/>
          <w:sz w:val="28"/>
        </w:rPr>
        <w:t xml:space="preserve">
      (m)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получено менее двух конкурсных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Всемирного Банка. </w:t>
      </w:r>
      <w:r>
        <w:br/>
      </w:r>
      <w:r>
        <w:rPr>
          <w:rFonts w:ascii="Times New Roman"/>
          <w:b w:val="false"/>
          <w:i w:val="false"/>
          <w:color w:val="000000"/>
          <w:sz w:val="28"/>
        </w:rPr>
        <w:t xml:space="preserve">
      (n) Гарантии: Гарантии конкурсных заявок и исполнения контрактов должны предоставляться в формате и иметь необходимый срок действия, указанный в конкурсной документации. При необходимости обеспечение конкурсной заявки может быть выражено в виде фиксированной суммы и не должно превышать двух процентов (2 %) сметной стоимости контракта. Никакие авансовые платежи не должны производиться подрядчикам без наличия соответствующей Гарантии авансового платежа. </w:t>
      </w:r>
      <w:r>
        <w:br/>
      </w:r>
      <w:r>
        <w:rPr>
          <w:rFonts w:ascii="Times New Roman"/>
          <w:b w:val="false"/>
          <w:i w:val="false"/>
          <w:color w:val="000000"/>
          <w:sz w:val="28"/>
        </w:rPr>
        <w:t xml:space="preserve">
      (o) Конфиденциальность: Процесс оценки конкурсных заявок должен быть конфиденциальным до публикации информации о присуждении контракта. </w:t>
      </w:r>
      <w:r>
        <w:br/>
      </w:r>
      <w:r>
        <w:rPr>
          <w:rFonts w:ascii="Times New Roman"/>
          <w:b w:val="false"/>
          <w:i w:val="false"/>
          <w:color w:val="000000"/>
          <w:sz w:val="28"/>
        </w:rPr>
        <w:t xml:space="preserve">
      (p) Системы электронных закупок: Могут использоваться системы электронных закупок при условии, что Всемирный Банк удовлетворен параметрами систем, при этом, среди прочего, система должна быть безопасной и поддерживать целостность, конфиденциальность и аутентичность поданных конкурсных заявок. </w:t>
      </w:r>
      <w:r>
        <w:br/>
      </w:r>
      <w:r>
        <w:rPr>
          <w:rFonts w:ascii="Times New Roman"/>
          <w:b w:val="false"/>
          <w:i w:val="false"/>
          <w:color w:val="000000"/>
          <w:sz w:val="28"/>
        </w:rPr>
        <w:t xml:space="preserve">
      (q) Мошенничество и коррупция: В соответствии с Руководством по закупкам, вся конкурсная документация и контракты должны включать положения политики Всемирного Банка по применению санкций к фирмам или лицам, уличенным в мошеннической и/или коррупционной деятельности, как определено в Руководстве по закупкам. </w:t>
      </w:r>
      <w:r>
        <w:br/>
      </w:r>
      <w:r>
        <w:rPr>
          <w:rFonts w:ascii="Times New Roman"/>
          <w:b w:val="false"/>
          <w:i w:val="false"/>
          <w:color w:val="000000"/>
          <w:sz w:val="28"/>
        </w:rPr>
        <w:t xml:space="preserve">
      (r)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Банка,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а также допускать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при проведении проверок и аудита, предусмотренных в Руководстве по закупкам, являются препятствующей практикой согласно определению указанного Руководства. </w:t>
      </w:r>
      <w:r>
        <w:br/>
      </w:r>
      <w:r>
        <w:rPr>
          <w:rFonts w:ascii="Times New Roman"/>
          <w:b w:val="false"/>
          <w:i w:val="false"/>
          <w:color w:val="000000"/>
          <w:sz w:val="28"/>
        </w:rPr>
        <w:t xml:space="preserve">
      (s) Публикация информации о присуждении контрактов: Организатор торгов должен опубликовать следующую информацию о присуждении контрактов на бесплатном веб-сайте с открытым доступом или с использованием других средств публикации, приемлемых для Всемирного Банка: (а) наименование каждого участника конкурса, который подал заявку; (b) цены конкурсных заявок, которые были оглашены во время вскрытия конвертов с конкурсными заявками; (с) наименования участников и оценочную стоимость каждой конкурсной заявки, которая проходила оценку; (d) наименования участников торгов, заявки которых были отклонены, и причины отклонения этих заявок; (е) наименование победителя торгов и предложенная им цена, а также продолжительность и краткий обзор охвата присужденного контракта. </w:t>
      </w:r>
    </w:p>
    <w:p>
      <w:pPr>
        <w:spacing w:after="0"/>
        <w:ind w:left="0"/>
        <w:jc w:val="left"/>
      </w:pPr>
      <w:r>
        <w:rPr>
          <w:rFonts w:ascii="Times New Roman"/>
          <w:b/>
          <w:i w:val="false"/>
          <w:color w:val="000000"/>
        </w:rPr>
        <w:t xml:space="preserve"> ДОПОЛНЕНИЕ 3</w:t>
      </w:r>
      <w:r>
        <w:br/>
      </w:r>
      <w:r>
        <w:rPr>
          <w:rFonts w:ascii="Times New Roman"/>
          <w:b/>
          <w:i w:val="false"/>
          <w:color w:val="000000"/>
        </w:rPr>
        <w:t>
График погашения</w:t>
      </w:r>
    </w:p>
    <w:p>
      <w:pPr>
        <w:spacing w:after="0"/>
        <w:ind w:left="0"/>
        <w:jc w:val="both"/>
      </w:pPr>
      <w:r>
        <w:rPr>
          <w:rFonts w:ascii="Times New Roman"/>
          <w:b w:val="false"/>
          <w:i w:val="false"/>
          <w:color w:val="000000"/>
          <w:sz w:val="28"/>
        </w:rPr>
        <w:t>      1. В соответствии с положениями пункта 2 настоящего Дополнения, Заемщик будет погашать каждую освоенную сумму один раз в полгода взносами, которые подлежат выплате 15 марта и 15 сентября каждого года, при этом первый взнос подлежит выплате на одиннадцатую (11) дату платежа, следующую за датой фиксации суммы погашения по освоенной сумме, а последний взнос подлежит выплате на тридцатую (30) дату платежа, следующую за датой фиксации суммы погашения по освоенной сумме. Каждый взнос, за исключением последнего, равен одной двадцатой (1/20) освоенной суммы. Последний взнос будет равен оставшейся непогашенной части освоенной суммы.</w:t>
      </w:r>
      <w:r>
        <w:br/>
      </w:r>
      <w:r>
        <w:rPr>
          <w:rFonts w:ascii="Times New Roman"/>
          <w:b w:val="false"/>
          <w:i w:val="false"/>
          <w:color w:val="000000"/>
          <w:sz w:val="28"/>
        </w:rPr>
        <w:t>
      2. Если один или более взносов в счет погашения основного долга по освоенной сумме в соответствии с положениями пункта 1 настоящего Дополнения будет подлежать выплате после 15 марта 2034 года, то Заемщик также выплатит на такую дату совокупную сумму всех таких взносов.</w:t>
      </w:r>
      <w:r>
        <w:br/>
      </w:r>
      <w:r>
        <w:rPr>
          <w:rFonts w:ascii="Times New Roman"/>
          <w:b w:val="false"/>
          <w:i w:val="false"/>
          <w:color w:val="000000"/>
          <w:sz w:val="28"/>
        </w:rPr>
        <w:t>
      3. Банк должен уведомить стороны Займа о графике погашения долга по каждой освоенной сумме немедленно после даты фиксации суммы погашения по освоенной сумме.</w:t>
      </w:r>
    </w:p>
    <w:p>
      <w:pPr>
        <w:spacing w:after="0"/>
        <w:ind w:left="0"/>
        <w:jc w:val="left"/>
      </w:pPr>
      <w:r>
        <w:rPr>
          <w:rFonts w:ascii="Times New Roman"/>
          <w:b/>
          <w:i w:val="false"/>
          <w:color w:val="000000"/>
        </w:rPr>
        <w:t xml:space="preserve"> ПРИЛОЖЕНИЕ Раздел I. Определения</w:t>
      </w:r>
    </w:p>
    <w:p>
      <w:pPr>
        <w:spacing w:after="0"/>
        <w:ind w:left="0"/>
        <w:jc w:val="both"/>
      </w:pPr>
      <w:r>
        <w:rPr>
          <w:rFonts w:ascii="Times New Roman"/>
          <w:b w:val="false"/>
          <w:i w:val="false"/>
          <w:color w:val="000000"/>
          <w:sz w:val="28"/>
        </w:rPr>
        <w:t>      1. «Кодекс об административных правонарушениях» означает </w:t>
      </w:r>
      <w:r>
        <w:rPr>
          <w:rFonts w:ascii="Times New Roman"/>
          <w:b w:val="false"/>
          <w:i w:val="false"/>
          <w:color w:val="000000"/>
          <w:sz w:val="28"/>
        </w:rPr>
        <w:t>Кодекс</w:t>
      </w:r>
      <w:r>
        <w:rPr>
          <w:rFonts w:ascii="Times New Roman"/>
          <w:b w:val="false"/>
          <w:i w:val="false"/>
          <w:color w:val="000000"/>
          <w:sz w:val="28"/>
        </w:rPr>
        <w:t xml:space="preserve"> Заемщика об административных правонарушениях от 30 января 2001 года (№ 155) с поправками, внесенными </w:t>
      </w:r>
      <w:r>
        <w:rPr>
          <w:rFonts w:ascii="Times New Roman"/>
          <w:b w:val="false"/>
          <w:i w:val="false"/>
          <w:color w:val="000000"/>
          <w:sz w:val="28"/>
        </w:rPr>
        <w:t>Законом</w:t>
      </w:r>
      <w:r>
        <w:rPr>
          <w:rFonts w:ascii="Times New Roman"/>
          <w:b w:val="false"/>
          <w:i w:val="false"/>
          <w:color w:val="000000"/>
          <w:sz w:val="28"/>
        </w:rPr>
        <w:t xml:space="preserve"> Заемщика от 17 января 2014 года (№ 166-V) «О внесении изменений и дополнений в некоторые законодательные акты Республики Казахстан по вопросам противодействия деятельности финансовых (инвестиционных) пирамид», а также другими поправками, которые могут время от времени в него вноситься. </w:t>
      </w:r>
      <w:r>
        <w:br/>
      </w:r>
      <w:r>
        <w:rPr>
          <w:rFonts w:ascii="Times New Roman"/>
          <w:b w:val="false"/>
          <w:i w:val="false"/>
          <w:color w:val="000000"/>
          <w:sz w:val="28"/>
        </w:rPr>
        <w:t xml:space="preserve">
      2.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и в редакции от января 2011 года. </w:t>
      </w:r>
      <w:r>
        <w:br/>
      </w:r>
      <w:r>
        <w:rPr>
          <w:rFonts w:ascii="Times New Roman"/>
          <w:b w:val="false"/>
          <w:i w:val="false"/>
          <w:color w:val="000000"/>
          <w:sz w:val="28"/>
        </w:rPr>
        <w:t xml:space="preserve">
      3. «Категория» означает категорию, указанную в таблице Раздела IV Дополнения 2 к настоящему Соглашению. </w:t>
      </w:r>
      <w:r>
        <w:br/>
      </w:r>
      <w:r>
        <w:rPr>
          <w:rFonts w:ascii="Times New Roman"/>
          <w:b w:val="false"/>
          <w:i w:val="false"/>
          <w:color w:val="000000"/>
          <w:sz w:val="28"/>
        </w:rPr>
        <w:t xml:space="preserve">
      4. «Кодексы» означает, в совокупности, Предпринимательский кодекс, Кодекс об административных правонарушениях и Уголовный кодекс. </w:t>
      </w:r>
      <w:r>
        <w:br/>
      </w:r>
      <w:r>
        <w:rPr>
          <w:rFonts w:ascii="Times New Roman"/>
          <w:b w:val="false"/>
          <w:i w:val="false"/>
          <w:color w:val="000000"/>
          <w:sz w:val="28"/>
        </w:rPr>
        <w:t xml:space="preserve">
      5. «Руководство по консультантам» означает «Руководство по отбору и найму Консультантов в рамках займов МБРР, кредитов и грантов МАР, предоставляемых заемщикам Всемирного Банка» от января 2011 года. </w:t>
      </w:r>
      <w:r>
        <w:br/>
      </w:r>
      <w:r>
        <w:rPr>
          <w:rFonts w:ascii="Times New Roman"/>
          <w:b w:val="false"/>
          <w:i w:val="false"/>
          <w:color w:val="000000"/>
          <w:sz w:val="28"/>
        </w:rPr>
        <w:t xml:space="preserve">
      6. «Предпринимательский кодекс» означает Предпринимательский кодекс Заемщика, который готовится в соответствии с планом законопроектных работ Правительства и который будет представлен в Парламент Заемщика предположительно в июне 2014 года. Этот термин обозначает Предпринимательский кодекс после его полного введения Заемщиком в действие. </w:t>
      </w:r>
      <w:r>
        <w:br/>
      </w:r>
      <w:r>
        <w:rPr>
          <w:rFonts w:ascii="Times New Roman"/>
          <w:b w:val="false"/>
          <w:i w:val="false"/>
          <w:color w:val="000000"/>
          <w:sz w:val="28"/>
        </w:rPr>
        <w:t xml:space="preserve">
      7. «Правомочный кандидат» означает кандидата, имеющего право на получение гранта по стипендиальной программе в соответствии с критериями отбора и правомочности, приемлемыми для Банка, которые указаны в Руководстве по реализации проекта. </w:t>
      </w:r>
      <w:r>
        <w:br/>
      </w:r>
      <w:r>
        <w:rPr>
          <w:rFonts w:ascii="Times New Roman"/>
          <w:b w:val="false"/>
          <w:i w:val="false"/>
          <w:color w:val="000000"/>
          <w:sz w:val="28"/>
        </w:rPr>
        <w:t xml:space="preserve">
      8. «Грант по стипендиальной программе» означает грант, предоставляемый правомочному Кандидату в соответствии с методами отбора, критериями правомочности, процедурами, транзакциями, процессами контроля и утверждения, механизмами реализации и необходимым техническим заданием, указанным в Руководстве по реализации проекта. </w:t>
      </w:r>
      <w:r>
        <w:br/>
      </w:r>
      <w:r>
        <w:rPr>
          <w:rFonts w:ascii="Times New Roman"/>
          <w:b w:val="false"/>
          <w:i w:val="false"/>
          <w:color w:val="000000"/>
          <w:sz w:val="28"/>
        </w:rPr>
        <w:t>
      9. «Руководство по выделению грантов на выплату стипендий» означает руководство, которое будет принято Заемщиком и которое упоминается в Разделе I.B.2 Дополнения 2 к настоящему Соглашению.</w:t>
      </w:r>
      <w:r>
        <w:br/>
      </w:r>
      <w:r>
        <w:rPr>
          <w:rFonts w:ascii="Times New Roman"/>
          <w:b w:val="false"/>
          <w:i w:val="false"/>
          <w:color w:val="000000"/>
          <w:sz w:val="28"/>
        </w:rPr>
        <w:t xml:space="preserve">
      10. «Общие Условия» означает «Общие Условия для займов Международного Банка Реконструкции и Развития» от 12 марта 2012 года. </w:t>
      </w:r>
      <w:r>
        <w:br/>
      </w:r>
      <w:r>
        <w:rPr>
          <w:rFonts w:ascii="Times New Roman"/>
          <w:b w:val="false"/>
          <w:i w:val="false"/>
          <w:color w:val="000000"/>
          <w:sz w:val="28"/>
        </w:rPr>
        <w:t xml:space="preserve">
      11. «Группа по поддержке реализации» или «ГПР» означает консалтинговую фирму, которая будет привлечена Заемщиком через Министерство юстиции для оказания практической поддержки ГРП по реализации Проекта в соответствии с Разделом I.A1 (b) Дополнения 2 к настоящему Соглашению. </w:t>
      </w:r>
      <w:r>
        <w:br/>
      </w:r>
      <w:r>
        <w:rPr>
          <w:rFonts w:ascii="Times New Roman"/>
          <w:b w:val="false"/>
          <w:i w:val="false"/>
          <w:color w:val="000000"/>
          <w:sz w:val="28"/>
        </w:rPr>
        <w:t>
      12. «Дополнительные операционные расходы» означает обоснованные и необходимые дополнительные расходы в связи с реализацией, управлением, координацией, мониторингом и оценкой Проекта, утвержденные Банком на основе полугодовых бюджетов, приемлемых для Банка, которые включают, среди прочего, затраты на: (i) коммунальные услуги и связь; (ii) организацию семинаров; (iii) транспортные расходы и командировочные, в том числе должностных лиц и экспертов, участвующих в реализации Проекта; (iv) расходные офисные материалы; (v) связи со СМИ и рекламные объявления, печать и публикации; (vi) устный и письменный перевод; (vii) уплату банковских комиссий и (viii) аренду транспортных средств и горючее. Независимо от вышесказанного, дополнительные операционные расходы не будут включать заработную плату или денежные пособия государственных служащих Заемщика.</w:t>
      </w:r>
      <w:r>
        <w:br/>
      </w:r>
      <w:r>
        <w:rPr>
          <w:rFonts w:ascii="Times New Roman"/>
          <w:b w:val="false"/>
          <w:i w:val="false"/>
          <w:color w:val="000000"/>
          <w:sz w:val="28"/>
        </w:rPr>
        <w:t>
      13. «Институт правосудия» означает Институт правосудия Академии государственного управления Заемщика при Президенте Республики Казахстан, созданный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31 мая 2005 года № 1583, и любого его правопреемника. </w:t>
      </w:r>
      <w:r>
        <w:br/>
      </w:r>
      <w:r>
        <w:rPr>
          <w:rFonts w:ascii="Times New Roman"/>
          <w:b w:val="false"/>
          <w:i w:val="false"/>
          <w:color w:val="000000"/>
          <w:sz w:val="28"/>
        </w:rPr>
        <w:t>
      14. «Закон о бесплатной правовой помощи» означает </w:t>
      </w:r>
      <w:r>
        <w:rPr>
          <w:rFonts w:ascii="Times New Roman"/>
          <w:b w:val="false"/>
          <w:i w:val="false"/>
          <w:color w:val="000000"/>
          <w:sz w:val="28"/>
        </w:rPr>
        <w:t>Закон</w:t>
      </w:r>
      <w:r>
        <w:rPr>
          <w:rFonts w:ascii="Times New Roman"/>
          <w:b w:val="false"/>
          <w:i w:val="false"/>
          <w:color w:val="000000"/>
          <w:sz w:val="28"/>
        </w:rPr>
        <w:t xml:space="preserve"> Заемщика от 3 июля 2013 года (№ 122-V) «О гарантированной государством юридической помощи» с поправками, которые могут время от времени в него вноситься.</w:t>
      </w:r>
      <w:r>
        <w:br/>
      </w:r>
      <w:r>
        <w:rPr>
          <w:rFonts w:ascii="Times New Roman"/>
          <w:b w:val="false"/>
          <w:i w:val="false"/>
          <w:color w:val="000000"/>
          <w:sz w:val="28"/>
        </w:rPr>
        <w:t>
      15. «Закон о саморегулируемых профессиональных организациях» означает закон о саморегулируемых профессиональных организациях, который будет разработан Заемщиком и который упоминается в Части А.2. Дополнения 1 к настоящему Соглашению.</w:t>
      </w:r>
      <w:r>
        <w:br/>
      </w:r>
      <w:r>
        <w:rPr>
          <w:rFonts w:ascii="Times New Roman"/>
          <w:b w:val="false"/>
          <w:i w:val="false"/>
          <w:color w:val="000000"/>
          <w:sz w:val="28"/>
        </w:rPr>
        <w:t>
      16. «Уголовный кодекс» означает </w:t>
      </w:r>
      <w:r>
        <w:rPr>
          <w:rFonts w:ascii="Times New Roman"/>
          <w:b w:val="false"/>
          <w:i w:val="false"/>
          <w:color w:val="000000"/>
          <w:sz w:val="28"/>
        </w:rPr>
        <w:t>Уголовный кодекс</w:t>
      </w:r>
      <w:r>
        <w:rPr>
          <w:rFonts w:ascii="Times New Roman"/>
          <w:b w:val="false"/>
          <w:i w:val="false"/>
          <w:color w:val="000000"/>
          <w:sz w:val="28"/>
        </w:rPr>
        <w:t xml:space="preserve"> Заемщика от 16 июля 1997 года (№ 167) с поправками, внесенными </w:t>
      </w:r>
      <w:r>
        <w:rPr>
          <w:rFonts w:ascii="Times New Roman"/>
          <w:b w:val="false"/>
          <w:i w:val="false"/>
          <w:color w:val="000000"/>
          <w:sz w:val="28"/>
        </w:rPr>
        <w:t>Законом</w:t>
      </w:r>
      <w:r>
        <w:rPr>
          <w:rFonts w:ascii="Times New Roman"/>
          <w:b w:val="false"/>
          <w:i w:val="false"/>
          <w:color w:val="000000"/>
          <w:sz w:val="28"/>
        </w:rPr>
        <w:t xml:space="preserve"> Заемщика от 17 января 2014 года (№ 166-V) «О внесении изменений и дополнений в некоторые законодательные акты Республики Казахстан по вопросам противодействия деятельности финансовых (инвестиционных) пирамид», а также с другими поправками, которые могут время от времени в него вноситься, или с заменой вновь принятым Уголовным кодексом.</w:t>
      </w:r>
      <w:r>
        <w:br/>
      </w:r>
      <w:r>
        <w:rPr>
          <w:rFonts w:ascii="Times New Roman"/>
          <w:b w:val="false"/>
          <w:i w:val="false"/>
          <w:color w:val="000000"/>
          <w:sz w:val="28"/>
        </w:rPr>
        <w:t>
      17. «Руководство по закупкам» означает «Руководство по закупкам товаров, работ и неконсультационных услуг по займам МБРР, кредитам и грантам МАР заемщиками Всемирного Банка от января 2011 года.</w:t>
      </w:r>
      <w:r>
        <w:br/>
      </w:r>
      <w:r>
        <w:rPr>
          <w:rFonts w:ascii="Times New Roman"/>
          <w:b w:val="false"/>
          <w:i w:val="false"/>
          <w:color w:val="000000"/>
          <w:sz w:val="28"/>
        </w:rPr>
        <w:t>
      18. «План закупок» означает план закупок Заемщика для Проекта от 10 февраля 2014 года, который упоминается в пункте 1.18 Руководства по закупкам и в пункте 1.25 Руководства по отбору и найму консультантов. План будет периодически обновляться в соответствии с положениями указанных пунктов.</w:t>
      </w:r>
      <w:r>
        <w:br/>
      </w:r>
      <w:r>
        <w:rPr>
          <w:rFonts w:ascii="Times New Roman"/>
          <w:b w:val="false"/>
          <w:i w:val="false"/>
          <w:color w:val="000000"/>
          <w:sz w:val="28"/>
        </w:rPr>
        <w:t>
      19. «Группа реализации проекта» или «ГРП» означает группу реализации проекта при Министерстве юстиции, которая отвечает за реализацию Проекта.</w:t>
      </w:r>
      <w:r>
        <w:br/>
      </w:r>
      <w:r>
        <w:rPr>
          <w:rFonts w:ascii="Times New Roman"/>
          <w:b w:val="false"/>
          <w:i w:val="false"/>
          <w:color w:val="000000"/>
          <w:sz w:val="28"/>
        </w:rPr>
        <w:t>
      20. «Министерство экономики и бюджетного планирования» означает Министерство экономики и бюджетного планирования Заемщика и любого его правопреемника.</w:t>
      </w:r>
      <w:r>
        <w:br/>
      </w:r>
      <w:r>
        <w:rPr>
          <w:rFonts w:ascii="Times New Roman"/>
          <w:b w:val="false"/>
          <w:i w:val="false"/>
          <w:color w:val="000000"/>
          <w:sz w:val="28"/>
        </w:rPr>
        <w:t>
      21. «Министерство внутренних дел» означает Министерство внутренних дел Заемщика и любого его правопреемника.</w:t>
      </w:r>
      <w:r>
        <w:br/>
      </w:r>
      <w:r>
        <w:rPr>
          <w:rFonts w:ascii="Times New Roman"/>
          <w:b w:val="false"/>
          <w:i w:val="false"/>
          <w:color w:val="000000"/>
          <w:sz w:val="28"/>
        </w:rPr>
        <w:t>
      22. «Министерство юстиции» означает Министерство юстиции Заемщика и любого его правопреемника.</w:t>
      </w:r>
      <w:r>
        <w:br/>
      </w:r>
      <w:r>
        <w:rPr>
          <w:rFonts w:ascii="Times New Roman"/>
          <w:b w:val="false"/>
          <w:i w:val="false"/>
          <w:color w:val="000000"/>
          <w:sz w:val="28"/>
        </w:rPr>
        <w:t>
      23. «Руководство по реализации проекта» означает руководство, которое будет принято Заемщиком и которое упоминается в Разделе I.B.1 Дополнения 2 к настоящему Соглашению.</w:t>
      </w:r>
      <w:r>
        <w:br/>
      </w:r>
      <w:r>
        <w:rPr>
          <w:rFonts w:ascii="Times New Roman"/>
          <w:b w:val="false"/>
          <w:i w:val="false"/>
          <w:color w:val="000000"/>
          <w:sz w:val="28"/>
        </w:rPr>
        <w:t>
      24. «Отобранные учреждения Заемщика» означает любое из следующего: (a) Министерство юстиции; (b) Министерство экономики и бюджетного планирования, (c) Министерство регионального развития, (d) Министерство внутренних дел, (e) Верховный Суд, или (f) другой государственный орган Заемщика, отобранный в соответствии с критериями, указанными в Руководстве по реализации проекта.</w:t>
      </w:r>
      <w:r>
        <w:br/>
      </w:r>
      <w:r>
        <w:rPr>
          <w:rFonts w:ascii="Times New Roman"/>
          <w:b w:val="false"/>
          <w:i w:val="false"/>
          <w:color w:val="000000"/>
          <w:sz w:val="28"/>
        </w:rPr>
        <w:t>
      25. «Отобранные суды» означает суды первой инстанции Заемщика, расположенные в Алматы, Астане, Актобе, Семее, Павлодаре и Караганде, или другие суды, отобранные в соответствии с критериями, указанными в Руководстве по реализации проекта.</w:t>
      </w:r>
      <w:r>
        <w:br/>
      </w:r>
      <w:r>
        <w:rPr>
          <w:rFonts w:ascii="Times New Roman"/>
          <w:b w:val="false"/>
          <w:i w:val="false"/>
          <w:color w:val="000000"/>
          <w:sz w:val="28"/>
        </w:rPr>
        <w:t>
      26. «Верховный Суд» означает Верховный Суд Заемщика и любого его правопреемника.</w:t>
      </w:r>
      <w:r>
        <w:br/>
      </w:r>
      <w:r>
        <w:rPr>
          <w:rFonts w:ascii="Times New Roman"/>
          <w:b w:val="false"/>
          <w:i w:val="false"/>
          <w:color w:val="000000"/>
          <w:sz w:val="28"/>
        </w:rPr>
        <w:t>
      27. «Обучение» означает мероприятия по обучению (помимо консультационных услуг), которые должны проводиться в рамках Проекта после утверждения Банком на основе полугодовых приемлемых для Банка планов обучения и ознакомительных поездок, в том числе обоснованные и необходимые расходы на поездки внутри страны и международные поездки и получение виз, которые несут участники во время обучающих семинаров, а также расходы на проживание, питание, командировочные расходы для местных и международных поездок в соответствии с нормативными документами Заемщика, регистрацию, оплату за обучение и услуги кураторов, несущественные организационные расходы (в том числе стоимость канцелярских товаров, раздаточных и учебных материалов), затраты на письменный и устный переводы, затраты на аренду помещений и другие расходы, напрямую связанные с обучающими семинарами и ознакомительными поездками.</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