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e497" w14:textId="780e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расходов участников национального превентивного механизма по превентивным посещениям</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2014 года № 301.</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16.02.2023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расходов участников национального превентивного механизма по превентивным посещениям.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постановлением Правительства РК от 16.02.2023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2014 года № 301 </w:t>
            </w:r>
          </w:p>
        </w:tc>
      </w:tr>
    </w:tbl>
    <w:bookmarkStart w:name="z5" w:id="3"/>
    <w:p>
      <w:pPr>
        <w:spacing w:after="0"/>
        <w:ind w:left="0"/>
        <w:jc w:val="left"/>
      </w:pPr>
      <w:r>
        <w:rPr>
          <w:rFonts w:ascii="Times New Roman"/>
          <w:b/>
          <w:i w:val="false"/>
          <w:color w:val="000000"/>
        </w:rPr>
        <w:t xml:space="preserve"> Правила возмещения расходов участников национального превентивного механизма по превентивным посещениям</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16.02.2023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возмещения расходов участников национального превентивного механизма по превентивным посещениям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статьей 46-10</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val="false"/>
          <w:i w:val="false"/>
          <w:color w:val="000000"/>
          <w:sz w:val="28"/>
        </w:rPr>
        <w:t>статьей 47-1</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статьей 143</w:t>
      </w:r>
      <w:r>
        <w:rPr>
          <w:rFonts w:ascii="Times New Roman"/>
          <w:b w:val="false"/>
          <w:i w:val="false"/>
          <w:color w:val="000000"/>
          <w:sz w:val="28"/>
        </w:rPr>
        <w:t xml:space="preserve"> Социального кодекса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13.05.2025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2. Порядок возмещения расходов участникам национального превентивного механизма</w:t>
      </w:r>
    </w:p>
    <w:bookmarkEnd w:id="6"/>
    <w:bookmarkStart w:name="z9" w:id="7"/>
    <w:p>
      <w:pPr>
        <w:spacing w:after="0"/>
        <w:ind w:left="0"/>
        <w:jc w:val="both"/>
      </w:pPr>
      <w:r>
        <w:rPr>
          <w:rFonts w:ascii="Times New Roman"/>
          <w:b w:val="false"/>
          <w:i w:val="false"/>
          <w:color w:val="000000"/>
          <w:sz w:val="28"/>
        </w:rPr>
        <w:t>
      2. Возмещение расходов участников национального превентивного механизма по превентивным посещениям производится за счет средств республиканского бюджета предусмотренного на соответствующий финансовый год.</w:t>
      </w:r>
    </w:p>
    <w:bookmarkEnd w:id="7"/>
    <w:bookmarkStart w:name="z10" w:id="8"/>
    <w:p>
      <w:pPr>
        <w:spacing w:after="0"/>
        <w:ind w:left="0"/>
        <w:jc w:val="both"/>
      </w:pPr>
      <w:r>
        <w:rPr>
          <w:rFonts w:ascii="Times New Roman"/>
          <w:b w:val="false"/>
          <w:i w:val="false"/>
          <w:color w:val="000000"/>
          <w:sz w:val="28"/>
        </w:rPr>
        <w:t>
      3. Возмещение расходов по превентивным посещениям за счет средств республиканского бюджета осуществляется на основании следующих документов:</w:t>
      </w:r>
    </w:p>
    <w:bookmarkEnd w:id="8"/>
    <w:bookmarkStart w:name="z11" w:id="9"/>
    <w:p>
      <w:pPr>
        <w:spacing w:after="0"/>
        <w:ind w:left="0"/>
        <w:jc w:val="both"/>
      </w:pPr>
      <w:r>
        <w:rPr>
          <w:rFonts w:ascii="Times New Roman"/>
          <w:b w:val="false"/>
          <w:i w:val="false"/>
          <w:color w:val="000000"/>
          <w:sz w:val="28"/>
        </w:rPr>
        <w:t>
      1) протоколы Координационного совета при Уполномоченном по правам человека в Республике Казахстан (далее – Координационный совет) об утверждении планов указанных видов превентивных посещений с приложением соответствующих планов (включающих сроки, перечень посещаемых учреждений и организаций, а также составы групп, уполномоченных на проведение указанных видов посещений) – по периодическим и промежуточным превентивным посещениям (в том числе по разовым и тематическим);</w:t>
      </w:r>
    </w:p>
    <w:bookmarkEnd w:id="9"/>
    <w:bookmarkStart w:name="z12" w:id="10"/>
    <w:p>
      <w:pPr>
        <w:spacing w:after="0"/>
        <w:ind w:left="0"/>
        <w:jc w:val="both"/>
      </w:pPr>
      <w:r>
        <w:rPr>
          <w:rFonts w:ascii="Times New Roman"/>
          <w:b w:val="false"/>
          <w:i w:val="false"/>
          <w:color w:val="000000"/>
          <w:sz w:val="28"/>
        </w:rPr>
        <w:t>
      2) решение Уполномоченного по правам человека в Республике Казахстан о направлении группы участников национального превентивного механизма на основании поступивших сообщений о применении пыток и других жестоких, бесчеловечных или унижающих достоинство видов обращения и наказания - по специальным посещениям;</w:t>
      </w:r>
    </w:p>
    <w:bookmarkEnd w:id="10"/>
    <w:bookmarkStart w:name="z13" w:id="11"/>
    <w:p>
      <w:pPr>
        <w:spacing w:after="0"/>
        <w:ind w:left="0"/>
        <w:jc w:val="both"/>
      </w:pPr>
      <w:r>
        <w:rPr>
          <w:rFonts w:ascii="Times New Roman"/>
          <w:b w:val="false"/>
          <w:i w:val="false"/>
          <w:color w:val="000000"/>
          <w:sz w:val="28"/>
        </w:rPr>
        <w:t>
      3) документы, подтверждающие расходы, указанные в пунктах 5, 6 настоящих Правил;</w:t>
      </w:r>
    </w:p>
    <w:bookmarkEnd w:id="11"/>
    <w:bookmarkStart w:name="z14" w:id="12"/>
    <w:p>
      <w:pPr>
        <w:spacing w:after="0"/>
        <w:ind w:left="0"/>
        <w:jc w:val="both"/>
      </w:pPr>
      <w:r>
        <w:rPr>
          <w:rFonts w:ascii="Times New Roman"/>
          <w:b w:val="false"/>
          <w:i w:val="false"/>
          <w:color w:val="000000"/>
          <w:sz w:val="28"/>
        </w:rPr>
        <w:t>
      4) отчет о фактических расходах денежных средств, направляемый руководителями групп в соответствии с пунктом 7 настоящих Правил;</w:t>
      </w:r>
    </w:p>
    <w:bookmarkEnd w:id="12"/>
    <w:bookmarkStart w:name="z15" w:id="13"/>
    <w:p>
      <w:pPr>
        <w:spacing w:after="0"/>
        <w:ind w:left="0"/>
        <w:jc w:val="both"/>
      </w:pPr>
      <w:r>
        <w:rPr>
          <w:rFonts w:ascii="Times New Roman"/>
          <w:b w:val="false"/>
          <w:i w:val="false"/>
          <w:color w:val="000000"/>
          <w:sz w:val="28"/>
        </w:rPr>
        <w:t>
      5) подтверждение администратором бюджетных программ предоставления письменного отчета по итогам превентивного посещения участников группы национального превентивного механизма.</w:t>
      </w:r>
    </w:p>
    <w:bookmarkEnd w:id="13"/>
    <w:bookmarkStart w:name="z16" w:id="14"/>
    <w:p>
      <w:pPr>
        <w:spacing w:after="0"/>
        <w:ind w:left="0"/>
        <w:jc w:val="both"/>
      </w:pPr>
      <w:r>
        <w:rPr>
          <w:rFonts w:ascii="Times New Roman"/>
          <w:b w:val="false"/>
          <w:i w:val="false"/>
          <w:color w:val="000000"/>
          <w:sz w:val="28"/>
        </w:rPr>
        <w:t>
      4. Копия протокола Координационного совета не позднее 10 января соответствующего года направляется администратору бюджетной программы.</w:t>
      </w:r>
    </w:p>
    <w:bookmarkEnd w:id="14"/>
    <w:bookmarkStart w:name="z17" w:id="15"/>
    <w:p>
      <w:pPr>
        <w:spacing w:after="0"/>
        <w:ind w:left="0"/>
        <w:jc w:val="both"/>
      </w:pPr>
      <w:r>
        <w:rPr>
          <w:rFonts w:ascii="Times New Roman"/>
          <w:b w:val="false"/>
          <w:i w:val="false"/>
          <w:color w:val="000000"/>
          <w:sz w:val="28"/>
        </w:rPr>
        <w:t>
      5. Участникам национального превентивного механизма администратором бюджетной программы возмещаются:</w:t>
      </w:r>
    </w:p>
    <w:bookmarkEnd w:id="15"/>
    <w:bookmarkStart w:name="z18" w:id="16"/>
    <w:p>
      <w:pPr>
        <w:spacing w:after="0"/>
        <w:ind w:left="0"/>
        <w:jc w:val="both"/>
      </w:pPr>
      <w:r>
        <w:rPr>
          <w:rFonts w:ascii="Times New Roman"/>
          <w:b w:val="false"/>
          <w:i w:val="false"/>
          <w:color w:val="000000"/>
          <w:sz w:val="28"/>
        </w:rPr>
        <w:t>
      1) расходы, связанные с выездом участника национального превентивного механизма в другую местность, в том числе по участию в работе Координационного совета:</w:t>
      </w:r>
    </w:p>
    <w:bookmarkEnd w:id="16"/>
    <w:bookmarkStart w:name="z74" w:id="17"/>
    <w:p>
      <w:pPr>
        <w:spacing w:after="0"/>
        <w:ind w:left="0"/>
        <w:jc w:val="both"/>
      </w:pPr>
      <w:r>
        <w:rPr>
          <w:rFonts w:ascii="Times New Roman"/>
          <w:b w:val="false"/>
          <w:i w:val="false"/>
          <w:color w:val="000000"/>
          <w:sz w:val="28"/>
        </w:rPr>
        <w:t>
      за каждый день пребывания в месте превентивного посещения участнику превентивного механизма выплачиваются суточные в размере двух месячных расчетных показателей;</w:t>
      </w:r>
    </w:p>
    <w:bookmarkEnd w:id="17"/>
    <w:bookmarkStart w:name="z75" w:id="18"/>
    <w:p>
      <w:pPr>
        <w:spacing w:after="0"/>
        <w:ind w:left="0"/>
        <w:jc w:val="both"/>
      </w:pPr>
      <w:r>
        <w:rPr>
          <w:rFonts w:ascii="Times New Roman"/>
          <w:b w:val="false"/>
          <w:i w:val="false"/>
          <w:color w:val="000000"/>
          <w:sz w:val="28"/>
        </w:rPr>
        <w:t>
      по найму жилого помещения по предъявленным подтверждающим документам (фискальный чек, приходный кассовый ордер, счет-фактура, счет, накладная, извещение, а в случае представления документов за проживание от индивидуального предпринимателя дополнительно представляются документы, подтверждающие право лица сдавать в аренду имущество (договор аренды, патент, свидетельство и другие подтверждающие документы, предоставляемые поставщиками гостиничных услуг), при этом сумма расходов по найму жилого помещения в сутки не должна превышать семикратного размера месячного расчетного показателя – в городах Астане, Алматы, Шымкенте, Атырау, Актау и Байконыре,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Бурабай Бурабайского района Акмолинской области, двукратного размера месячного расчетного показателя – в сельских округах;</w:t>
      </w:r>
    </w:p>
    <w:bookmarkEnd w:id="18"/>
    <w:bookmarkStart w:name="z76" w:id="19"/>
    <w:p>
      <w:pPr>
        <w:spacing w:after="0"/>
        <w:ind w:left="0"/>
        <w:jc w:val="both"/>
      </w:pPr>
      <w:r>
        <w:rPr>
          <w:rFonts w:ascii="Times New Roman"/>
          <w:b w:val="false"/>
          <w:i w:val="false"/>
          <w:color w:val="000000"/>
          <w:sz w:val="28"/>
        </w:rPr>
        <w:t>
      по проезду к месту пребывания и обратно к месту постоянной работы на основании предъявленных проездных документов при проезде по железным дорогам – по тарифу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по водным путям, шоссейным и грунтовым дорогам – по существующей в данной местности стоимости проезда;</w:t>
      </w:r>
    </w:p>
    <w:bookmarkEnd w:id="19"/>
    <w:bookmarkStart w:name="z77" w:id="20"/>
    <w:p>
      <w:pPr>
        <w:spacing w:after="0"/>
        <w:ind w:left="0"/>
        <w:jc w:val="both"/>
      </w:pPr>
      <w:r>
        <w:rPr>
          <w:rFonts w:ascii="Times New Roman"/>
          <w:b w:val="false"/>
          <w:i w:val="false"/>
          <w:color w:val="000000"/>
          <w:sz w:val="28"/>
        </w:rPr>
        <w:t>
      стоимость бронирования проездных билетов и места в гостинице, а также пользования постельными принадлежностями в поездах при проезде к месту пребывания и обратно к месту работы (должности) при наличии документов, подтверждающих эти расходы;</w:t>
      </w:r>
    </w:p>
    <w:bookmarkEnd w:id="20"/>
    <w:bookmarkStart w:name="z78" w:id="21"/>
    <w:p>
      <w:pPr>
        <w:spacing w:after="0"/>
        <w:ind w:left="0"/>
        <w:jc w:val="both"/>
      </w:pPr>
      <w:r>
        <w:rPr>
          <w:rFonts w:ascii="Times New Roman"/>
          <w:b w:val="false"/>
          <w:i w:val="false"/>
          <w:color w:val="000000"/>
          <w:sz w:val="28"/>
        </w:rPr>
        <w:t>
      при отсутствии проездных документов к месту пребывания и обратно к месту основной работы (должности) расходы возмещаются по минимальной стоимости проезда транспортом на основании справки железнодорожного или речного/морского вокзала либо автовокзала;</w:t>
      </w:r>
    </w:p>
    <w:bookmarkEnd w:id="21"/>
    <w:bookmarkStart w:name="z79" w:id="22"/>
    <w:p>
      <w:pPr>
        <w:spacing w:after="0"/>
        <w:ind w:left="0"/>
        <w:jc w:val="both"/>
      </w:pPr>
      <w:r>
        <w:rPr>
          <w:rFonts w:ascii="Times New Roman"/>
          <w:b w:val="false"/>
          <w:i w:val="false"/>
          <w:color w:val="000000"/>
          <w:sz w:val="28"/>
        </w:rPr>
        <w:t>
      по проезду автотранспортом (кроме такси) к железнодорожной станции, пристани, аэропорту, если они находятся за пределами населенного пункта, при наличии подтверждающих документов;</w:t>
      </w:r>
    </w:p>
    <w:bookmarkEnd w:id="22"/>
    <w:bookmarkStart w:name="z80" w:id="23"/>
    <w:p>
      <w:pPr>
        <w:spacing w:after="0"/>
        <w:ind w:left="0"/>
        <w:jc w:val="both"/>
      </w:pPr>
      <w:r>
        <w:rPr>
          <w:rFonts w:ascii="Times New Roman"/>
          <w:b w:val="false"/>
          <w:i w:val="false"/>
          <w:color w:val="000000"/>
          <w:sz w:val="28"/>
        </w:rPr>
        <w:t xml:space="preserve">
      при превентивном посещении в местности, откуда участник национального превентивного механизма имеет возможность ежедневно возвращаться к месту постоянного жительства, возмещаются только транспортные расходы при наличии проездных документов без выплаты суточных; </w:t>
      </w:r>
    </w:p>
    <w:bookmarkEnd w:id="23"/>
    <w:bookmarkStart w:name="z29" w:id="24"/>
    <w:p>
      <w:pPr>
        <w:spacing w:after="0"/>
        <w:ind w:left="0"/>
        <w:jc w:val="both"/>
      </w:pPr>
      <w:r>
        <w:rPr>
          <w:rFonts w:ascii="Times New Roman"/>
          <w:b w:val="false"/>
          <w:i w:val="false"/>
          <w:color w:val="000000"/>
          <w:sz w:val="28"/>
        </w:rPr>
        <w:t>
      2) расходы, связанные с подготовкой отчета по итогам посещений, включая обработку собранных материалов, подготовку предложений и рекомендаций, информации для ежегодного консолидированного доклада по итогам превентивного посещения в размере:</w:t>
      </w:r>
    </w:p>
    <w:bookmarkEnd w:id="24"/>
    <w:bookmarkStart w:name="z30" w:id="25"/>
    <w:p>
      <w:pPr>
        <w:spacing w:after="0"/>
        <w:ind w:left="0"/>
        <w:jc w:val="both"/>
      </w:pPr>
      <w:r>
        <w:rPr>
          <w:rFonts w:ascii="Times New Roman"/>
          <w:b w:val="false"/>
          <w:i w:val="false"/>
          <w:color w:val="000000"/>
          <w:sz w:val="28"/>
        </w:rPr>
        <w:t>
      десяти месячных расчетных показателей каждому участнику национального превентивного механизма по разовым периодическим и промежуточным, а также специальным превентивным посещениям;</w:t>
      </w:r>
    </w:p>
    <w:bookmarkEnd w:id="25"/>
    <w:bookmarkStart w:name="z31" w:id="26"/>
    <w:p>
      <w:pPr>
        <w:spacing w:after="0"/>
        <w:ind w:left="0"/>
        <w:jc w:val="both"/>
      </w:pPr>
      <w:r>
        <w:rPr>
          <w:rFonts w:ascii="Times New Roman"/>
          <w:b w:val="false"/>
          <w:i w:val="false"/>
          <w:color w:val="000000"/>
          <w:sz w:val="28"/>
        </w:rPr>
        <w:t>
      двенадцатимесячных расчетных показателей каждому участнику национального превентивного механизма по тематическим периодическим и промежуточным превентивным посещениям;</w:t>
      </w:r>
    </w:p>
    <w:bookmarkEnd w:id="26"/>
    <w:bookmarkStart w:name="z32" w:id="27"/>
    <w:p>
      <w:pPr>
        <w:spacing w:after="0"/>
        <w:ind w:left="0"/>
        <w:jc w:val="both"/>
      </w:pPr>
      <w:r>
        <w:rPr>
          <w:rFonts w:ascii="Times New Roman"/>
          <w:b w:val="false"/>
          <w:i w:val="false"/>
          <w:color w:val="000000"/>
          <w:sz w:val="28"/>
        </w:rPr>
        <w:t>
      3) накладные расходы, включающие расходы на приобретение канцелярских товаров, копирование собранных материалов, за пользование телефонной связью, Интернетом и почтовыми услугами, – в размере, не превышающем двух месячных расчетных показателей на каждого участника национального превентивного механизма, осуществлявшего превентивное посещение;</w:t>
      </w:r>
    </w:p>
    <w:bookmarkEnd w:id="27"/>
    <w:bookmarkStart w:name="z33" w:id="28"/>
    <w:p>
      <w:pPr>
        <w:spacing w:after="0"/>
        <w:ind w:left="0"/>
        <w:jc w:val="both"/>
      </w:pPr>
      <w:r>
        <w:rPr>
          <w:rFonts w:ascii="Times New Roman"/>
          <w:b w:val="false"/>
          <w:i w:val="false"/>
          <w:color w:val="000000"/>
          <w:sz w:val="28"/>
        </w:rPr>
        <w:t>
      4) расходы на медицинское и лабораторное обследование, приобретение средств индивидуальной защиты (медицинские маски, одноразовые перчатки, медицинский защитный экран, одноразовый защитный халат или комбинезон) в период ограничительных мероприятий, в том числе карантина, которые введены решением главного государственного санитарного врача Республики Казахстан (соответствующей территории) или его заместителей при возникновении, угрозе завоза и распространения инфекционных заболеваний в соответствии с законодательством Республики Казахстан, – в размере, не превышающем пяти месячных расчетных показателей на каждого участника национального превентивного механизма, осуществлявшего превентивное посещение.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постановления Правительства РК от 13.05.2025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Расходы, связанные с выездом участника национального превентивного механизма в другую местность, подлежат возмещению в следующем порядке:</w:t>
      </w:r>
    </w:p>
    <w:bookmarkEnd w:id="29"/>
    <w:bookmarkStart w:name="z35" w:id="30"/>
    <w:p>
      <w:pPr>
        <w:spacing w:after="0"/>
        <w:ind w:left="0"/>
        <w:jc w:val="both"/>
      </w:pPr>
      <w:r>
        <w:rPr>
          <w:rFonts w:ascii="Times New Roman"/>
          <w:b w:val="false"/>
          <w:i w:val="false"/>
          <w:color w:val="000000"/>
          <w:sz w:val="28"/>
        </w:rPr>
        <w:t>
      1) фактическое время пребывания в месте превентивного посещения (далее – место пребывания) определяется по отметкам в удостоверении участника превентивного посещения, выдаваемом руководителем группы национального превентивного механизма, о дате прибытия в место пребывания и дате выбытия из места пребывания. Если участник национального превентивного посещения осуществляет превентивные посещения в разных населенных пунктах, отметки о дате прибытия и дате выбытия делаются в каждом из них. Соответствующие отметки проставляются в кадровых службах посещаемых учреждений и организаций;</w:t>
      </w:r>
    </w:p>
    <w:bookmarkEnd w:id="30"/>
    <w:bookmarkStart w:name="z36" w:id="31"/>
    <w:p>
      <w:pPr>
        <w:spacing w:after="0"/>
        <w:ind w:left="0"/>
        <w:jc w:val="both"/>
      </w:pPr>
      <w:r>
        <w:rPr>
          <w:rFonts w:ascii="Times New Roman"/>
          <w:b w:val="false"/>
          <w:i w:val="false"/>
          <w:color w:val="000000"/>
          <w:sz w:val="28"/>
        </w:rPr>
        <w:t>
      2) регистрация участников национального превентивного механизма, выезжающих в другую местность и прибывающих в места основной работы (должности) после превентивного посещения, ведется в специальном журнале руководителем группы национального превентивного механизма;</w:t>
      </w:r>
    </w:p>
    <w:bookmarkEnd w:id="31"/>
    <w:bookmarkStart w:name="z37" w:id="32"/>
    <w:p>
      <w:pPr>
        <w:spacing w:after="0"/>
        <w:ind w:left="0"/>
        <w:jc w:val="both"/>
      </w:pPr>
      <w:r>
        <w:rPr>
          <w:rFonts w:ascii="Times New Roman"/>
          <w:b w:val="false"/>
          <w:i w:val="false"/>
          <w:color w:val="000000"/>
          <w:sz w:val="28"/>
        </w:rPr>
        <w:t>
      3) днем выезда к месту пребывания считается день отправления поезда, автобуса или другого транспортного средства из места основной работы (должности) направляемого для превентивного посещения участника национального превентивного механизма, а днем приезда - день прибытия указанного транспорта в место основной работы (должности) участника национального превентивного механизма. При отправлении транспортного средства до 24 часов включительно днем выезда считаются текущие сутки, с 0 часов и позднее - последующие сутки;</w:t>
      </w:r>
    </w:p>
    <w:bookmarkEnd w:id="32"/>
    <w:bookmarkStart w:name="z38" w:id="33"/>
    <w:p>
      <w:pPr>
        <w:spacing w:after="0"/>
        <w:ind w:left="0"/>
        <w:jc w:val="both"/>
      </w:pPr>
      <w:r>
        <w:rPr>
          <w:rFonts w:ascii="Times New Roman"/>
          <w:b w:val="false"/>
          <w:i w:val="false"/>
          <w:color w:val="000000"/>
          <w:sz w:val="28"/>
        </w:rPr>
        <w:t>
      4) если станция отправления находится за чертой населенного пункта, то день выезда в другую местность исчисляется указанным выше способом с учетом времени, необходимого для проезда к месту отправления транспорта.</w:t>
      </w:r>
    </w:p>
    <w:bookmarkEnd w:id="33"/>
    <w:bookmarkStart w:name="z39" w:id="34"/>
    <w:p>
      <w:pPr>
        <w:spacing w:after="0"/>
        <w:ind w:left="0"/>
        <w:jc w:val="both"/>
      </w:pPr>
      <w:r>
        <w:rPr>
          <w:rFonts w:ascii="Times New Roman"/>
          <w:b w:val="false"/>
          <w:i w:val="false"/>
          <w:color w:val="000000"/>
          <w:sz w:val="28"/>
        </w:rPr>
        <w:t>
      В случае несвоевременного прибытия или отправления поезда, автобуса или другого транспортного средства перевозчик по просьбе пассажира выдает ему документ, свидетельствующий об опоздании поезда, автобуса или другого транспортного средства;</w:t>
      </w:r>
    </w:p>
    <w:bookmarkEnd w:id="34"/>
    <w:bookmarkStart w:name="z40" w:id="35"/>
    <w:p>
      <w:pPr>
        <w:spacing w:after="0"/>
        <w:ind w:left="0"/>
        <w:jc w:val="both"/>
      </w:pPr>
      <w:r>
        <w:rPr>
          <w:rFonts w:ascii="Times New Roman"/>
          <w:b w:val="false"/>
          <w:i w:val="false"/>
          <w:color w:val="000000"/>
          <w:sz w:val="28"/>
        </w:rPr>
        <w:t>
      5) за участником национального превентивного посещения в течение превентивного посещения, включающего дату выезда в другую местность и дату приезда к месту основной работы (должности), сохраняется место основной работы (должности) и выплачивается заработная плата в соответствии с пунктами 1 и 2 статьи 124 Трудового кодекса Республики Казахстан.</w:t>
      </w:r>
    </w:p>
    <w:bookmarkEnd w:id="35"/>
    <w:bookmarkStart w:name="z41" w:id="36"/>
    <w:p>
      <w:pPr>
        <w:spacing w:after="0"/>
        <w:ind w:left="0"/>
        <w:jc w:val="both"/>
      </w:pPr>
      <w:r>
        <w:rPr>
          <w:rFonts w:ascii="Times New Roman"/>
          <w:b w:val="false"/>
          <w:i w:val="false"/>
          <w:color w:val="000000"/>
          <w:sz w:val="28"/>
        </w:rPr>
        <w:t>
      7. Ежемесячно не позднее 5 числа месяца, следующего за отчетным, руководитель группы национального превентивного механизма направляет заказным письмом в адрес администратора бюджетной программы отчет о фактических расходах денежных средств, предусматривающий информацию о подлежащих возмещению расходах по форме согласно приложению к настоящим Правилам.</w:t>
      </w:r>
    </w:p>
    <w:bookmarkEnd w:id="36"/>
    <w:bookmarkStart w:name="z42" w:id="37"/>
    <w:p>
      <w:pPr>
        <w:spacing w:after="0"/>
        <w:ind w:left="0"/>
        <w:jc w:val="both"/>
      </w:pPr>
      <w:r>
        <w:rPr>
          <w:rFonts w:ascii="Times New Roman"/>
          <w:b w:val="false"/>
          <w:i w:val="false"/>
          <w:color w:val="000000"/>
          <w:sz w:val="28"/>
        </w:rPr>
        <w:t>
      К отчету о фактических расходах денежных средств руководитель группы прилагает документы, подтверждающие расходы, указанные в пунктах 5, 6 настоящих Правил.</w:t>
      </w:r>
    </w:p>
    <w:bookmarkEnd w:id="37"/>
    <w:bookmarkStart w:name="z43" w:id="38"/>
    <w:p>
      <w:pPr>
        <w:spacing w:after="0"/>
        <w:ind w:left="0"/>
        <w:jc w:val="both"/>
      </w:pPr>
      <w:r>
        <w:rPr>
          <w:rFonts w:ascii="Times New Roman"/>
          <w:b w:val="false"/>
          <w:i w:val="false"/>
          <w:color w:val="000000"/>
          <w:sz w:val="28"/>
        </w:rPr>
        <w:t>
      8. Администратор бюджетной программы ежемесячно, не позднее 10 рабочих дней с даты подтверждения о предоставлении письменного отчета по итогам превентивных посещений участников группы национального превентивного механизма, производит возмещение расходов участника национального превентивного механизма путем начисления причитающейся участнику национального превентивного механизма суммы на его текущий банковский или иной счет, представленный руководителем группы национального превентивного механизма и подтвержденный соответствующим банком или организацией, осуществляющей отдельные виды банковских операций.</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 xml:space="preserve">расходов участников </w:t>
            </w:r>
            <w:r>
              <w:br/>
            </w:r>
            <w:r>
              <w:rPr>
                <w:rFonts w:ascii="Times New Roman"/>
                <w:b w:val="false"/>
                <w:i w:val="false"/>
                <w:color w:val="000000"/>
                <w:sz w:val="20"/>
              </w:rPr>
              <w:t>национального</w:t>
            </w:r>
            <w:r>
              <w:br/>
            </w:r>
            <w:r>
              <w:rPr>
                <w:rFonts w:ascii="Times New Roman"/>
                <w:b w:val="false"/>
                <w:i w:val="false"/>
                <w:color w:val="000000"/>
                <w:sz w:val="20"/>
              </w:rPr>
              <w:t>превентивного механизма по</w:t>
            </w:r>
            <w:r>
              <w:br/>
            </w:r>
            <w:r>
              <w:rPr>
                <w:rFonts w:ascii="Times New Roman"/>
                <w:b w:val="false"/>
                <w:i w:val="false"/>
                <w:color w:val="000000"/>
                <w:sz w:val="20"/>
              </w:rPr>
              <w:t xml:space="preserve">превентивным посещениям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9"/>
    <w:p>
      <w:pPr>
        <w:spacing w:after="0"/>
        <w:ind w:left="0"/>
        <w:jc w:val="left"/>
      </w:pPr>
      <w:r>
        <w:rPr>
          <w:rFonts w:ascii="Times New Roman"/>
          <w:b/>
          <w:i w:val="false"/>
          <w:color w:val="000000"/>
        </w:rPr>
        <w:t xml:space="preserve"> Отчет о фактических расходах денежных средств по превентивным посещениям участников группы национального превентивного механизма (НПМ) за _________ месяц ______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или организации с указанием полного адреса нахождения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участников группы НПМ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подготовкой отчета группы по результатам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выездом участника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41"/>
      <w:r>
        <w:rPr>
          <w:rFonts w:ascii="Times New Roman"/>
          <w:b w:val="false"/>
          <w:i w:val="false"/>
          <w:color w:val="000000"/>
          <w:sz w:val="28"/>
        </w:rPr>
        <w:t>
      Руководитель группы НПМ ________________________________________________</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(Ф.И.О. (при его наличии), подпись, дата и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