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a2dc" w14:textId="066a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этапа (2014 - 2015 годы) Плана мероприятий по обеспечению прав и улучшению качества жизни инвалидов в Республике Казахстан на 2012 - 2018 годы</w:t>
      </w:r>
    </w:p>
    <w:p>
      <w:pPr>
        <w:spacing w:after="0"/>
        <w:ind w:left="0"/>
        <w:jc w:val="both"/>
      </w:pPr>
      <w:r>
        <w:rPr>
          <w:rFonts w:ascii="Times New Roman"/>
          <w:b w:val="false"/>
          <w:i w:val="false"/>
          <w:color w:val="000000"/>
          <w:sz w:val="28"/>
        </w:rPr>
        <w:t>Постановление Правительства Республики Казахстан от 26 марта 2014 года № 254</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прилагаемый </w:t>
      </w:r>
      <w:r>
        <w:rPr>
          <w:rFonts w:ascii="Times New Roman"/>
          <w:b w:val="false"/>
          <w:i w:val="false"/>
          <w:color w:val="000000"/>
          <w:sz w:val="28"/>
        </w:rPr>
        <w:t>второй этап</w:t>
      </w:r>
      <w:r>
        <w:rPr>
          <w:rFonts w:ascii="Times New Roman"/>
          <w:b w:val="false"/>
          <w:i w:val="false"/>
          <w:color w:val="000000"/>
          <w:sz w:val="28"/>
        </w:rPr>
        <w:t xml:space="preserve"> (2014 – 2015 годы) Плана мероприятий по обеспечению прав и улучшению качества жизни инвалидов в Республике Казахстан на 2012 – 2018 годы (далее – План).</w:t>
      </w:r>
      <w:r>
        <w:br/>
      </w:r>
      <w:r>
        <w:rPr>
          <w:rFonts w:ascii="Times New Roman"/>
          <w:b w:val="false"/>
          <w:i w:val="false"/>
          <w:color w:val="000000"/>
          <w:sz w:val="28"/>
        </w:rPr>
        <w:t>
</w:t>
      </w:r>
      <w:r>
        <w:rPr>
          <w:rFonts w:ascii="Times New Roman"/>
          <w:b w:val="false"/>
          <w:i w:val="false"/>
          <w:color w:val="000000"/>
          <w:sz w:val="28"/>
        </w:rPr>
        <w:t>
      2. Государственным органам, акимам областей, городов Астаны и Алматы, ответственным за выполнение Плана:</w:t>
      </w:r>
      <w:r>
        <w:br/>
      </w:r>
      <w:r>
        <w:rPr>
          <w:rFonts w:ascii="Times New Roman"/>
          <w:b w:val="false"/>
          <w:i w:val="false"/>
          <w:color w:val="000000"/>
          <w:sz w:val="28"/>
        </w:rPr>
        <w:t>
      1) обеспечить своевременное исполнение Плана;</w:t>
      </w:r>
      <w:r>
        <w:br/>
      </w:r>
      <w:r>
        <w:rPr>
          <w:rFonts w:ascii="Times New Roman"/>
          <w:b w:val="false"/>
          <w:i w:val="false"/>
          <w:color w:val="000000"/>
          <w:sz w:val="28"/>
        </w:rPr>
        <w:t>
      2) ежегодно, до 20 января, представлять информацию о ходе выполнения Плана в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Министерству труда и социальной защиты населения Республики Казахстан представлять ежегодно, до 10 февраля, сводную информацию об исполнении Плана в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Министерство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2014 года № 254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Второй этап (2014 – 2015 годы)</w:t>
      </w:r>
      <w:r>
        <w:br/>
      </w:r>
      <w:r>
        <w:rPr>
          <w:rFonts w:ascii="Times New Roman"/>
          <w:b w:val="false"/>
          <w:i w:val="false"/>
          <w:color w:val="000000"/>
          <w:sz w:val="28"/>
        </w:rPr>
        <w:t>
</w:t>
      </w:r>
      <w:r>
        <w:rPr>
          <w:rFonts w:ascii="Times New Roman"/>
          <w:b/>
          <w:i w:val="false"/>
          <w:color w:val="000000"/>
          <w:sz w:val="28"/>
        </w:rPr>
        <w:t>      Плана мероприятий по обеспечению прав и улучшению</w:t>
      </w:r>
      <w:r>
        <w:br/>
      </w:r>
      <w:r>
        <w:rPr>
          <w:rFonts w:ascii="Times New Roman"/>
          <w:b w:val="false"/>
          <w:i w:val="false"/>
          <w:color w:val="000000"/>
          <w:sz w:val="28"/>
        </w:rPr>
        <w:t>
</w:t>
      </w:r>
      <w:r>
        <w:rPr>
          <w:rFonts w:ascii="Times New Roman"/>
          <w:b/>
          <w:i w:val="false"/>
          <w:color w:val="000000"/>
          <w:sz w:val="28"/>
        </w:rPr>
        <w:t>         качества жизни инвалидов в Республике Казахстан</w:t>
      </w:r>
      <w:r>
        <w:br/>
      </w:r>
      <w:r>
        <w:rPr>
          <w:rFonts w:ascii="Times New Roman"/>
          <w:b w:val="false"/>
          <w:i w:val="false"/>
          <w:color w:val="000000"/>
          <w:sz w:val="28"/>
        </w:rPr>
        <w:t>
</w:t>
      </w:r>
      <w:r>
        <w:rPr>
          <w:rFonts w:ascii="Times New Roman"/>
          <w:b/>
          <w:i w:val="false"/>
          <w:color w:val="000000"/>
          <w:sz w:val="28"/>
        </w:rPr>
        <w:t>                  на 2012 – 2018 годы</w:t>
      </w:r>
    </w:p>
    <w:bookmarkEnd w:id="2"/>
    <w:p>
      <w:pPr>
        <w:spacing w:after="0"/>
        <w:ind w:left="0"/>
        <w:jc w:val="both"/>
      </w:pPr>
      <w:r>
        <w:rPr>
          <w:rFonts w:ascii="Times New Roman"/>
          <w:b w:val="false"/>
          <w:i w:val="false"/>
          <w:color w:val="ff0000"/>
          <w:sz w:val="28"/>
        </w:rPr>
        <w:t xml:space="preserve">      Сноска. Плана мероприятий с изменениями, внесенными постановлением Правительства РК от 05.02.2015 </w:t>
      </w:r>
      <w:r>
        <w:rPr>
          <w:rFonts w:ascii="Times New Roman"/>
          <w:b w:val="false"/>
          <w:i w:val="false"/>
          <w:color w:val="ff0000"/>
          <w:sz w:val="28"/>
        </w:rPr>
        <w:t>№ 42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940"/>
        <w:gridCol w:w="1560"/>
        <w:gridCol w:w="2470"/>
        <w:gridCol w:w="130"/>
        <w:gridCol w:w="1300"/>
        <w:gridCol w:w="221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r>
      <w:tr>
        <w:trPr>
          <w:trHeight w:val="1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нормативно-правовой базы формирования</w:t>
            </w:r>
            <w:r>
              <w:br/>
            </w:r>
            <w:r>
              <w:rPr>
                <w:rFonts w:ascii="Times New Roman"/>
                <w:b w:val="false"/>
                <w:i w:val="false"/>
                <w:color w:val="000000"/>
                <w:sz w:val="20"/>
              </w:rPr>
              <w:t>
</w:t>
            </w:r>
            <w:r>
              <w:rPr>
                <w:rFonts w:ascii="Times New Roman"/>
                <w:b w:val="false"/>
                <w:i w:val="false"/>
                <w:color w:val="000000"/>
                <w:sz w:val="20"/>
              </w:rPr>
              <w:t>доступной среды</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 направленного на обеспечение всесторонней реализации прав и свобод инвалидов в Республике Казахстан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Закона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заинтересованные государственные органы, акимы областей, городов Астаны и Алматы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проекта Закона Республики Казахстан «О внесении изменений и дополнений в некоторые законодательные акты Республики Казахстан по вопросам защиты прав инвалидов» и проектов нормативных правовых актов направленных на реализацию проекта Закона с привлечением НПО, общественных объединений инвалидов и организаций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МТСЗН (созыв), общественные объединения (по согласованию)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Обобщение, систематизация и актуализация действующих стандартов, технических регламентов, строительных норм и правил, устанавливающих требования доступности для инвалидов и других маломобильных групп к зданиям, сооружениям, средствам транспорта, связи и информатизации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МИНТ, МТК, АСИ, акимы областей, городов Астаны и Алматы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20 января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внедрение системы критериев и методов проведения оценки (экспертизы) доступности объектов для инвалидов и порядка ее проведения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заинтересованные государственные органы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нормативных правовых актов, обеспечивающих эффективное взаимодействие организаций, оказывающих реабилитационные услуги инвалидам, в том числе услуги в области здравоохранения, образования, профессиональной ориентации и трудоустройства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МЗ, МОН,</w:t>
            </w:r>
            <w:r>
              <w:br/>
            </w:r>
            <w:r>
              <w:rPr>
                <w:rFonts w:ascii="Times New Roman"/>
                <w:b w:val="false"/>
                <w:i w:val="false"/>
                <w:color w:val="000000"/>
                <w:sz w:val="20"/>
              </w:rPr>
              <w:t>
</w:t>
            </w:r>
            <w:r>
              <w:rPr>
                <w:rFonts w:ascii="Times New Roman"/>
                <w:b w:val="false"/>
                <w:i w:val="false"/>
                <w:color w:val="000000"/>
                <w:sz w:val="20"/>
              </w:rPr>
              <w:t>МИНТ, МК, МТК, АСИ</w:t>
            </w:r>
            <w:r>
              <w:br/>
            </w:r>
            <w:r>
              <w:rPr>
                <w:rFonts w:ascii="Times New Roman"/>
                <w:b w:val="false"/>
                <w:i w:val="false"/>
                <w:color w:val="000000"/>
                <w:sz w:val="20"/>
              </w:rPr>
              <w:t>
</w:t>
            </w:r>
            <w:r>
              <w:rPr>
                <w:rFonts w:ascii="Times New Roman"/>
                <w:b w:val="false"/>
                <w:i w:val="false"/>
                <w:color w:val="000000"/>
                <w:sz w:val="20"/>
              </w:rPr>
              <w:t>МФ, МЭБП</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методических рекомендаций по проведению инвентаризации (паспортизации) объектов социальной инфраструктуры на предмет соблюдения доступной среды для инвалидов (совместный приказ Министра труда и социальной защиты населения Республики Казахстан от 18 августа 2012 года № 328-ө-м и Председателя Агентства Республики Казахстан по делам строительства и жилищно-коммунального хозяйства от 17 августа 2012 года № 413 «Об утверждении Методических рекомендаций по проведению инвентаризации (паспортизации) объектов социальной инфраструктуры на предмет соблюдения доступной среды для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МРР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Совершенствование системы медико-социальной экспертизы с учетом</w:t>
            </w:r>
            <w:r>
              <w:br/>
            </w:r>
            <w:r>
              <w:rPr>
                <w:rFonts w:ascii="Times New Roman"/>
                <w:b w:val="false"/>
                <w:i w:val="false"/>
                <w:color w:val="000000"/>
                <w:sz w:val="20"/>
              </w:rPr>
              <w:t>
</w:t>
            </w:r>
            <w:r>
              <w:rPr>
                <w:rFonts w:ascii="Times New Roman"/>
                <w:b w:val="false"/>
                <w:i w:val="false"/>
                <w:color w:val="000000"/>
                <w:sz w:val="20"/>
              </w:rPr>
              <w:t>положений Международной классификации функционирования, ограничения</w:t>
            </w:r>
            <w:r>
              <w:br/>
            </w:r>
            <w:r>
              <w:rPr>
                <w:rFonts w:ascii="Times New Roman"/>
                <w:b w:val="false"/>
                <w:i w:val="false"/>
                <w:color w:val="000000"/>
                <w:sz w:val="20"/>
              </w:rPr>
              <w:t>
</w:t>
            </w:r>
            <w:r>
              <w:rPr>
                <w:rFonts w:ascii="Times New Roman"/>
                <w:b w:val="false"/>
                <w:i w:val="false"/>
                <w:color w:val="000000"/>
                <w:sz w:val="20"/>
              </w:rPr>
              <w:t>жизнедеятельности и здоровья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медико-социальной экспертизы детей-инвалидов и внедрению объективных критериев в части определения их нуждаемости в устранении барьеров на основе Международной классификации функционирования, ограничения жизнедеятельности и здоровья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МЗ,</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вопросов классификации и критериев положений Международной классификации функционирования, ограничения жизнедеятельности и здоровья в программы обучения врачей системы здравоохранения и медико-социальной экспертизы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поэтапного плана взаимодействия регистра диспансерных больных Единой информационной системы здравоохранения и Централизованного банка данных лиц, имеющих инвалидность МТСЗН с целью мониторинга динамического наблюдения и первичного выхода на инвалидность</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план мероприятий</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пилотного проекта в городе Астане по взаимодействию АО «Республиканский протезно- ортопедический центр» и НИИ травматологии и ортопедии для повышения качества протезно- ортопедических изделий и своевременного их предоставления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города Астаны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 2016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слухоречевой реабилитации детей с нарушением слуха на базе РГКП «Республиканский центр коррекции слуха Министерства труда и социальной защиты населения Республики Казахстан», психолого-медико-педагогических консультаций и сурдологических кабинетов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«РЦКС»,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 173,7:</w:t>
            </w:r>
            <w:r>
              <w:br/>
            </w:r>
            <w:r>
              <w:rPr>
                <w:rFonts w:ascii="Times New Roman"/>
                <w:b w:val="false"/>
                <w:i w:val="false"/>
                <w:color w:val="000000"/>
                <w:sz w:val="20"/>
              </w:rPr>
              <w:t>
</w:t>
            </w:r>
            <w:r>
              <w:rPr>
                <w:rFonts w:ascii="Times New Roman"/>
                <w:b w:val="false"/>
                <w:i w:val="false"/>
                <w:color w:val="000000"/>
                <w:sz w:val="20"/>
              </w:rPr>
              <w:t>2014 г. – 86,5</w:t>
            </w:r>
            <w:r>
              <w:br/>
            </w:r>
            <w:r>
              <w:rPr>
                <w:rFonts w:ascii="Times New Roman"/>
                <w:b w:val="false"/>
                <w:i w:val="false"/>
                <w:color w:val="000000"/>
                <w:sz w:val="20"/>
              </w:rPr>
              <w:t>
</w:t>
            </w:r>
            <w:r>
              <w:rPr>
                <w:rFonts w:ascii="Times New Roman"/>
                <w:b w:val="false"/>
                <w:i w:val="false"/>
                <w:color w:val="000000"/>
                <w:sz w:val="20"/>
              </w:rPr>
              <w:t>2015 г. – 87,2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внедрению электронной композитной услуги по оптимизации процесса проведения медико-социальной экспертизы, реабилитации и социальной поддержки инвалидов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АСИ, акимы областей, городов Астаны и Алматы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 профилактике травматизма на производстве и профессиональных</w:t>
            </w:r>
            <w:r>
              <w:br/>
            </w:r>
            <w:r>
              <w:rPr>
                <w:rFonts w:ascii="Times New Roman"/>
                <w:b w:val="false"/>
                <w:i w:val="false"/>
                <w:color w:val="000000"/>
                <w:sz w:val="20"/>
              </w:rPr>
              <w:t>
</w:t>
            </w:r>
            <w:r>
              <w:rPr>
                <w:rFonts w:ascii="Times New Roman"/>
                <w:b w:val="false"/>
                <w:i w:val="false"/>
                <w:color w:val="000000"/>
                <w:sz w:val="20"/>
              </w:rPr>
              <w:t>заболеваний у лиц, занятых в особо опасных и вредных условиях труда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системы мониторинга и учета профессиональных заболеваний и трудовых увечий на производстве с опасными и вредными факторами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механизмов проведения медицинских осмотров (предварительных и периодических) в организациях с вредными и особо опасными условиями труда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подходов по установлению утраты профессиональной трудоспособности для лиц, занятых в особо опасных и вредных условиях труда, осуществляемых НИИ гигиены труда и профессиональных заболеваний МЗ и медико-социальной экспертной комиссией МТСЗН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плана мероприятий по безопасности и охране труда, предусматривающий:</w:t>
            </w:r>
            <w:r>
              <w:br/>
            </w:r>
            <w:r>
              <w:rPr>
                <w:rFonts w:ascii="Times New Roman"/>
                <w:b w:val="false"/>
                <w:i w:val="false"/>
                <w:color w:val="000000"/>
                <w:sz w:val="20"/>
              </w:rPr>
              <w:t>
</w:t>
            </w:r>
            <w:r>
              <w:rPr>
                <w:rFonts w:ascii="Times New Roman"/>
                <w:b w:val="false"/>
                <w:i w:val="false"/>
                <w:color w:val="000000"/>
                <w:sz w:val="20"/>
              </w:rPr>
              <w:t>1) внедрение системы управления профессиональными рисками;</w:t>
            </w:r>
            <w:r>
              <w:br/>
            </w:r>
            <w:r>
              <w:rPr>
                <w:rFonts w:ascii="Times New Roman"/>
                <w:b w:val="false"/>
                <w:i w:val="false"/>
                <w:color w:val="000000"/>
                <w:sz w:val="20"/>
              </w:rPr>
              <w:t>
</w:t>
            </w:r>
            <w:r>
              <w:rPr>
                <w:rFonts w:ascii="Times New Roman"/>
                <w:b w:val="false"/>
                <w:i w:val="false"/>
                <w:color w:val="000000"/>
                <w:sz w:val="20"/>
              </w:rPr>
              <w:t>2) введение упрощенной декларации для работодателей, обеспечивающих соблюдение безопасности труда;</w:t>
            </w:r>
            <w:r>
              <w:br/>
            </w:r>
            <w:r>
              <w:rPr>
                <w:rFonts w:ascii="Times New Roman"/>
                <w:b w:val="false"/>
                <w:i w:val="false"/>
                <w:color w:val="000000"/>
                <w:sz w:val="20"/>
              </w:rPr>
              <w:t>
</w:t>
            </w:r>
            <w:r>
              <w:rPr>
                <w:rFonts w:ascii="Times New Roman"/>
                <w:b w:val="false"/>
                <w:i w:val="false"/>
                <w:color w:val="000000"/>
                <w:sz w:val="20"/>
              </w:rPr>
              <w:t>3) пересмотр правил обязательной периодической аттестации производственных объектов по условиям труда;</w:t>
            </w:r>
            <w:r>
              <w:br/>
            </w:r>
            <w:r>
              <w:rPr>
                <w:rFonts w:ascii="Times New Roman"/>
                <w:b w:val="false"/>
                <w:i w:val="false"/>
                <w:color w:val="000000"/>
                <w:sz w:val="20"/>
              </w:rPr>
              <w:t>
</w:t>
            </w:r>
            <w:r>
              <w:rPr>
                <w:rFonts w:ascii="Times New Roman"/>
                <w:b w:val="false"/>
                <w:i w:val="false"/>
                <w:color w:val="000000"/>
                <w:sz w:val="20"/>
              </w:rPr>
              <w:t>4) совершенствование системы оценки рисков, на основании итогов контроля со стороны государственных инспекторов труда;</w:t>
            </w:r>
            <w:r>
              <w:br/>
            </w:r>
            <w:r>
              <w:rPr>
                <w:rFonts w:ascii="Times New Roman"/>
                <w:b w:val="false"/>
                <w:i w:val="false"/>
                <w:color w:val="000000"/>
                <w:sz w:val="20"/>
              </w:rPr>
              <w:t>
</w:t>
            </w:r>
            <w:r>
              <w:rPr>
                <w:rFonts w:ascii="Times New Roman"/>
                <w:b w:val="false"/>
                <w:i w:val="false"/>
                <w:color w:val="000000"/>
                <w:sz w:val="20"/>
              </w:rPr>
              <w:t>5) мониторинг предприятий создающих безопасные условия труда для освобождения от уплаты обязательных профессиональных пенсионных взносов;</w:t>
            </w:r>
            <w:r>
              <w:br/>
            </w:r>
            <w:r>
              <w:rPr>
                <w:rFonts w:ascii="Times New Roman"/>
                <w:b w:val="false"/>
                <w:i w:val="false"/>
                <w:color w:val="000000"/>
                <w:sz w:val="20"/>
              </w:rPr>
              <w:t>
</w:t>
            </w:r>
            <w:r>
              <w:rPr>
                <w:rFonts w:ascii="Times New Roman"/>
                <w:b w:val="false"/>
                <w:i w:val="false"/>
                <w:color w:val="000000"/>
                <w:sz w:val="20"/>
              </w:rPr>
              <w:t>6) совершенствование автоматизированной информационной системы «Охрана и безопасность труда»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МИНТ, МРР,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Повышение эффективности реабилитационных и специальных</w:t>
            </w:r>
            <w:r>
              <w:br/>
            </w:r>
            <w:r>
              <w:rPr>
                <w:rFonts w:ascii="Times New Roman"/>
                <w:b w:val="false"/>
                <w:i w:val="false"/>
                <w:color w:val="000000"/>
                <w:sz w:val="20"/>
              </w:rPr>
              <w:t>
</w:t>
            </w:r>
            <w:r>
              <w:rPr>
                <w:rFonts w:ascii="Times New Roman"/>
                <w:b w:val="false"/>
                <w:i w:val="false"/>
                <w:color w:val="000000"/>
                <w:sz w:val="20"/>
              </w:rPr>
              <w:t>социальных услуг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Медицинская реабилитация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стандарта организации медицинской реабилитации населению Республики Казахстан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МТСЗН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Социальная реабилитация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по обучению социальных работников, предоставляющих специальные социальные услуги инвалидам и престарелым гражданам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20 января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 13,7:</w:t>
            </w:r>
            <w:r>
              <w:br/>
            </w:r>
            <w:r>
              <w:rPr>
                <w:rFonts w:ascii="Times New Roman"/>
                <w:b w:val="false"/>
                <w:i w:val="false"/>
                <w:color w:val="000000"/>
                <w:sz w:val="20"/>
              </w:rPr>
              <w:t>
</w:t>
            </w:r>
            <w:r>
              <w:rPr>
                <w:rFonts w:ascii="Times New Roman"/>
                <w:b w:val="false"/>
                <w:i w:val="false"/>
                <w:color w:val="000000"/>
                <w:sz w:val="20"/>
              </w:rPr>
              <w:t>2014 г. – 6,6</w:t>
            </w:r>
            <w:r>
              <w:br/>
            </w:r>
            <w:r>
              <w:rPr>
                <w:rFonts w:ascii="Times New Roman"/>
                <w:b w:val="false"/>
                <w:i w:val="false"/>
                <w:color w:val="000000"/>
                <w:sz w:val="20"/>
              </w:rPr>
              <w:t>
</w:t>
            </w:r>
            <w:r>
              <w:rPr>
                <w:rFonts w:ascii="Times New Roman"/>
                <w:b w:val="false"/>
                <w:i w:val="false"/>
                <w:color w:val="000000"/>
                <w:sz w:val="20"/>
              </w:rPr>
              <w:t>2015 г. – 7,1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среди неправительственных организаций на оказание специальных социальных услуг</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Профессиональная реабилитация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вопроса об организации обучения для инвалидов с использованием дистанционных образовательных технологий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результатов общественного мониторинга за процессом внедрения и развития инклюзивного образования в Республике Казахстан на заседаниях консультативно-совещательных органов по вопросам социальной защиты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Представители общественных объединений инвалидов и НПО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инфраструктуры производства и обеспечения инвалидов</w:t>
            </w:r>
            <w:r>
              <w:br/>
            </w:r>
            <w:r>
              <w:rPr>
                <w:rFonts w:ascii="Times New Roman"/>
                <w:b w:val="false"/>
                <w:i w:val="false"/>
                <w:color w:val="000000"/>
                <w:sz w:val="20"/>
              </w:rPr>
              <w:t>
</w:t>
            </w:r>
            <w:r>
              <w:rPr>
                <w:rFonts w:ascii="Times New Roman"/>
                <w:b w:val="false"/>
                <w:i w:val="false"/>
                <w:color w:val="000000"/>
                <w:sz w:val="20"/>
              </w:rPr>
              <w:t>техническими средствами реабилитации и соответствующими услугами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стандартов и внедрению новых технологий производства, новых моделей технических средств реабилитации и услуг по итогам проведенных исследовательских работ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Внебюджетные средства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привлечению инвестиций для внедрения новых технологий в протезостроении, протезировании и слухопротезирования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w:t>
            </w:r>
            <w:r>
              <w:br/>
            </w:r>
            <w:r>
              <w:rPr>
                <w:rFonts w:ascii="Times New Roman"/>
                <w:b w:val="false"/>
                <w:i w:val="false"/>
                <w:color w:val="000000"/>
                <w:sz w:val="20"/>
              </w:rPr>
              <w:t>
</w:t>
            </w:r>
            <w:r>
              <w:rPr>
                <w:rFonts w:ascii="Times New Roman"/>
                <w:b w:val="false"/>
                <w:i w:val="false"/>
                <w:color w:val="000000"/>
                <w:sz w:val="20"/>
              </w:rPr>
              <w:t>МЭБП, МФ,</w:t>
            </w:r>
            <w:r>
              <w:br/>
            </w:r>
            <w:r>
              <w:rPr>
                <w:rFonts w:ascii="Times New Roman"/>
                <w:b w:val="false"/>
                <w:i w:val="false"/>
                <w:color w:val="000000"/>
                <w:sz w:val="20"/>
              </w:rPr>
              <w:t>
</w:t>
            </w: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методических рекомендаций по типовым техническим спецификациям на приобретение технических средств реабилитации органами социальной защиты местных исполнительных органов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 НПО</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для инвалидов к зданиям организаций, выпускающих технические средства реабилитации инвалидам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развитию сети социальных домов малой вместимости и учреждений семейного типа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w:t>
            </w:r>
            <w:r>
              <w:br/>
            </w:r>
            <w:r>
              <w:rPr>
                <w:rFonts w:ascii="Times New Roman"/>
                <w:b w:val="false"/>
                <w:i w:val="false"/>
                <w:color w:val="000000"/>
                <w:sz w:val="20"/>
              </w:rPr>
              <w:t>
</w:t>
            </w:r>
            <w:r>
              <w:rPr>
                <w:rFonts w:ascii="Times New Roman"/>
                <w:b w:val="false"/>
                <w:i w:val="false"/>
                <w:color w:val="000000"/>
                <w:sz w:val="20"/>
              </w:rPr>
              <w:t>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доступности занятости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проведению ежегодной выставки «Лучшие социальные проекты, реализуемые в Казахстане»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инвалидов и</w:t>
            </w:r>
            <w:r>
              <w:br/>
            </w:r>
            <w:r>
              <w:rPr>
                <w:rFonts w:ascii="Times New Roman"/>
                <w:b w:val="false"/>
                <w:i w:val="false"/>
                <w:color w:val="000000"/>
                <w:sz w:val="20"/>
              </w:rPr>
              <w:t>
</w:t>
            </w:r>
            <w:r>
              <w:rPr>
                <w:rFonts w:ascii="Times New Roman"/>
                <w:b w:val="false"/>
                <w:i w:val="false"/>
                <w:color w:val="000000"/>
                <w:sz w:val="20"/>
              </w:rPr>
              <w:t>НПО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Вовлечение инвалидов в продуктивную занятость с использованием государственных мер поддержки в рамках программ развития территорий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за отчетным</w:t>
            </w:r>
            <w:r>
              <w:br/>
            </w:r>
            <w:r>
              <w:rPr>
                <w:rFonts w:ascii="Times New Roman"/>
                <w:b w:val="false"/>
                <w:i w:val="false"/>
                <w:color w:val="000000"/>
                <w:sz w:val="20"/>
              </w:rPr>
              <w:t>
</w:t>
            </w:r>
            <w:r>
              <w:rPr>
                <w:rFonts w:ascii="Times New Roman"/>
                <w:b w:val="false"/>
                <w:i w:val="false"/>
                <w:color w:val="000000"/>
                <w:sz w:val="20"/>
              </w:rPr>
              <w:t>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пилотного проекта по организации дистанционной занятости инвалидов по профессиям «администратор сайта», «переводчик», «бухгалтер», «журналист», «дизайнер»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2016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механизма реализации занятости инвалидов путем установления квоты рабочих мест для инвалидов в размере трех процентов от общей численности рабочих мест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МФ,</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инвалидов и НПО</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Обеспечение доступности объектов в основных сферах</w:t>
            </w:r>
            <w:r>
              <w:br/>
            </w:r>
            <w:r>
              <w:rPr>
                <w:rFonts w:ascii="Times New Roman"/>
                <w:b w:val="false"/>
                <w:i w:val="false"/>
                <w:color w:val="000000"/>
                <w:sz w:val="20"/>
              </w:rPr>
              <w:t>
</w:t>
            </w:r>
            <w:r>
              <w:rPr>
                <w:rFonts w:ascii="Times New Roman"/>
                <w:b w:val="false"/>
                <w:i w:val="false"/>
                <w:color w:val="000000"/>
                <w:sz w:val="20"/>
              </w:rPr>
              <w:t>жизнедеятельности инвалидов</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и утверждению региональных планов инвентаризации и адаптации объектов для обеспечения доступности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w:t>
            </w:r>
            <w:r>
              <w:br/>
            </w:r>
            <w:r>
              <w:rPr>
                <w:rFonts w:ascii="Times New Roman"/>
                <w:b w:val="false"/>
                <w:i w:val="false"/>
                <w:color w:val="000000"/>
                <w:sz w:val="20"/>
              </w:rPr>
              <w:t>
</w:t>
            </w:r>
            <w:r>
              <w:rPr>
                <w:rFonts w:ascii="Times New Roman"/>
                <w:b w:val="false"/>
                <w:i w:val="false"/>
                <w:color w:val="000000"/>
                <w:sz w:val="20"/>
              </w:rPr>
              <w:t>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поэтапной инвентаризации (паспортизация) действующих зданий и сооружений, жилья, транспортной инфраструктуры для обеспечения доступности инвалидам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за отчетным 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требований к обеспечению доступной среды объектов (зданий и сооружений) инженерной и транспортной инфраструктуры, учреждений здравоохранения, культуры и туризма, жилья, связи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w:t>
            </w:r>
            <w:r>
              <w:br/>
            </w:r>
            <w:r>
              <w:rPr>
                <w:rFonts w:ascii="Times New Roman"/>
                <w:b w:val="false"/>
                <w:i w:val="false"/>
                <w:color w:val="000000"/>
                <w:sz w:val="20"/>
              </w:rPr>
              <w:t>
</w:t>
            </w:r>
            <w:r>
              <w:rPr>
                <w:rFonts w:ascii="Times New Roman"/>
                <w:b w:val="false"/>
                <w:i w:val="false"/>
                <w:color w:val="000000"/>
                <w:sz w:val="20"/>
              </w:rPr>
              <w:t>МРР, МТК, МИНТ, АСИ,</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Адаптация объектов, прошедших паспортизацию в рамках программ развития территорий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за отчетным</w:t>
            </w:r>
            <w:r>
              <w:br/>
            </w:r>
            <w:r>
              <w:rPr>
                <w:rFonts w:ascii="Times New Roman"/>
                <w:b w:val="false"/>
                <w:i w:val="false"/>
                <w:color w:val="000000"/>
                <w:sz w:val="20"/>
              </w:rPr>
              <w:t>
</w:t>
            </w:r>
            <w:r>
              <w:rPr>
                <w:rFonts w:ascii="Times New Roman"/>
                <w:b w:val="false"/>
                <w:i w:val="false"/>
                <w:color w:val="000000"/>
                <w:sz w:val="20"/>
              </w:rPr>
              <w:t>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Ежемесячный мониторинг осуществления региональных планов инвентаризации и адаптации объектов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 в полугодие</w:t>
            </w:r>
            <w:r>
              <w:br/>
            </w:r>
            <w:r>
              <w:rPr>
                <w:rFonts w:ascii="Times New Roman"/>
                <w:b w:val="false"/>
                <w:i w:val="false"/>
                <w:color w:val="000000"/>
                <w:sz w:val="20"/>
              </w:rPr>
              <w:t>
</w:t>
            </w:r>
            <w:r>
              <w:rPr>
                <w:rFonts w:ascii="Times New Roman"/>
                <w:b w:val="false"/>
                <w:i w:val="false"/>
                <w:color w:val="000000"/>
                <w:sz w:val="20"/>
              </w:rPr>
              <w:t>не позднее</w:t>
            </w:r>
            <w:r>
              <w:br/>
            </w:r>
            <w:r>
              <w:rPr>
                <w:rFonts w:ascii="Times New Roman"/>
                <w:b w:val="false"/>
                <w:i w:val="false"/>
                <w:color w:val="000000"/>
                <w:sz w:val="20"/>
              </w:rPr>
              <w:t>
</w:t>
            </w:r>
            <w:r>
              <w:rPr>
                <w:rFonts w:ascii="Times New Roman"/>
                <w:b w:val="false"/>
                <w:i w:val="false"/>
                <w:color w:val="000000"/>
                <w:sz w:val="20"/>
              </w:rPr>
              <w:t>10 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за отчетным</w:t>
            </w:r>
            <w:r>
              <w:br/>
            </w:r>
            <w:r>
              <w:rPr>
                <w:rFonts w:ascii="Times New Roman"/>
                <w:b w:val="false"/>
                <w:i w:val="false"/>
                <w:color w:val="000000"/>
                <w:sz w:val="20"/>
              </w:rPr>
              <w:t>
</w:t>
            </w:r>
            <w:r>
              <w:rPr>
                <w:rFonts w:ascii="Times New Roman"/>
                <w:b w:val="false"/>
                <w:i w:val="false"/>
                <w:color w:val="000000"/>
                <w:sz w:val="20"/>
              </w:rPr>
              <w:t>периодом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государственного контроля за соблюдением требований строительных норм и правил и других нормативов при строительстве зданий, объектов инфраструктуры с обеспечением подъездных путей, пандусов, устройств для инвалидных колясок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w:t>
            </w:r>
            <w:r>
              <w:br/>
            </w:r>
            <w:r>
              <w:rPr>
                <w:rFonts w:ascii="Times New Roman"/>
                <w:b w:val="false"/>
                <w:i w:val="false"/>
                <w:color w:val="000000"/>
                <w:sz w:val="20"/>
              </w:rPr>
              <w:t>
</w:t>
            </w:r>
            <w:r>
              <w:rPr>
                <w:rFonts w:ascii="Times New Roman"/>
                <w:b w:val="false"/>
                <w:i w:val="false"/>
                <w:color w:val="000000"/>
                <w:sz w:val="20"/>
              </w:rPr>
              <w:t>акимы 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итогов общественного мониторинга за соблюдением требований строительных норм и правил и других нормативов строительства зданий, объектов инфраструктуры обеспеченных доступом на заседаниях консультативно-совещательных органов по вопросам социальной защиты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на развитие служб «Инватакси»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 xml:space="preserve">за отчетным кварталом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 – 181,8</w:t>
            </w:r>
            <w:r>
              <w:br/>
            </w:r>
            <w:r>
              <w:rPr>
                <w:rFonts w:ascii="Times New Roman"/>
                <w:b w:val="false"/>
                <w:i w:val="false"/>
                <w:color w:val="000000"/>
                <w:sz w:val="20"/>
              </w:rPr>
              <w:t>
</w:t>
            </w:r>
            <w:r>
              <w:rPr>
                <w:rFonts w:ascii="Times New Roman"/>
                <w:b w:val="false"/>
                <w:i w:val="false"/>
                <w:color w:val="000000"/>
                <w:sz w:val="20"/>
              </w:rPr>
              <w:t>РБ – 90,9</w:t>
            </w:r>
            <w:r>
              <w:br/>
            </w:r>
            <w:r>
              <w:rPr>
                <w:rFonts w:ascii="Times New Roman"/>
                <w:b w:val="false"/>
                <w:i w:val="false"/>
                <w:color w:val="000000"/>
                <w:sz w:val="20"/>
              </w:rPr>
              <w:t>
</w:t>
            </w:r>
            <w:r>
              <w:rPr>
                <w:rFonts w:ascii="Times New Roman"/>
                <w:b w:val="false"/>
                <w:i w:val="false"/>
                <w:color w:val="000000"/>
                <w:sz w:val="20"/>
              </w:rPr>
              <w:t>МБ – 90,9</w:t>
            </w:r>
            <w:r>
              <w:br/>
            </w:r>
            <w:r>
              <w:rPr>
                <w:rFonts w:ascii="Times New Roman"/>
                <w:b w:val="false"/>
                <w:i w:val="false"/>
                <w:color w:val="000000"/>
                <w:sz w:val="20"/>
              </w:rPr>
              <w:t>
</w:t>
            </w:r>
            <w:r>
              <w:rPr>
                <w:rFonts w:ascii="Times New Roman"/>
                <w:b w:val="false"/>
                <w:i w:val="false"/>
                <w:color w:val="000000"/>
                <w:sz w:val="20"/>
              </w:rPr>
              <w:t>2015 г. – 194,6</w:t>
            </w:r>
            <w:r>
              <w:br/>
            </w:r>
            <w:r>
              <w:rPr>
                <w:rFonts w:ascii="Times New Roman"/>
                <w:b w:val="false"/>
                <w:i w:val="false"/>
                <w:color w:val="000000"/>
                <w:sz w:val="20"/>
              </w:rPr>
              <w:t>
</w:t>
            </w:r>
            <w:r>
              <w:rPr>
                <w:rFonts w:ascii="Times New Roman"/>
                <w:b w:val="false"/>
                <w:i w:val="false"/>
                <w:color w:val="000000"/>
                <w:sz w:val="20"/>
              </w:rPr>
              <w:t>РБ – 97,3</w:t>
            </w:r>
            <w:r>
              <w:br/>
            </w:r>
            <w:r>
              <w:rPr>
                <w:rFonts w:ascii="Times New Roman"/>
                <w:b w:val="false"/>
                <w:i w:val="false"/>
                <w:color w:val="000000"/>
                <w:sz w:val="20"/>
              </w:rPr>
              <w:t>
</w:t>
            </w:r>
            <w:r>
              <w:rPr>
                <w:rFonts w:ascii="Times New Roman"/>
                <w:b w:val="false"/>
                <w:i w:val="false"/>
                <w:color w:val="000000"/>
                <w:sz w:val="20"/>
              </w:rPr>
              <w:t xml:space="preserve">МБ – 97,3 </w:t>
            </w:r>
          </w:p>
        </w:tc>
      </w:tr>
      <w:tr>
        <w:trPr>
          <w:trHeight w:val="163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дорожных знаков и указателей в местах расположения организаций, ориентированных на обслуживание инвалидов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следующего</w:t>
            </w:r>
            <w:r>
              <w:br/>
            </w:r>
            <w:r>
              <w:rPr>
                <w:rFonts w:ascii="Times New Roman"/>
                <w:b w:val="false"/>
                <w:i w:val="false"/>
                <w:color w:val="000000"/>
                <w:sz w:val="20"/>
              </w:rPr>
              <w:t>
</w:t>
            </w:r>
            <w:r>
              <w:rPr>
                <w:rFonts w:ascii="Times New Roman"/>
                <w:b w:val="false"/>
                <w:i w:val="false"/>
                <w:color w:val="000000"/>
                <w:sz w:val="20"/>
              </w:rPr>
              <w:t>за отчетным</w:t>
            </w:r>
            <w:r>
              <w:br/>
            </w:r>
            <w:r>
              <w:rPr>
                <w:rFonts w:ascii="Times New Roman"/>
                <w:b w:val="false"/>
                <w:i w:val="false"/>
                <w:color w:val="000000"/>
                <w:sz w:val="20"/>
              </w:rPr>
              <w:t>
</w:t>
            </w:r>
            <w:r>
              <w:rPr>
                <w:rFonts w:ascii="Times New Roman"/>
                <w:b w:val="false"/>
                <w:i w:val="false"/>
                <w:color w:val="000000"/>
                <w:sz w:val="20"/>
              </w:rPr>
              <w:t>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 – 304,6</w:t>
            </w:r>
            <w:r>
              <w:br/>
            </w:r>
            <w:r>
              <w:rPr>
                <w:rFonts w:ascii="Times New Roman"/>
                <w:b w:val="false"/>
                <w:i w:val="false"/>
                <w:color w:val="000000"/>
                <w:sz w:val="20"/>
              </w:rPr>
              <w:t>
</w:t>
            </w:r>
            <w:r>
              <w:rPr>
                <w:rFonts w:ascii="Times New Roman"/>
                <w:b w:val="false"/>
                <w:i w:val="false"/>
                <w:color w:val="000000"/>
                <w:sz w:val="20"/>
              </w:rPr>
              <w:t>РБ – 243,7</w:t>
            </w:r>
            <w:r>
              <w:br/>
            </w:r>
            <w:r>
              <w:rPr>
                <w:rFonts w:ascii="Times New Roman"/>
                <w:b w:val="false"/>
                <w:i w:val="false"/>
                <w:color w:val="000000"/>
                <w:sz w:val="20"/>
              </w:rPr>
              <w:t>
</w:t>
            </w:r>
            <w:r>
              <w:rPr>
                <w:rFonts w:ascii="Times New Roman"/>
                <w:b w:val="false"/>
                <w:i w:val="false"/>
                <w:color w:val="000000"/>
                <w:sz w:val="20"/>
              </w:rPr>
              <w:t>МБ - 60,9</w:t>
            </w:r>
            <w:r>
              <w:br/>
            </w:r>
            <w:r>
              <w:rPr>
                <w:rFonts w:ascii="Times New Roman"/>
                <w:b w:val="false"/>
                <w:i w:val="false"/>
                <w:color w:val="000000"/>
                <w:sz w:val="20"/>
              </w:rPr>
              <w:t>
</w:t>
            </w:r>
            <w:r>
              <w:rPr>
                <w:rFonts w:ascii="Times New Roman"/>
                <w:b w:val="false"/>
                <w:i w:val="false"/>
                <w:color w:val="000000"/>
                <w:sz w:val="20"/>
              </w:rPr>
              <w:t>2015 г. – 325,9</w:t>
            </w:r>
            <w:r>
              <w:br/>
            </w:r>
            <w:r>
              <w:rPr>
                <w:rFonts w:ascii="Times New Roman"/>
                <w:b w:val="false"/>
                <w:i w:val="false"/>
                <w:color w:val="000000"/>
                <w:sz w:val="20"/>
              </w:rPr>
              <w:t>
</w:t>
            </w:r>
            <w:r>
              <w:rPr>
                <w:rFonts w:ascii="Times New Roman"/>
                <w:b w:val="false"/>
                <w:i w:val="false"/>
                <w:color w:val="000000"/>
                <w:sz w:val="20"/>
              </w:rPr>
              <w:t>РБ - 260,7</w:t>
            </w:r>
            <w:r>
              <w:br/>
            </w:r>
            <w:r>
              <w:rPr>
                <w:rFonts w:ascii="Times New Roman"/>
                <w:b w:val="false"/>
                <w:i w:val="false"/>
                <w:color w:val="000000"/>
                <w:sz w:val="20"/>
              </w:rPr>
              <w:t>
</w:t>
            </w:r>
            <w:r>
              <w:rPr>
                <w:rFonts w:ascii="Times New Roman"/>
                <w:b w:val="false"/>
                <w:i w:val="false"/>
                <w:color w:val="000000"/>
                <w:sz w:val="20"/>
              </w:rPr>
              <w:t>МБ - 65,2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пешеходных переходов звуковыми устройствами в местах расположения организаций, ориентированных на обслуживание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 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за отчетным 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 – 105,5</w:t>
            </w:r>
            <w:r>
              <w:br/>
            </w:r>
            <w:r>
              <w:rPr>
                <w:rFonts w:ascii="Times New Roman"/>
                <w:b w:val="false"/>
                <w:i w:val="false"/>
                <w:color w:val="000000"/>
                <w:sz w:val="20"/>
              </w:rPr>
              <w:t>
</w:t>
            </w:r>
            <w:r>
              <w:rPr>
                <w:rFonts w:ascii="Times New Roman"/>
                <w:b w:val="false"/>
                <w:i w:val="false"/>
                <w:color w:val="000000"/>
                <w:sz w:val="20"/>
              </w:rPr>
              <w:t>РБ – 84,4</w:t>
            </w:r>
            <w:r>
              <w:br/>
            </w:r>
            <w:r>
              <w:rPr>
                <w:rFonts w:ascii="Times New Roman"/>
                <w:b w:val="false"/>
                <w:i w:val="false"/>
                <w:color w:val="000000"/>
                <w:sz w:val="20"/>
              </w:rPr>
              <w:t>
</w:t>
            </w:r>
            <w:r>
              <w:rPr>
                <w:rFonts w:ascii="Times New Roman"/>
                <w:b w:val="false"/>
                <w:i w:val="false"/>
                <w:color w:val="000000"/>
                <w:sz w:val="20"/>
              </w:rPr>
              <w:t>МБ – 21,1</w:t>
            </w:r>
            <w:r>
              <w:br/>
            </w:r>
            <w:r>
              <w:rPr>
                <w:rFonts w:ascii="Times New Roman"/>
                <w:b w:val="false"/>
                <w:i w:val="false"/>
                <w:color w:val="000000"/>
                <w:sz w:val="20"/>
              </w:rPr>
              <w:t>
</w:t>
            </w:r>
            <w:r>
              <w:rPr>
                <w:rFonts w:ascii="Times New Roman"/>
                <w:b w:val="false"/>
                <w:i w:val="false"/>
                <w:color w:val="000000"/>
                <w:sz w:val="20"/>
              </w:rPr>
              <w:t>2015 г. – 112,9</w:t>
            </w:r>
            <w:r>
              <w:br/>
            </w:r>
            <w:r>
              <w:rPr>
                <w:rFonts w:ascii="Times New Roman"/>
                <w:b w:val="false"/>
                <w:i w:val="false"/>
                <w:color w:val="000000"/>
                <w:sz w:val="20"/>
              </w:rPr>
              <w:t>
</w:t>
            </w:r>
            <w:r>
              <w:rPr>
                <w:rFonts w:ascii="Times New Roman"/>
                <w:b w:val="false"/>
                <w:i w:val="false"/>
                <w:color w:val="000000"/>
                <w:sz w:val="20"/>
              </w:rPr>
              <w:t>РБ – 90,3</w:t>
            </w:r>
            <w:r>
              <w:br/>
            </w:r>
            <w:r>
              <w:rPr>
                <w:rFonts w:ascii="Times New Roman"/>
                <w:b w:val="false"/>
                <w:i w:val="false"/>
                <w:color w:val="000000"/>
                <w:sz w:val="20"/>
              </w:rPr>
              <w:t>
</w:t>
            </w:r>
            <w:r>
              <w:rPr>
                <w:rFonts w:ascii="Times New Roman"/>
                <w:b w:val="false"/>
                <w:i w:val="false"/>
                <w:color w:val="000000"/>
                <w:sz w:val="20"/>
              </w:rPr>
              <w:t xml:space="preserve">МБ – 22,6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контроля за соблюдением требований правил, стандартов по транспортной инфраструктуре, приспособленной для инвалидов (пандусы, стоянки на железнодорожном, авто, аэро, речных вокзалах, центрах обслуживания населения, наличие специальных вагонов, купе, специальных трапов, предназначенных для погрузки на борт самолетов инвалидов, автобусов со специальными опускающимися пандусами и входов в автобусы, оборудованных для инвалидных колясок)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(созыв), 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Информированность</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информационного портала «Конвенция о правах инвалидов» на веб-сайте МТСЗН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Информационный</w:t>
            </w:r>
            <w:r>
              <w:br/>
            </w:r>
            <w:r>
              <w:rPr>
                <w:rFonts w:ascii="Times New Roman"/>
                <w:b w:val="false"/>
                <w:i w:val="false"/>
                <w:color w:val="000000"/>
                <w:sz w:val="20"/>
              </w:rPr>
              <w:t>
</w:t>
            </w:r>
            <w:r>
              <w:rPr>
                <w:rFonts w:ascii="Times New Roman"/>
                <w:b w:val="false"/>
                <w:i w:val="false"/>
                <w:color w:val="000000"/>
                <w:sz w:val="20"/>
              </w:rPr>
              <w:t>портал</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Внебюджетные средства</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сопровождения сурдопереводом (и/или субтитрированием) транслирование новостных телепередач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r>
              <w:br/>
            </w:r>
            <w:r>
              <w:rPr>
                <w:rFonts w:ascii="Times New Roman"/>
                <w:b w:val="false"/>
                <w:i w:val="false"/>
                <w:color w:val="000000"/>
                <w:sz w:val="20"/>
              </w:rPr>
              <w:t>
</w:t>
            </w:r>
            <w:r>
              <w:rPr>
                <w:rFonts w:ascii="Times New Roman"/>
                <w:b w:val="false"/>
                <w:i w:val="false"/>
                <w:color w:val="000000"/>
                <w:sz w:val="20"/>
              </w:rPr>
              <w:t>до 10</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месяца, следующего</w:t>
            </w:r>
            <w:r>
              <w:br/>
            </w:r>
            <w:r>
              <w:rPr>
                <w:rFonts w:ascii="Times New Roman"/>
                <w:b w:val="false"/>
                <w:i w:val="false"/>
                <w:color w:val="000000"/>
                <w:sz w:val="20"/>
              </w:rPr>
              <w:t>
</w:t>
            </w:r>
            <w:r>
              <w:rPr>
                <w:rFonts w:ascii="Times New Roman"/>
                <w:b w:val="false"/>
                <w:i w:val="false"/>
                <w:color w:val="000000"/>
                <w:sz w:val="20"/>
              </w:rPr>
              <w:t>за отчетным кварталом</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 – 548,6</w:t>
            </w:r>
            <w:r>
              <w:br/>
            </w:r>
            <w:r>
              <w:rPr>
                <w:rFonts w:ascii="Times New Roman"/>
                <w:b w:val="false"/>
                <w:i w:val="false"/>
                <w:color w:val="000000"/>
                <w:sz w:val="20"/>
              </w:rPr>
              <w:t>
</w:t>
            </w:r>
            <w:r>
              <w:rPr>
                <w:rFonts w:ascii="Times New Roman"/>
                <w:b w:val="false"/>
                <w:i w:val="false"/>
                <w:color w:val="000000"/>
                <w:sz w:val="20"/>
              </w:rPr>
              <w:t>РБ – 438,9</w:t>
            </w:r>
            <w:r>
              <w:br/>
            </w:r>
            <w:r>
              <w:rPr>
                <w:rFonts w:ascii="Times New Roman"/>
                <w:b w:val="false"/>
                <w:i w:val="false"/>
                <w:color w:val="000000"/>
                <w:sz w:val="20"/>
              </w:rPr>
              <w:t>
</w:t>
            </w:r>
            <w:r>
              <w:rPr>
                <w:rFonts w:ascii="Times New Roman"/>
                <w:b w:val="false"/>
                <w:i w:val="false"/>
                <w:color w:val="000000"/>
                <w:sz w:val="20"/>
              </w:rPr>
              <w:t xml:space="preserve">МБ – 109,7 </w:t>
            </w:r>
            <w:r>
              <w:br/>
            </w:r>
            <w:r>
              <w:rPr>
                <w:rFonts w:ascii="Times New Roman"/>
                <w:b w:val="false"/>
                <w:i w:val="false"/>
                <w:color w:val="000000"/>
                <w:sz w:val="20"/>
              </w:rPr>
              <w:t>
</w:t>
            </w:r>
            <w:r>
              <w:rPr>
                <w:rFonts w:ascii="Times New Roman"/>
                <w:b w:val="false"/>
                <w:i w:val="false"/>
                <w:color w:val="000000"/>
                <w:sz w:val="20"/>
              </w:rPr>
              <w:t>2015 г. – 587</w:t>
            </w:r>
            <w:r>
              <w:br/>
            </w:r>
            <w:r>
              <w:rPr>
                <w:rFonts w:ascii="Times New Roman"/>
                <w:b w:val="false"/>
                <w:i w:val="false"/>
                <w:color w:val="000000"/>
                <w:sz w:val="20"/>
              </w:rPr>
              <w:t>
</w:t>
            </w:r>
            <w:r>
              <w:rPr>
                <w:rFonts w:ascii="Times New Roman"/>
                <w:b w:val="false"/>
                <w:i w:val="false"/>
                <w:color w:val="000000"/>
                <w:sz w:val="20"/>
              </w:rPr>
              <w:t>РБ – 469,6</w:t>
            </w:r>
            <w:r>
              <w:br/>
            </w:r>
            <w:r>
              <w:rPr>
                <w:rFonts w:ascii="Times New Roman"/>
                <w:b w:val="false"/>
                <w:i w:val="false"/>
                <w:color w:val="000000"/>
                <w:sz w:val="20"/>
              </w:rPr>
              <w:t>
</w:t>
            </w:r>
            <w:r>
              <w:rPr>
                <w:rFonts w:ascii="Times New Roman"/>
                <w:b w:val="false"/>
                <w:i w:val="false"/>
                <w:color w:val="000000"/>
                <w:sz w:val="20"/>
              </w:rPr>
              <w:t>МБ – 117,4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 привлечением неправительственных организаций информационно-разъяснительной работы о правах, обязанностях, объеме и видах реабилитационных услуг, предоставляемых инвалиду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об организации выпуска периодической, научной, учебно-методической, справочной и художественной литературы, издаваемой на аудиокассетах, дисках, с рельефно-точечным шрифтом Брайля и видеокассетах с сурдопереводом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 МФ, МИНТ, АСИ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апреля</w:t>
            </w:r>
            <w:r>
              <w:br/>
            </w:r>
            <w:r>
              <w:rPr>
                <w:rFonts w:ascii="Times New Roman"/>
                <w:b w:val="false"/>
                <w:i w:val="false"/>
                <w:color w:val="000000"/>
                <w:sz w:val="20"/>
              </w:rPr>
              <w:t>
</w:t>
            </w:r>
            <w:r>
              <w:rPr>
                <w:rFonts w:ascii="Times New Roman"/>
                <w:b w:val="false"/>
                <w:i w:val="false"/>
                <w:color w:val="000000"/>
                <w:sz w:val="20"/>
              </w:rPr>
              <w:t>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Участие в политической и общественной жизни</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во всех регионах института внештатного советника акимов всех уровней из числа лиц с ограниченными возможностями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и распространения информации о выборах во всех необходимых альтернативных доступных форматах (использование крупного шрифта, языка Брайля, языка жестов и прочие)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w:t>
            </w:r>
            <w:r>
              <w:br/>
            </w:r>
            <w:r>
              <w:rPr>
                <w:rFonts w:ascii="Times New Roman"/>
                <w:b w:val="false"/>
                <w:i w:val="false"/>
                <w:color w:val="000000"/>
                <w:sz w:val="20"/>
              </w:rPr>
              <w:t>
</w:t>
            </w:r>
            <w:r>
              <w:rPr>
                <w:rFonts w:ascii="Times New Roman"/>
                <w:b w:val="false"/>
                <w:i w:val="false"/>
                <w:color w:val="000000"/>
                <w:sz w:val="20"/>
              </w:rPr>
              <w:t>выборных</w:t>
            </w:r>
            <w:r>
              <w:br/>
            </w:r>
            <w:r>
              <w:rPr>
                <w:rFonts w:ascii="Times New Roman"/>
                <w:b w:val="false"/>
                <w:i w:val="false"/>
                <w:color w:val="000000"/>
                <w:sz w:val="20"/>
              </w:rPr>
              <w:t>
</w:t>
            </w:r>
            <w:r>
              <w:rPr>
                <w:rFonts w:ascii="Times New Roman"/>
                <w:b w:val="false"/>
                <w:i w:val="false"/>
                <w:color w:val="000000"/>
                <w:sz w:val="20"/>
              </w:rPr>
              <w:t>кампаний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инвалидам помещений при проведении выборов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выборных кампаний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состав избирательных комиссий представителей неправительственных организаций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выборных кампаний</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о введении института представительства интересов инвалидов в трудовых коллективах</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 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проекта Указа Президента Республики Казахстан «Об объявлении 2015 года Годом равных возможностей»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введению ежегодного Национального отчета по защите прав и законных интересов инвалидов и доступности объектов в основных сферах жизнедеятельности инвалидов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палаты предпринимателей</w:t>
            </w:r>
            <w:r>
              <w:br/>
            </w:r>
            <w:r>
              <w:rPr>
                <w:rFonts w:ascii="Times New Roman"/>
                <w:b w:val="false"/>
                <w:i w:val="false"/>
                <w:color w:val="000000"/>
                <w:sz w:val="20"/>
              </w:rPr>
              <w:t>
</w:t>
            </w:r>
            <w:r>
              <w:rPr>
                <w:rFonts w:ascii="Times New Roman"/>
                <w:b w:val="false"/>
                <w:i w:val="false"/>
                <w:color w:val="000000"/>
                <w:sz w:val="20"/>
              </w:rPr>
              <w:t>РК,</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инвалидов и НПО</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комплекса качественно-количественных критериев оценки эффективности информационно-пропагандистской работы, осуществляемой по государственному заказу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(созыв), 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инвалидов и</w:t>
            </w:r>
            <w:r>
              <w:br/>
            </w:r>
            <w:r>
              <w:rPr>
                <w:rFonts w:ascii="Times New Roman"/>
                <w:b w:val="false"/>
                <w:i w:val="false"/>
                <w:color w:val="000000"/>
                <w:sz w:val="20"/>
              </w:rPr>
              <w:t>
</w:t>
            </w:r>
            <w:r>
              <w:rPr>
                <w:rFonts w:ascii="Times New Roman"/>
                <w:b w:val="false"/>
                <w:i w:val="false"/>
                <w:color w:val="000000"/>
                <w:sz w:val="20"/>
              </w:rPr>
              <w:t>НПО, эксперты</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апреля 2014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формированию национального механизма мониторинга соблюдения </w:t>
            </w:r>
            <w:r>
              <w:rPr>
                <w:rFonts w:ascii="Times New Roman"/>
                <w:b w:val="false"/>
                <w:i w:val="false"/>
                <w:color w:val="000000"/>
                <w:sz w:val="20"/>
              </w:rPr>
              <w:t>Конвенции</w:t>
            </w:r>
            <w:r>
              <w:rPr>
                <w:rFonts w:ascii="Times New Roman"/>
                <w:b w:val="false"/>
                <w:i w:val="false"/>
                <w:color w:val="000000"/>
                <w:sz w:val="20"/>
              </w:rPr>
              <w:t xml:space="preserve"> о правах инвалидов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в Правительство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r>
              <w:br/>
            </w:r>
            <w:r>
              <w:rPr>
                <w:rFonts w:ascii="Times New Roman"/>
                <w:b w:val="false"/>
                <w:i w:val="false"/>
                <w:color w:val="000000"/>
                <w:sz w:val="20"/>
              </w:rPr>
              <w:t>
</w:t>
            </w:r>
            <w:r>
              <w:rPr>
                <w:rFonts w:ascii="Times New Roman"/>
                <w:b w:val="false"/>
                <w:i w:val="false"/>
                <w:color w:val="000000"/>
                <w:sz w:val="20"/>
              </w:rPr>
              <w:t>представители</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палаты предпринимателей РК,</w:t>
            </w:r>
            <w:r>
              <w:br/>
            </w:r>
            <w:r>
              <w:rPr>
                <w:rFonts w:ascii="Times New Roman"/>
                <w:b w:val="false"/>
                <w:i w:val="false"/>
                <w:color w:val="000000"/>
                <w:sz w:val="20"/>
              </w:rPr>
              <w:t>
</w:t>
            </w:r>
            <w:r>
              <w:rPr>
                <w:rFonts w:ascii="Times New Roman"/>
                <w:b w:val="false"/>
                <w:i w:val="false"/>
                <w:color w:val="000000"/>
                <w:sz w:val="20"/>
              </w:rPr>
              <w:t>общественных</w:t>
            </w:r>
            <w:r>
              <w:br/>
            </w:r>
            <w:r>
              <w:rPr>
                <w:rFonts w:ascii="Times New Roman"/>
                <w:b w:val="false"/>
                <w:i w:val="false"/>
                <w:color w:val="000000"/>
                <w:sz w:val="20"/>
              </w:rPr>
              <w:t>
</w:t>
            </w:r>
            <w:r>
              <w:rPr>
                <w:rFonts w:ascii="Times New Roman"/>
                <w:b w:val="false"/>
                <w:i w:val="false"/>
                <w:color w:val="000000"/>
                <w:sz w:val="20"/>
              </w:rPr>
              <w:t>объединений</w:t>
            </w:r>
            <w:r>
              <w:br/>
            </w:r>
            <w:r>
              <w:rPr>
                <w:rFonts w:ascii="Times New Roman"/>
                <w:b w:val="false"/>
                <w:i w:val="false"/>
                <w:color w:val="000000"/>
                <w:sz w:val="20"/>
              </w:rPr>
              <w:t>
</w:t>
            </w:r>
            <w:r>
              <w:rPr>
                <w:rFonts w:ascii="Times New Roman"/>
                <w:b w:val="false"/>
                <w:i w:val="false"/>
                <w:color w:val="000000"/>
                <w:sz w:val="20"/>
              </w:rPr>
              <w:t>инвалидов и</w:t>
            </w:r>
            <w:r>
              <w:br/>
            </w:r>
            <w:r>
              <w:rPr>
                <w:rFonts w:ascii="Times New Roman"/>
                <w:b w:val="false"/>
                <w:i w:val="false"/>
                <w:color w:val="000000"/>
                <w:sz w:val="20"/>
              </w:rPr>
              <w:t>
</w:t>
            </w:r>
            <w:r>
              <w:rPr>
                <w:rFonts w:ascii="Times New Roman"/>
                <w:b w:val="false"/>
                <w:i w:val="false"/>
                <w:color w:val="000000"/>
                <w:sz w:val="20"/>
              </w:rPr>
              <w:t>НПО, эксперты</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февраля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медиа-плана по проведению общественно-</w:t>
            </w:r>
            <w:r>
              <w:br/>
            </w:r>
            <w:r>
              <w:rPr>
                <w:rFonts w:ascii="Times New Roman"/>
                <w:b w:val="false"/>
                <w:i w:val="false"/>
                <w:color w:val="000000"/>
                <w:sz w:val="20"/>
              </w:rPr>
              <w:t>
</w:t>
            </w:r>
            <w:r>
              <w:rPr>
                <w:rFonts w:ascii="Times New Roman"/>
                <w:b w:val="false"/>
                <w:i w:val="false"/>
                <w:color w:val="000000"/>
                <w:sz w:val="20"/>
              </w:rPr>
              <w:t>просветительских кампаний, подготовке публикаций и выступлений в средствах массовой информации, направленных на формирование позитивного отношения общества к проблемам инвалидности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МТСЗН и АСИ</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w:t>
            </w:r>
            <w:r>
              <w:br/>
            </w:r>
            <w:r>
              <w:rPr>
                <w:rFonts w:ascii="Times New Roman"/>
                <w:b w:val="false"/>
                <w:i w:val="false"/>
                <w:color w:val="000000"/>
                <w:sz w:val="20"/>
              </w:rPr>
              <w:t>
</w:t>
            </w:r>
            <w:r>
              <w:rPr>
                <w:rFonts w:ascii="Times New Roman"/>
                <w:b w:val="false"/>
                <w:i w:val="false"/>
                <w:color w:val="000000"/>
                <w:sz w:val="20"/>
              </w:rPr>
              <w:t>МОН, АСИ,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Астана</w:t>
            </w:r>
            <w:r>
              <w:br/>
            </w:r>
            <w:r>
              <w:rPr>
                <w:rFonts w:ascii="Times New Roman"/>
                <w:b w:val="false"/>
                <w:i w:val="false"/>
                <w:color w:val="000000"/>
                <w:sz w:val="20"/>
              </w:rPr>
              <w:t>
</w:t>
            </w:r>
            <w:r>
              <w:rPr>
                <w:rFonts w:ascii="Times New Roman"/>
                <w:b w:val="false"/>
                <w:i w:val="false"/>
                <w:color w:val="000000"/>
                <w:sz w:val="20"/>
              </w:rPr>
              <w:t>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30 июня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Статистика и сбор данных</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выборочных обследований по качеству жизни лиц, имеющих инвалидность, с учетом гендерной специфики</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(созыв), заинтересованные</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января</w:t>
            </w:r>
            <w:r>
              <w:br/>
            </w:r>
            <w:r>
              <w:rPr>
                <w:rFonts w:ascii="Times New Roman"/>
                <w:b w:val="false"/>
                <w:i w:val="false"/>
                <w:color w:val="000000"/>
                <w:sz w:val="20"/>
              </w:rPr>
              <w:t>
</w:t>
            </w:r>
            <w:r>
              <w:rPr>
                <w:rFonts w:ascii="Times New Roman"/>
                <w:b w:val="false"/>
                <w:i w:val="false"/>
                <w:color w:val="000000"/>
                <w:sz w:val="20"/>
              </w:rPr>
              <w:t>2015 года</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общественных объединений инвалидов с нарушением зрения и слуха к статистической информации в общедоступной форме по официальным запросам на безвозмездной основе</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МТСЗН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r>
              <w:br/>
            </w:r>
            <w:r>
              <w:rPr>
                <w:rFonts w:ascii="Times New Roman"/>
                <w:b w:val="false"/>
                <w:i w:val="false"/>
                <w:color w:val="000000"/>
                <w:sz w:val="20"/>
              </w:rPr>
              <w:t>
</w:t>
            </w:r>
            <w:r>
              <w:rPr>
                <w:rFonts w:ascii="Times New Roman"/>
                <w:b w:val="false"/>
                <w:i w:val="false"/>
                <w:color w:val="000000"/>
                <w:sz w:val="20"/>
              </w:rPr>
              <w:t>20 января</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r>
    </w:tbl>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 объемы средств будут определены при утверждении местных бюджетов на 2015 год в соответствии с законодательством Республики Казахстан.</w:t>
      </w:r>
    </w:p>
    <w:bookmarkEnd w:id="3"/>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p>
    <w:bookmarkEnd w:id="4"/>
    <w:tbl>
      <w:tblPr>
        <w:tblW w:w="0" w:type="auto"/>
        <w:tblCellSpacing w:w="0" w:type="auto"/>
        <w:tblBorders>
          <w:top w:val="none"/>
          <w:left w:val="none"/>
          <w:bottom w:val="none"/>
          <w:right w:val="none"/>
          <w:insideH w:val="none"/>
          <w:insideV w:val="none"/>
        </w:tblBorders>
      </w:tblPr>
      <w:tblGrid>
        <w:gridCol w:w="1931"/>
        <w:gridCol w:w="301"/>
        <w:gridCol w:w="10768"/>
      </w:tblGrid>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статистике</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Республики Казахстан по связи и информации</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транспорта и коммуникаций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труда и социальной защиты населения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экономики и бюджетного планирования Республики Казахстан</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НИИ</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научно-исследовательский институт</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НПО</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неправительственные организации</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r>
      <w:tr>
        <w:trPr>
          <w:trHeight w:val="30" w:hRule="atLeast"/>
        </w:trPr>
        <w:tc>
          <w:tcPr>
            <w:tcW w:w="19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«РЦКС»</w:t>
            </w:r>
          </w:p>
        </w:tc>
        <w:tc>
          <w:tcPr>
            <w:tcW w:w="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РГКП «Республиканский центр коррекции слуха Министерства труда и социальной защиты населения Республики Казахстан»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