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a0d0" w14:textId="3ab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«Хоргос» от 4 июля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«Хоргос» от 4 июля 2005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13.12.2014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Китайской</w:t>
      </w:r>
      <w:r>
        <w:br/>
      </w:r>
      <w:r>
        <w:rPr>
          <w:rFonts w:ascii="Times New Roman"/>
          <w:b/>
          <w:i w:val="false"/>
          <w:color w:val="000000"/>
        </w:rPr>
        <w:t>
Народной Республики о регулировании деятельности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центра приграничного сотрудничества «Хоргос»</w:t>
      </w:r>
      <w:r>
        <w:br/>
      </w:r>
      <w:r>
        <w:rPr>
          <w:rFonts w:ascii="Times New Roman"/>
          <w:b/>
          <w:i w:val="false"/>
          <w:color w:val="000000"/>
        </w:rPr>
        <w:t>
от 4 июля 2005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«Хоргос» (далее – Центр) от 4 июля 2005 года (далее – Соглашение)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«Уполномоченным органом по управлению казахстанской частью Центра является Министерство по инвестициям и развитию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«Общая площадь Центра составляет 5,60 кв. км, из них площадь казахстанской части – 2,17 кв. км, площадь китайской части – 3,43 кв. км.»;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13.12.2014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(грузов) в/из Центра должны соблюдаться национальные законодательства и соответствующие положения международных договоров. Проведение таможенных процедур в отношении товаров (грузов), перемещаемых в/из Центра, осуществляется по принципу семь дней в неделю. Для лиц, малолитражных и легковых автомобилей (вместимость до 8 человек) время проведения таможенных процедур при необходимости продлевается.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территории Центра лица, товары (грузы) и транспортные средства перемещаются свободно.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Центра: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8"/>
        <w:gridCol w:w="7132"/>
      </w:tblGrid>
      <w:tr>
        <w:trPr>
          <w:trHeight w:val="30" w:hRule="atLeast"/>
        </w:trPr>
        <w:tc>
          <w:tcPr>
            <w:tcW w:w="4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30 сентября</w:t>
            </w:r>
          </w:p>
        </w:tc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18.00 (астанинское время);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10.30 до 20.00 (пекинское время);</w:t>
            </w:r>
          </w:p>
        </w:tc>
      </w:tr>
      <w:tr>
        <w:trPr>
          <w:trHeight w:val="30" w:hRule="atLeast"/>
        </w:trPr>
        <w:tc>
          <w:tcPr>
            <w:tcW w:w="4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октября по 30 апреля</w:t>
            </w:r>
          </w:p>
        </w:tc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17.00 (астанинское время);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11.00 до 19.00 (пекинское время).»;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Республики Казахстан (в сопровождении одного из родителей).»;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      «6)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в/из Центра транспортное средство должно иметь опознавательный знак и государственно-регистрационный номер государства одной из Сторон. Грузовые перевозки осуществляются грузовыми автомобилями с количеством осей, не превышающих 6 (включительно). При осуществлении перевозки пассажиров и грузов на территории Центра должно соблюдаться законодательство государства Стороны, на территории которого осуществляется перевозка.»;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1 к Соглашению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постановлением Правительства РК от 13.12.2014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будет действовать на срок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«___»______ 201_ года в двух экземплярах на казахском, китайском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2"/>
        <w:gridCol w:w="5576"/>
      </w:tblGrid>
      <w:tr>
        <w:trPr>
          <w:trHeight w:val="30" w:hRule="atLeast"/>
        </w:trPr>
        <w:tc>
          <w:tcPr>
            <w:tcW w:w="8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</w:tc>
        <w:tc>
          <w:tcPr>
            <w:tcW w:w="5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Протоколу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Соглашение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Китайской Народной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регулировании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центра приграничного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«Хоргос»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2005 года   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Соглашению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Китайской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Народной Республики о регулировании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Международного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приграничного сотрудничества «Хоргос»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2005 года      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размещения и границы</w:t>
      </w:r>
      <w:r>
        <w:br/>
      </w:r>
      <w:r>
        <w:rPr>
          <w:rFonts w:ascii="Times New Roman"/>
          <w:b/>
          <w:i w:val="false"/>
          <w:color w:val="000000"/>
        </w:rPr>
        <w:t>
территории МЦПС РК (217 га) и торговой зоны КНР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3627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