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0ff4" w14:textId="03b0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2014 года № 207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подписании Протокола о внесении изменений и дополнений в</w:t>
      </w:r>
      <w:r>
        <w:br/>
      </w:r>
      <w:r>
        <w:rPr>
          <w:rFonts w:ascii="Times New Roman"/>
          <w:b/>
          <w:i w:val="false"/>
          <w:color w:val="000000"/>
        </w:rPr>
        <w:t>
Конвенцию между Республикой Казахстан и Чешской Республикой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уплаты налогов в отношении налогов на доход и на капитал</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r>
        <w:br/>
      </w:r>
      <w:r>
        <w:rPr>
          <w:rFonts w:ascii="Times New Roman"/>
          <w:b w:val="false"/>
          <w:i w:val="false"/>
          <w:color w:val="000000"/>
          <w:sz w:val="28"/>
        </w:rPr>
        <w:t>
      2. Уполномочить Чрезвычайного и Полномочного Посла Республики Казахстан в Чешской Республике Карашева Анарбека Бахтыгазовича подписать от имени Республики Казахстан Протокол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разрешив вносить изменения и дополнения, не имеющие принципиального характера.</w:t>
      </w:r>
      <w:r>
        <w:br/>
      </w:r>
      <w:r>
        <w:rPr>
          <w:rFonts w:ascii="Times New Roman"/>
          <w:b w:val="false"/>
          <w:i w:val="false"/>
          <w:color w:val="000000"/>
          <w:sz w:val="28"/>
        </w:rPr>
        <w:t>
      3.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ноября 2010 года № 1106 «О подписании Протокола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2014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Конвенцию между Республикой</w:t>
      </w:r>
      <w:r>
        <w:br/>
      </w:r>
      <w:r>
        <w:rPr>
          <w:rFonts w:ascii="Times New Roman"/>
          <w:b/>
          <w:i w:val="false"/>
          <w:color w:val="000000"/>
        </w:rPr>
        <w:t>
Казахстан и Чешской Республикой об избежании двойного</w:t>
      </w:r>
      <w:r>
        <w:br/>
      </w:r>
      <w:r>
        <w:rPr>
          <w:rFonts w:ascii="Times New Roman"/>
          <w:b/>
          <w:i w:val="false"/>
          <w:color w:val="000000"/>
        </w:rPr>
        <w:t>
налогообложения и предотвращении уклонения от уплаты налогов в</w:t>
      </w:r>
      <w:r>
        <w:br/>
      </w:r>
      <w:r>
        <w:rPr>
          <w:rFonts w:ascii="Times New Roman"/>
          <w:b/>
          <w:i w:val="false"/>
          <w:color w:val="000000"/>
        </w:rPr>
        <w:t xml:space="preserve">
отношении налогов на доход и на капитал </w:t>
      </w:r>
    </w:p>
    <w:p>
      <w:pPr>
        <w:spacing w:after="0"/>
        <w:ind w:left="0"/>
        <w:jc w:val="both"/>
      </w:pPr>
      <w:r>
        <w:rPr>
          <w:rFonts w:ascii="Times New Roman"/>
          <w:b w:val="false"/>
          <w:i w:val="false"/>
          <w:color w:val="000000"/>
          <w:sz w:val="28"/>
        </w:rPr>
        <w:t>      Республика Казахстан и Чешская Республика,</w:t>
      </w:r>
      <w:r>
        <w:br/>
      </w:r>
      <w:r>
        <w:rPr>
          <w:rFonts w:ascii="Times New Roman"/>
          <w:b w:val="false"/>
          <w:i w:val="false"/>
          <w:color w:val="000000"/>
          <w:sz w:val="28"/>
        </w:rPr>
        <w:t xml:space="preserve">
      желая заключить Протокол о внесении изменений и дополнений в Конвенцию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 от 9 апреля 1998 года (далее - Конвенция), </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Подпункт а) пункта 3 статьи 2 Конвенции изложить в следующей редакции:</w:t>
      </w:r>
      <w:r>
        <w:br/>
      </w:r>
      <w:r>
        <w:rPr>
          <w:rFonts w:ascii="Times New Roman"/>
          <w:b w:val="false"/>
          <w:i w:val="false"/>
          <w:color w:val="000000"/>
          <w:sz w:val="28"/>
        </w:rPr>
        <w:t>
      «a) в Республике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(iii) налог на имущество юридических и физических лиц;</w:t>
      </w:r>
      <w:r>
        <w:br/>
      </w:r>
      <w:r>
        <w:rPr>
          <w:rFonts w:ascii="Times New Roman"/>
          <w:b w:val="false"/>
          <w:i w:val="false"/>
          <w:color w:val="000000"/>
          <w:sz w:val="28"/>
        </w:rPr>
        <w:t>
      (далее именуемые как «Казахстанский налог»);».</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Подпункт а) пункта 1 статьи 3 Конвенции изложить в следующей редакции:</w:t>
      </w:r>
      <w:r>
        <w:br/>
      </w:r>
      <w:r>
        <w:rPr>
          <w:rFonts w:ascii="Times New Roman"/>
          <w:b w:val="false"/>
          <w:i w:val="false"/>
          <w:color w:val="000000"/>
          <w:sz w:val="28"/>
        </w:rPr>
        <w:t>
      «a) термин:</w:t>
      </w:r>
      <w:r>
        <w:br/>
      </w:r>
      <w:r>
        <w:rPr>
          <w:rFonts w:ascii="Times New Roman"/>
          <w:b w:val="false"/>
          <w:i w:val="false"/>
          <w:color w:val="000000"/>
          <w:sz w:val="28"/>
        </w:rPr>
        <w:t>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(ii) «Чешская Республика» означает территорию Чешской Республики, в отношении которой согласно чешскому законодательству и в соответствии с международным правом осуществляются суверенные права Чешской Республики;».</w:t>
      </w:r>
      <w:r>
        <w:br/>
      </w:r>
      <w:r>
        <w:rPr>
          <w:rFonts w:ascii="Times New Roman"/>
          <w:b w:val="false"/>
          <w:i w:val="false"/>
          <w:color w:val="000000"/>
          <w:sz w:val="28"/>
        </w:rPr>
        <w:t>
      2. Подпункт g) пункта 1 статьи 3 Конвенции изложить в следующей редакции:</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резидентом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Пункт 1 статьи 4 Конвенции изложить в следующей редакции:</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регистрации или инкорпорации, места эффективного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этом Договаривающемся Государстве или капитала, расположенного в нем.».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1. Подпункт f) пункта 2 статьи 5 Конвенции изложить в следующей редакции: </w:t>
      </w:r>
      <w:r>
        <w:br/>
      </w:r>
      <w:r>
        <w:rPr>
          <w:rFonts w:ascii="Times New Roman"/>
          <w:b w:val="false"/>
          <w:i w:val="false"/>
          <w:color w:val="000000"/>
          <w:sz w:val="28"/>
        </w:rPr>
        <w:t>
      «f) любое место добычи или разведки природных ресурсов.».</w:t>
      </w:r>
      <w:r>
        <w:br/>
      </w:r>
      <w:r>
        <w:rPr>
          <w:rFonts w:ascii="Times New Roman"/>
          <w:b w:val="false"/>
          <w:i w:val="false"/>
          <w:color w:val="000000"/>
          <w:sz w:val="28"/>
        </w:rPr>
        <w:t>
      2. Подпункт а) пункта 3 статьи 5 Конвенции изложить в следующей редакции:</w:t>
      </w:r>
      <w:r>
        <w:br/>
      </w:r>
      <w:r>
        <w:rPr>
          <w:rFonts w:ascii="Times New Roman"/>
          <w:b w:val="false"/>
          <w:i w:val="false"/>
          <w:color w:val="000000"/>
          <w:sz w:val="28"/>
        </w:rPr>
        <w:t>
      «а) строительную площадку или строительный, монтажный или сборочный объект или наблюдательную деятельность, связанную с этим, но только если такая площадка, объект или деятельность существуют в течение периода, превышающего двенадцать месяцев;».</w:t>
      </w:r>
      <w:r>
        <w:br/>
      </w:r>
      <w:r>
        <w:rPr>
          <w:rFonts w:ascii="Times New Roman"/>
          <w:b w:val="false"/>
          <w:i w:val="false"/>
          <w:color w:val="000000"/>
          <w:sz w:val="28"/>
        </w:rPr>
        <w:t>
      3. Пункт 3 статьи 5 Конвенции дополнить предложением в следующей редакции:</w:t>
      </w:r>
      <w:r>
        <w:br/>
      </w:r>
      <w:r>
        <w:rPr>
          <w:rFonts w:ascii="Times New Roman"/>
          <w:b w:val="false"/>
          <w:i w:val="false"/>
          <w:color w:val="000000"/>
          <w:sz w:val="28"/>
        </w:rPr>
        <w:t>
      «Для целей определения временных ограничений, указанных в настоящем пункте, деятельность, осуществляемая предприятием, ассоциированным с другим предприятием согласно статье 9 Конвенции, рассматривается как осуществляемая предприятием, с которым оно ассоциируется, если деятельность соответствует условиям:</w:t>
      </w:r>
      <w:r>
        <w:br/>
      </w:r>
      <w:r>
        <w:rPr>
          <w:rFonts w:ascii="Times New Roman"/>
          <w:b w:val="false"/>
          <w:i w:val="false"/>
          <w:color w:val="000000"/>
          <w:sz w:val="28"/>
        </w:rPr>
        <w:t>
      a) по существу схожа с деятельностью, осуществляемой последним упомянутым предприятием, и</w:t>
      </w:r>
      <w:r>
        <w:br/>
      </w:r>
      <w:r>
        <w:rPr>
          <w:rFonts w:ascii="Times New Roman"/>
          <w:b w:val="false"/>
          <w:i w:val="false"/>
          <w:color w:val="000000"/>
          <w:sz w:val="28"/>
        </w:rPr>
        <w:t>
      b) осуществляется в пределах одного или связанных проектов, за исключением деятельности, осуществляемой совместно.».</w:t>
      </w:r>
      <w:r>
        <w:br/>
      </w:r>
      <w:r>
        <w:rPr>
          <w:rFonts w:ascii="Times New Roman"/>
          <w:b w:val="false"/>
          <w:i w:val="false"/>
          <w:color w:val="000000"/>
          <w:sz w:val="28"/>
        </w:rPr>
        <w:t>
      4. Подпункт е) пункта 4 статьи 5 Конвенции изложить в следующей редакции:</w:t>
      </w:r>
      <w:r>
        <w:br/>
      </w:r>
      <w:r>
        <w:rPr>
          <w:rFonts w:ascii="Times New Roman"/>
          <w:b w:val="false"/>
          <w:i w:val="false"/>
          <w:color w:val="000000"/>
          <w:sz w:val="28"/>
        </w:rPr>
        <w:t>
      «е) эксплуатация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xml:space="preserve">
      5. Пункт 6 статьи 5 Конвенции дополнить предложением в следующей редакции: </w:t>
      </w:r>
      <w:r>
        <w:br/>
      </w: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могут быть установлены между независимыми предприятиями, то он не считается агентом с независимым статусом в понимании настоящего пункта.».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Пункт 3 статьи 7 Конвенции дополнить предложением в следующей редакции:</w:t>
      </w:r>
      <w:r>
        <w:br/>
      </w:r>
      <w:r>
        <w:rPr>
          <w:rFonts w:ascii="Times New Roman"/>
          <w:b w:val="false"/>
          <w:i w:val="false"/>
          <w:color w:val="000000"/>
          <w:sz w:val="28"/>
        </w:rPr>
        <w:t>
      «Аналогично,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любого из его других подразделений,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Пункт 3 статьи 10 Конвенции изложить в следующей редакции:</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участие в прибыли, а также другие доходы, которые подлежат такому же налогообложению, как доходы от акций в соответствии законодательством государства, в котором компания, производящая выплаты, является резидентом.».</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Пункт 3 статьи 11 Конвенции изложить в следующей редакции:</w:t>
      </w:r>
      <w:r>
        <w:br/>
      </w:r>
      <w:r>
        <w:rPr>
          <w:rFonts w:ascii="Times New Roman"/>
          <w:b w:val="false"/>
          <w:i w:val="false"/>
          <w:color w:val="000000"/>
          <w:sz w:val="28"/>
        </w:rPr>
        <w:t>
      «3. Несмотря на положения пункта 2 настоящей статьи, процент, возникающий в Договаривающемся Государстве и выплачиваемый резиденту другого Договаривающегося Государства, который является его фактическим владельцем, освобождается от налога в Договаривающемся Государстве, в котором процент возникает, если он выплачивается:</w:t>
      </w:r>
      <w:r>
        <w:br/>
      </w:r>
      <w:r>
        <w:rPr>
          <w:rFonts w:ascii="Times New Roman"/>
          <w:b w:val="false"/>
          <w:i w:val="false"/>
          <w:color w:val="000000"/>
          <w:sz w:val="28"/>
        </w:rPr>
        <w:t>
      а) Правительству другого Договаривающегося Государства, административно-территориальному подразделению или местному органу власти, Центральному (Национальному) банку другого Договаривающегося Государства или финансовой организации,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 или</w:t>
      </w:r>
      <w:r>
        <w:br/>
      </w:r>
      <w:r>
        <w:rPr>
          <w:rFonts w:ascii="Times New Roman"/>
          <w:b w:val="false"/>
          <w:i w:val="false"/>
          <w:color w:val="000000"/>
          <w:sz w:val="28"/>
        </w:rPr>
        <w:t>
      b) связан с займом или кредитом, гарантированным Правительством другого Договаривающегося Государства, административно-территориальным подразделением или местным органом власти, Центральным (Национальным) банком другого Договаривающегося Государства или финансовой организацией,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w:t>
      </w:r>
      <w:r>
        <w:br/>
      </w:r>
      <w:r>
        <w:rPr>
          <w:rFonts w:ascii="Times New Roman"/>
          <w:b w:val="false"/>
          <w:i w:val="false"/>
          <w:color w:val="000000"/>
          <w:sz w:val="28"/>
        </w:rPr>
        <w:t>
      2. Пункт 4 статьи 11 Конвенции дополнить предложением в следующей редакции:</w:t>
      </w:r>
      <w:r>
        <w:br/>
      </w:r>
      <w:r>
        <w:rPr>
          <w:rFonts w:ascii="Times New Roman"/>
          <w:b w:val="false"/>
          <w:i w:val="false"/>
          <w:color w:val="000000"/>
          <w:sz w:val="28"/>
        </w:rPr>
        <w:t>
      «Термин «проценты» не включает любой доход, который рассматривается как дивиденды согласно положениям пункта 3 статьи 10 настоящей Конвенции.».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Пункт 2 статьи 13 Конвенции изложить в следующей редакции:</w:t>
      </w:r>
      <w:r>
        <w:br/>
      </w:r>
      <w:r>
        <w:rPr>
          <w:rFonts w:ascii="Times New Roman"/>
          <w:b w:val="false"/>
          <w:i w:val="false"/>
          <w:color w:val="000000"/>
          <w:sz w:val="28"/>
        </w:rPr>
        <w:t>
      «2. Прирост стоимости, полученный резидентом Договаривающегося Государства от отчуждения акции, доли участия или других прав в компании, получающих более 50 процентов своей стоимости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Действующее положение статьи 20 Конвенции нумеровать пунктом 1 настоящей статьи и дополнить статью 20 Конвенции пунктом 2 в следующей редакции:</w:t>
      </w:r>
      <w:r>
        <w:br/>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пункте 1 настоящей статьи, лицо, упомянутое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оно пребывает.».</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Пункт 2 Статьи 21 Конвенции изложить в следующей редакции:</w:t>
      </w:r>
      <w:r>
        <w:br/>
      </w:r>
      <w:r>
        <w:rPr>
          <w:rFonts w:ascii="Times New Roman"/>
          <w:b w:val="false"/>
          <w:i w:val="false"/>
          <w:color w:val="000000"/>
          <w:sz w:val="28"/>
        </w:rPr>
        <w:t>
      «2. Несмотря на положения пункта 1 настоящей Статьи, если такой доход получает резидент Договаривающегося Государства из источников в другом Договаривающемся Государстве, то такой доход может облагаться налогом в этом другом Договаривающемся Государстве.».</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Статью 23 Конвенции изложить в следующей редакции:</w:t>
      </w:r>
      <w:r>
        <w:br/>
      </w:r>
      <w:r>
        <w:rPr>
          <w:rFonts w:ascii="Times New Roman"/>
          <w:b w:val="false"/>
          <w:i w:val="false"/>
          <w:color w:val="000000"/>
          <w:sz w:val="28"/>
        </w:rPr>
        <w:t>
                               «Статья 23</w:t>
      </w:r>
      <w:r>
        <w:br/>
      </w:r>
      <w:r>
        <w:rPr>
          <w:rFonts w:ascii="Times New Roman"/>
          <w:b w:val="false"/>
          <w:i w:val="false"/>
          <w:color w:val="000000"/>
          <w:sz w:val="28"/>
        </w:rPr>
        <w:t>
                 УСТРАНЕНИЕ ДВОЙНОГО НАЛОГООБЛОЖЕНИЯ</w:t>
      </w:r>
      <w:r>
        <w:br/>
      </w:r>
      <w:r>
        <w:rPr>
          <w:rFonts w:ascii="Times New Roman"/>
          <w:b w:val="false"/>
          <w:i w:val="false"/>
          <w:color w:val="000000"/>
          <w:sz w:val="28"/>
        </w:rPr>
        <w:t>
      1. В случае резидента Казахстана, двойное налогообложение устраняется следующим образом:</w:t>
      </w:r>
      <w:r>
        <w:br/>
      </w:r>
      <w:r>
        <w:rPr>
          <w:rFonts w:ascii="Times New Roman"/>
          <w:b w:val="false"/>
          <w:i w:val="false"/>
          <w:color w:val="000000"/>
          <w:sz w:val="28"/>
        </w:rPr>
        <w:t>
      Если резидент Казахстана получает доход или владеет капиталом, который в соответствии с положениями настоящей Конвенции может облагаться налогом в Чешской Республике, Казахстан разрешит:</w:t>
      </w:r>
      <w:r>
        <w:br/>
      </w:r>
      <w:r>
        <w:rPr>
          <w:rFonts w:ascii="Times New Roman"/>
          <w:b w:val="false"/>
          <w:i w:val="false"/>
          <w:color w:val="000000"/>
          <w:sz w:val="28"/>
        </w:rPr>
        <w:t>
      a) вычет из налога на доход такого резидента суммы, равной подоходному налогу, уплаченному в Чешской Республике;</w:t>
      </w:r>
      <w:r>
        <w:br/>
      </w:r>
      <w:r>
        <w:rPr>
          <w:rFonts w:ascii="Times New Roman"/>
          <w:b w:val="false"/>
          <w:i w:val="false"/>
          <w:color w:val="000000"/>
          <w:sz w:val="28"/>
        </w:rPr>
        <w:t xml:space="preserve">
      b) вычет из налога на капитал такого резидента суммы, равной налогу на капитал, уплаченному в Чешской Республике. </w:t>
      </w:r>
      <w:r>
        <w:br/>
      </w:r>
      <w:r>
        <w:rPr>
          <w:rFonts w:ascii="Times New Roman"/>
          <w:b w:val="false"/>
          <w:i w:val="false"/>
          <w:color w:val="000000"/>
          <w:sz w:val="28"/>
        </w:rPr>
        <w:t xml:space="preserve">
      Такой вычет в любом случае не должен превышать той суммы налога на доход или на капитал, исчисленного до предоставления вычета, в зависимости от обстоятельств, с дохода или капитала, который может быть обложен налогом в Чешской Республике. </w:t>
      </w:r>
      <w:r>
        <w:br/>
      </w:r>
      <w:r>
        <w:rPr>
          <w:rFonts w:ascii="Times New Roman"/>
          <w:b w:val="false"/>
          <w:i w:val="false"/>
          <w:color w:val="000000"/>
          <w:sz w:val="28"/>
        </w:rPr>
        <w:t>
      2. В соответствии с положениями законодательства Чешской Республики об избежании двойного налогообложения, в случае резидента Чешской Республики, двойное налогообложение устраняется следующим образом:</w:t>
      </w:r>
      <w:r>
        <w:br/>
      </w:r>
      <w:r>
        <w:rPr>
          <w:rFonts w:ascii="Times New Roman"/>
          <w:b w:val="false"/>
          <w:i w:val="false"/>
          <w:color w:val="000000"/>
          <w:sz w:val="28"/>
        </w:rPr>
        <w:t>
      Чешская Республика, при исчислении налога на своих резидентов, может включать в налогооблагаемую базу, с которой взимаются такие налоги, доход или капитал, который в соответствии с положениями настоящей Конвенции может облагаться налогом в Республике Казахстан, но позволит вычет из суммы налога, исчисленной с такой налогооблагаемой базы, суммы налога, уплаченного в Казахстане. Такой вычет, однако, не может превышать той суммы чешского налога, исчисленной до предоставления вычета с дохода или капитала, который в соответствии с положениями настоящей Конвенции может облагаться налогом в Казахстане.</w:t>
      </w:r>
      <w:r>
        <w:br/>
      </w:r>
      <w:r>
        <w:rPr>
          <w:rFonts w:ascii="Times New Roman"/>
          <w:b w:val="false"/>
          <w:i w:val="false"/>
          <w:color w:val="000000"/>
          <w:sz w:val="28"/>
        </w:rPr>
        <w:t>
      3. Если согласно любым положениям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Пункт 1 статьи 24 Конвенции изложить в следующей редакции:</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статьи 1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2. Пункт 2 статьи 24 Конвенции изложить в следующей редакции:</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или постоянной базы, которую резидент Договаривающегося Государства имеет в другом Договаривающемся Государстве, не может быть менее благоприятным в этом другом Договаривающемся Государстве, чем налогообложение предприятий или резидентов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гражданского статуса или семейного положения, которые оно предоставляет своим резидентам.».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Статью 26 Конвенции изложить в следующей редакции:</w:t>
      </w:r>
      <w:r>
        <w:br/>
      </w:r>
      <w:r>
        <w:rPr>
          <w:rFonts w:ascii="Times New Roman"/>
          <w:b w:val="false"/>
          <w:i w:val="false"/>
          <w:color w:val="000000"/>
          <w:sz w:val="28"/>
        </w:rPr>
        <w:t>
                                 «Статья 26</w:t>
      </w:r>
      <w:r>
        <w:br/>
      </w:r>
      <w:r>
        <w:rPr>
          <w:rFonts w:ascii="Times New Roman"/>
          <w:b w:val="false"/>
          <w:i w:val="false"/>
          <w:color w:val="000000"/>
          <w:sz w:val="28"/>
        </w:rPr>
        <w:t>
                             ОБМЕН ИНФОРМАЦИЕЙ</w:t>
      </w:r>
      <w:r>
        <w:br/>
      </w: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статьями 1 и 2 настоящей Конвенции. </w:t>
      </w:r>
      <w:r>
        <w:br/>
      </w:r>
      <w:r>
        <w:rPr>
          <w:rFonts w:ascii="Times New Roman"/>
          <w:b w:val="false"/>
          <w:i w:val="false"/>
          <w:color w:val="000000"/>
          <w:sz w:val="28"/>
        </w:rPr>
        <w:t>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может быть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этих целей. Они могут раскрыть информацию в ходе открытого судебного заседания или при принятии судебных решений. Несмотря на вышеизложенное, информация, полученная Договаривающимся Государством, может быть использована для других целей согласно законодательству обоих Договаривающихся Государств, и компетентный орган запрашиваемого Договаривающегося Государства дает согласие на такое использование.</w:t>
      </w:r>
      <w:r>
        <w:br/>
      </w:r>
      <w:r>
        <w:rPr>
          <w:rFonts w:ascii="Times New Roman"/>
          <w:b w:val="false"/>
          <w:i w:val="false"/>
          <w:color w:val="000000"/>
          <w:sz w:val="28"/>
        </w:rPr>
        <w:t>
      3. Положения пунктов 1 и 2 настоящей статьи не могут толковаться как налагающие на Договаривающееся Государство обязательство:</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xml:space="preserve">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 </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Понимается для целей Конвенции, что ее положения ни в коем случае не запрещают Договаривающемуся Государству в применении положений своего внутреннего законодательства и мер против налоговых уклонений или уклонений, описанных как таковые.</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Каждое Договаривающееся Государство уведомляет другое по дипломатическим каналам о завершении внутригосударственных процедур по вступлению в силу настоящего Протокола. Настоящий Протокол, который является неотъемлемой частью Конвенции, вступает в силу c даты последнего из этих уведомлений и его положения применяются:</w:t>
      </w:r>
      <w:r>
        <w:br/>
      </w:r>
      <w:r>
        <w:rPr>
          <w:rFonts w:ascii="Times New Roman"/>
          <w:b w:val="false"/>
          <w:i w:val="false"/>
          <w:color w:val="000000"/>
          <w:sz w:val="28"/>
        </w:rPr>
        <w:t>
      а) в отношении налогов, удерживаемых у источника выплаты, к налогам, взимаемым с дохода, выплаченного или зачитываемого с или после первого января календарного года, следующего за годом вступления в силу настоящего Протокола;</w:t>
      </w:r>
      <w:r>
        <w:br/>
      </w:r>
      <w:r>
        <w:rPr>
          <w:rFonts w:ascii="Times New Roman"/>
          <w:b w:val="false"/>
          <w:i w:val="false"/>
          <w:color w:val="000000"/>
          <w:sz w:val="28"/>
        </w:rPr>
        <w:t>
      b) в отношении других налогов, к налогам, взимаемым за налогооблагаемый период, начинающийся с или после первого января календарного года, следующего за годом вступления в силу настоящего Протокола;</w:t>
      </w:r>
      <w:r>
        <w:br/>
      </w:r>
      <w:r>
        <w:rPr>
          <w:rFonts w:ascii="Times New Roman"/>
          <w:b w:val="false"/>
          <w:i w:val="false"/>
          <w:color w:val="000000"/>
          <w:sz w:val="28"/>
        </w:rPr>
        <w:t>
      c) в отношении Статьи 13 Протокола, к запросам, направляемым с или после даты вступления в силу Протокола.</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p>
    <w:p>
      <w:pPr>
        <w:spacing w:after="0"/>
        <w:ind w:left="0"/>
        <w:jc w:val="both"/>
      </w:pPr>
      <w:r>
        <w:rPr>
          <w:rFonts w:ascii="Times New Roman"/>
          <w:b w:val="false"/>
          <w:i w:val="false"/>
          <w:color w:val="000000"/>
          <w:sz w:val="28"/>
        </w:rPr>
        <w:t>      Совершено в городе __________ «___» ________ 201___ года в двух экземплярах на казахском, чешском, английском и русском языках, причем все тексты имеют одинаковую силу. В случае возникновения расхождения, текст на английском языке является определяющим.</w:t>
      </w:r>
    </w:p>
    <w:tbl>
      <w:tblPr>
        <w:tblW w:w="0" w:type="auto"/>
        <w:tblCellSpacing w:w="0" w:type="auto"/>
        <w:tblBorders>
          <w:top w:val="none"/>
          <w:left w:val="none"/>
          <w:bottom w:val="none"/>
          <w:right w:val="none"/>
          <w:insideH w:val="none"/>
          <w:insideV w:val="none"/>
        </w:tblBorders>
      </w:tblPr>
      <w:tblGrid>
        <w:gridCol w:w="6372"/>
        <w:gridCol w:w="7208"/>
      </w:tblGrid>
      <w:tr>
        <w:trPr>
          <w:trHeight w:val="30" w:hRule="atLeast"/>
        </w:trPr>
        <w:tc>
          <w:tcPr>
            <w:tcW w:w="637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20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Чешскую Республику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