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c697" w14:textId="3d8c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186.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национальной экономики РК от 27.03.2015 г. № 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экспертов, осуществляющих экспертные работы и инжиниринговые услуги в сфере архитектурной, градостроительной и строительной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экспертов, осуществляющих экспертные работы и</w:t>
      </w:r>
      <w:r>
        <w:br/>
      </w:r>
      <w:r>
        <w:rPr>
          <w:rFonts w:ascii="Times New Roman"/>
          <w:b/>
          <w:i w:val="false"/>
          <w:color w:val="000000"/>
        </w:rPr>
        <w:t>
инжиниринговые услуги в сфере архитектурной, градостроительной</w:t>
      </w:r>
      <w:r>
        <w:br/>
      </w:r>
      <w:r>
        <w:rPr>
          <w:rFonts w:ascii="Times New Roman"/>
          <w:b/>
          <w:i w:val="false"/>
          <w:color w:val="000000"/>
        </w:rPr>
        <w:t>
и строительной деятельности»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делам строительства и жилищно-коммунального хозяйства Министерства, территориальными подразделениями Комитета по делам строительства и по делам строительства и жилищно-коммунального хозяйства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территориальных подразделений Комитета по делам строительства и жилищно-коммунального хозяйства Министерства и веб-портал «Е-лицензирование»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51 (пятьдесят 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аттестат)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аттестата на бумажном носителе, аттестат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часов,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(оригинал предоставляется для идентификации личности услгополучателя);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диплома о высшем профессиональном образовании (при наличии ученой степени и ученого звания – копии соответствующих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трудовой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>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нотариального засвидетельствования документов не требуется в случае представления услугополучателем (экспертом) оригинала документа для сверки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диплома о высшем профессиональном образовании (при наличии ученой степени и ученого звания – прикрепляется в виде электронной копии документов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трудовой книжки (прикрепляется в виде электронной копии документов к электронному запросу).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 (нотариально засвидетельствованная сканированная копия):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>, содержащая сведения о трудовой деятельности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документов, представленных услугодателю для получения аттестата, подтверждается талоном, который направляется (вручается) услугополучателю с входящим номером и отметкой о дате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через портал услугополучателю в «личный кабинет» на портал направляется уведомление-отчет о принятии запроса услугодателем для оказания государственной услуги с указанием даты и времени принятия.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их должностных лиц по вопросам оказания государственных услуг: жалоба подается на имя руководителя услугодателя по адресам указанных на интернет-ресурсе www.minregion.gov.kz., либо на имя руководителя Министерства по адресу: 010000, город Астана, ул. Орынбор, 10, Дом министерств, 11 подъезд, телефон: 8 (7172) 74-22-43, 74-19-45.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 услуги, в том числе оказываемой в электронной форме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www.minregion.gov.kz,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www.minregion.gov.kz, раздел «Государственные услуги». Единый контакт-центр по вопросам оказания государственных услуг: 1414.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«Аттестации экспертов,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экспертные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инжиниринговые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архитектурной,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градостроительной и строительной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5"/>
        <w:gridCol w:w="4488"/>
        <w:gridCol w:w="4297"/>
      </w:tblGrid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гос. языке)]</w:t>
            </w:r>
          </w:p>
        </w:tc>
        <w:tc>
          <w:tcPr>
            <w:tcW w:w="448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рус. языке)]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гос. языке]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рус. языке]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       </w:t>
      </w:r>
      <w:r>
        <w:rPr>
          <w:rFonts w:ascii="Times New Roman"/>
          <w:b/>
          <w:i w:val="false"/>
          <w:color w:val="000000"/>
          <w:sz w:val="28"/>
        </w:rPr>
        <w:t>АТТЕСТАТ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эксперта осуществляющего экспертные работы и инжиниринговые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услуги в сфере архитектурной, градостроительной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[ФАМИЛИЯ][ИМЯ][ОТЧЕСТВО]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присвоен статус эксперта по экспертным работам и инжиниринговым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услугам с правом осуществления этой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виду: [</w:t>
      </w:r>
      <w:r>
        <w:rPr>
          <w:rFonts w:ascii="Times New Roman"/>
          <w:b/>
          <w:i w:val="false"/>
          <w:color w:val="000000"/>
          <w:sz w:val="28"/>
        </w:rPr>
        <w:t>Вид экспертных работ и инжиниринговых услуг</w:t>
      </w:r>
      <w:r>
        <w:rPr>
          <w:rFonts w:ascii="Times New Roman"/>
          <w:b w:val="false"/>
          <w:i w:val="false"/>
          <w:color w:val="000000"/>
          <w:sz w:val="28"/>
        </w:rPr>
        <w:t>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специализации: [</w:t>
      </w:r>
      <w:r>
        <w:rPr>
          <w:rFonts w:ascii="Times New Roman"/>
          <w:b/>
          <w:i w:val="false"/>
          <w:color w:val="000000"/>
          <w:sz w:val="28"/>
        </w:rPr>
        <w:t>Специализация</w:t>
      </w:r>
      <w:r>
        <w:rPr>
          <w:rFonts w:ascii="Times New Roman"/>
          <w:b w:val="false"/>
          <w:i w:val="false"/>
          <w:color w:val="000000"/>
          <w:sz w:val="28"/>
        </w:rPr>
        <w:t>]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Протокол заседания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 [Дата протокола] № [Номер протокола]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Срок действия аттестата до [Срок действия аттестата до</w:t>
      </w:r>
      <w:r>
        <w:rPr>
          <w:rFonts w:ascii="Times New Roman"/>
          <w:b w:val="false"/>
          <w:i w:val="false"/>
          <w:color w:val="000000"/>
          <w:sz w:val="28"/>
        </w:rPr>
        <w:t>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уполномоченного государственного органа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архитектуры, градостроительства и строительства за №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</w:t>
      </w:r>
      <w:r>
        <w:rPr>
          <w:rFonts w:ascii="Times New Roman"/>
          <w:b/>
          <w:i w:val="false"/>
          <w:color w:val="000000"/>
          <w:sz w:val="28"/>
        </w:rPr>
        <w:t>Дата выдачи</w:t>
      </w:r>
      <w:r>
        <w:rPr>
          <w:rFonts w:ascii="Times New Roman"/>
          <w:b w:val="false"/>
          <w:i w:val="false"/>
          <w:color w:val="000000"/>
          <w:sz w:val="28"/>
        </w:rPr>
        <w:t>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</w:t>
      </w:r>
      <w:r>
        <w:rPr>
          <w:rFonts w:ascii="Times New Roman"/>
          <w:b/>
          <w:i w:val="false"/>
          <w:color w:val="000000"/>
          <w:sz w:val="28"/>
        </w:rPr>
        <w:t>Должность подписывающего</w:t>
      </w:r>
      <w:r>
        <w:rPr>
          <w:rFonts w:ascii="Times New Roman"/>
          <w:b w:val="false"/>
          <w:i w:val="false"/>
          <w:color w:val="000000"/>
          <w:sz w:val="28"/>
        </w:rPr>
        <w:t>]           [</w:t>
      </w:r>
      <w:r>
        <w:rPr>
          <w:rFonts w:ascii="Times New Roman"/>
          <w:b/>
          <w:i w:val="false"/>
          <w:color w:val="000000"/>
          <w:sz w:val="28"/>
        </w:rPr>
        <w:t>ФИО подписывающего</w:t>
      </w:r>
      <w:r>
        <w:rPr>
          <w:rFonts w:ascii="Times New Roman"/>
          <w:b w:val="false"/>
          <w:i w:val="false"/>
          <w:color w:val="000000"/>
          <w:sz w:val="28"/>
        </w:rPr>
        <w:t>]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«Аттестации экспертов,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экспертные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инжиниринговые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архитектурной,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градостроительной и строительной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(полностью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 по осуществлению: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вид экспертных работ и инжиниринговых услуг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архитектурной, градостроительной и строительной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специализации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специализацию вида экспертных работ и инжиниринговых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услуг в сфере архитектурной, градостроительной и строительной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Адрес, телефон: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работы: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Язык тестирования: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Прилагаемые дополнительные документы: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         (фамилия,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