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75ec2" w14:textId="e575e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решения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19 февраля 2014 года № 117. Утратило силу постановлением Правительства Республики Казахстан от 10 ноября 2014 года № 1182</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10.11.2014 </w:t>
      </w:r>
      <w:r>
        <w:rPr>
          <w:rFonts w:ascii="Times New Roman"/>
          <w:b w:val="false"/>
          <w:i w:val="false"/>
          <w:color w:val="ff0000"/>
          <w:sz w:val="28"/>
        </w:rPr>
        <w:t>№ 1182</w:t>
      </w:r>
      <w:r>
        <w:rPr>
          <w:rFonts w:ascii="Times New Roman"/>
          <w:b w:val="false"/>
          <w:i w:val="false"/>
          <w:color w:val="ff0000"/>
          <w:sz w:val="28"/>
        </w:rPr>
        <w:t xml:space="preserve"> (вводится в действие с 01.01.2017).</w:t>
      </w:r>
    </w:p>
    <w:bookmarkStart w:name="z1"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изменения</w:t>
      </w:r>
      <w:r>
        <w:rPr>
          <w:rFonts w:ascii="Times New Roman"/>
          <w:b w:val="false"/>
          <w:i w:val="false"/>
          <w:color w:val="000000"/>
          <w:sz w:val="28"/>
        </w:rPr>
        <w:t xml:space="preserve"> и дополнения, которые вносятся в некоторые решения Правительства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2. Настоящее постановление вводится в действие со дня подписания. </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bookmarkStart w:name="z4"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19 февраля 2014 года № 117</w:t>
      </w:r>
    </w:p>
    <w:bookmarkEnd w:id="1"/>
    <w:bookmarkStart w:name="z5" w:id="2"/>
    <w:p>
      <w:pPr>
        <w:spacing w:after="0"/>
        <w:ind w:left="0"/>
        <w:jc w:val="left"/>
      </w:pPr>
      <w:r>
        <w:rPr>
          <w:rFonts w:ascii="Times New Roman"/>
          <w:b/>
          <w:i w:val="false"/>
          <w:color w:val="000000"/>
        </w:rPr>
        <w:t xml:space="preserve"> 
Изменения и дополнения, которые вносятся в некоторые решения</w:t>
      </w:r>
      <w:r>
        <w:br/>
      </w:r>
      <w:r>
        <w:rPr>
          <w:rFonts w:ascii="Times New Roman"/>
          <w:b/>
          <w:i w:val="false"/>
          <w:color w:val="000000"/>
        </w:rPr>
        <w:t>
Правительства Республики Казахстан</w:t>
      </w:r>
    </w:p>
    <w:bookmarkEnd w:id="2"/>
    <w:bookmarkStart w:name="z6" w:id="3"/>
    <w:p>
      <w:pPr>
        <w:spacing w:after="0"/>
        <w:ind w:left="0"/>
        <w:jc w:val="both"/>
      </w:pPr>
      <w:r>
        <w:rPr>
          <w:rFonts w:ascii="Times New Roman"/>
          <w:b w:val="false"/>
          <w:i w:val="false"/>
          <w:color w:val="000000"/>
          <w:sz w:val="28"/>
        </w:rPr>
        <w:t>
      1.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4 марта 2011 года № 225 «Об утверждении Программы посткризисного восстановления (оздоровление конкурентоспособных предприятий)»:</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Программе</w:t>
      </w:r>
      <w:r>
        <w:rPr>
          <w:rFonts w:ascii="Times New Roman"/>
          <w:b w:val="false"/>
          <w:i w:val="false"/>
          <w:color w:val="000000"/>
          <w:sz w:val="28"/>
        </w:rPr>
        <w:t xml:space="preserve"> посткризисного восстановления (оздоровление конкурентоспособных предприятий), утвержденной указанным постановлением:</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разделе 1</w:t>
      </w:r>
      <w:r>
        <w:rPr>
          <w:rFonts w:ascii="Times New Roman"/>
          <w:b w:val="false"/>
          <w:i w:val="false"/>
          <w:color w:val="000000"/>
          <w:sz w:val="28"/>
        </w:rPr>
        <w:t>. «Паспорт Программы»:</w:t>
      </w:r>
      <w:r>
        <w:br/>
      </w:r>
      <w:r>
        <w:rPr>
          <w:rFonts w:ascii="Times New Roman"/>
          <w:b w:val="false"/>
          <w:i w:val="false"/>
          <w:color w:val="000000"/>
          <w:sz w:val="28"/>
        </w:rPr>
        <w:t>
      строку «Целевые индикаторы» изложить в следующей редакции:</w:t>
      </w:r>
      <w:r>
        <w:br/>
      </w:r>
      <w:r>
        <w:rPr>
          <w:rFonts w:ascii="Times New Roman"/>
          <w:b w:val="false"/>
          <w:i w:val="false"/>
          <w:color w:val="000000"/>
          <w:sz w:val="28"/>
        </w:rPr>
        <w:t xml:space="preserve">
      «Целевые индикаторы </w:t>
      </w:r>
      <w:r>
        <w:br/>
      </w:r>
      <w:r>
        <w:rPr>
          <w:rFonts w:ascii="Times New Roman"/>
          <w:b w:val="false"/>
          <w:i w:val="false"/>
          <w:color w:val="000000"/>
          <w:sz w:val="28"/>
        </w:rPr>
        <w:t>
      Оздоровление 50 конкурентоспособных предприятий;</w:t>
      </w:r>
      <w:r>
        <w:br/>
      </w:r>
      <w:r>
        <w:rPr>
          <w:rFonts w:ascii="Times New Roman"/>
          <w:b w:val="false"/>
          <w:i w:val="false"/>
          <w:color w:val="000000"/>
          <w:sz w:val="28"/>
        </w:rPr>
        <w:t>
      Сохранение не менее 70 процентов действующих рабочих мест предприятий – участников Программы.»;</w:t>
      </w:r>
      <w:r>
        <w:br/>
      </w:r>
      <w:r>
        <w:rPr>
          <w:rFonts w:ascii="Times New Roman"/>
          <w:b w:val="false"/>
          <w:i w:val="false"/>
          <w:color w:val="000000"/>
          <w:sz w:val="28"/>
        </w:rPr>
        <w:t>
</w:t>
      </w:r>
      <w:r>
        <w:rPr>
          <w:rFonts w:ascii="Times New Roman"/>
          <w:b w:val="false"/>
          <w:i w:val="false"/>
          <w:color w:val="000000"/>
          <w:sz w:val="28"/>
        </w:rPr>
        <w:t>
      строку «Источники и объемы финансирования» изложить в следующей редакции:</w:t>
      </w:r>
      <w:r>
        <w:br/>
      </w:r>
      <w:r>
        <w:rPr>
          <w:rFonts w:ascii="Times New Roman"/>
          <w:b w:val="false"/>
          <w:i w:val="false"/>
          <w:color w:val="000000"/>
          <w:sz w:val="28"/>
        </w:rPr>
        <w:t>
      «Источники и объемы финансирования</w:t>
      </w:r>
      <w:r>
        <w:br/>
      </w:r>
      <w:r>
        <w:rPr>
          <w:rFonts w:ascii="Times New Roman"/>
          <w:b w:val="false"/>
          <w:i w:val="false"/>
          <w:color w:val="000000"/>
          <w:sz w:val="28"/>
        </w:rPr>
        <w:t>
      Источником финансирования будет являться республиканский бюджет на 2011 – 2016 годы, в том числе на 2011 год – 8,765 млрд. тенге. По предварительной оценке, при самом пессимистичном сценарии, при котором: все потенциальные участники примут участие в Программе, все планы реабилитации (оздоровления) будут иметь максимальные сроки субсидирования (5 лет), все планы реабилитации (оздоровления) потребуют субсидирования ставки вознаграждения по кредитам, расходы могут составить до 145,404 млрд. тенге.</w:t>
      </w:r>
      <w:r>
        <w:br/>
      </w:r>
      <w:r>
        <w:rPr>
          <w:rFonts w:ascii="Times New Roman"/>
          <w:b w:val="false"/>
          <w:i w:val="false"/>
          <w:color w:val="000000"/>
          <w:sz w:val="28"/>
        </w:rPr>
        <w:t>
      Реальная оценка этих допущений позволяет прогнозировать значительное сокращение данных расходов до 80 млрд. тенге. Поэтому суммы финансирования из республиканского бюджета на 2012 – 2016 годы будут уточняться при формировании соответствующих бюджетов на планируемый период.»;</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разделе 2</w:t>
      </w:r>
      <w:r>
        <w:rPr>
          <w:rFonts w:ascii="Times New Roman"/>
          <w:b w:val="false"/>
          <w:i w:val="false"/>
          <w:color w:val="000000"/>
          <w:sz w:val="28"/>
        </w:rPr>
        <w:t>. «Введение»:</w:t>
      </w:r>
      <w:r>
        <w:br/>
      </w:r>
      <w:r>
        <w:rPr>
          <w:rFonts w:ascii="Times New Roman"/>
          <w:b w:val="false"/>
          <w:i w:val="false"/>
          <w:color w:val="000000"/>
          <w:sz w:val="28"/>
        </w:rPr>
        <w:t>
</w:t>
      </w:r>
      <w:r>
        <w:rPr>
          <w:rFonts w:ascii="Times New Roman"/>
          <w:b w:val="false"/>
          <w:i w:val="false"/>
          <w:color w:val="000000"/>
          <w:sz w:val="28"/>
        </w:rPr>
        <w:t>
      часть седьмую изложить в следующей редакции:</w:t>
      </w:r>
      <w:r>
        <w:br/>
      </w:r>
      <w:r>
        <w:rPr>
          <w:rFonts w:ascii="Times New Roman"/>
          <w:b w:val="false"/>
          <w:i w:val="false"/>
          <w:color w:val="000000"/>
          <w:sz w:val="28"/>
        </w:rPr>
        <w:t>
      «Конкурентоспособные предприятия, чья задолженность составляет менее данной суммы, смогут воспользоваться государственной поддержкой в рамках </w:t>
      </w:r>
      <w:r>
        <w:rPr>
          <w:rFonts w:ascii="Times New Roman"/>
          <w:b w:val="false"/>
          <w:i w:val="false"/>
          <w:color w:val="000000"/>
          <w:sz w:val="28"/>
        </w:rPr>
        <w:t>Программы</w:t>
      </w:r>
      <w:r>
        <w:rPr>
          <w:rFonts w:ascii="Times New Roman"/>
          <w:b w:val="false"/>
          <w:i w:val="false"/>
          <w:color w:val="000000"/>
          <w:sz w:val="28"/>
        </w:rPr>
        <w:t xml:space="preserve"> «Дорожная карта бизнеса 2020», утвержденной постановлением Правительства Республики Казахстан от 13 апреля 2010 года № 301 (далее - Программа «Дорожная карта бизнеса 2020»). Предприятия, уже получающие меры поддержки по Программе «Дорожная карта бизнеса 2020» в виде субсидирования, в случае соответствия требованиям Программы могут принять участие в ней. При этом для субсидирования кредитов (займов) в рамках Программы, уже субсидируемых в рамках Программы «Дорожная карта бизнеса 2020» или других государственных и бюджетных программах, до заключения договора субсидирования по Программе необходимо расторгнуть договор субсидирования, заключенный в рамках этих программ.»;</w:t>
      </w:r>
      <w:r>
        <w:br/>
      </w:r>
      <w:r>
        <w:rPr>
          <w:rFonts w:ascii="Times New Roman"/>
          <w:b w:val="false"/>
          <w:i w:val="false"/>
          <w:color w:val="000000"/>
          <w:sz w:val="28"/>
        </w:rPr>
        <w:t>
</w:t>
      </w:r>
      <w:r>
        <w:rPr>
          <w:rFonts w:ascii="Times New Roman"/>
          <w:b w:val="false"/>
          <w:i w:val="false"/>
          <w:color w:val="000000"/>
          <w:sz w:val="28"/>
        </w:rPr>
        <w:t>
      часть девятнадцатую изложить в следующей редакции:</w:t>
      </w:r>
      <w:r>
        <w:br/>
      </w:r>
      <w:r>
        <w:rPr>
          <w:rFonts w:ascii="Times New Roman"/>
          <w:b w:val="false"/>
          <w:i w:val="false"/>
          <w:color w:val="000000"/>
          <w:sz w:val="28"/>
        </w:rPr>
        <w:t>
      «При этом соглашения о финансировании с финансовыми организациями должны быть заключены не позднее 1 января 2012 года и общая сумма обязательств по ним на 1 января 2011 года (либо на 1 января 2012 года по предприятиям, подавшим заявление на участие в Программе в период с 1 января 2013 года до 1 апреля 2013 года) должна составлять или превышать 4 500 000 000 (четыре миллиарда пятьсот миллионов) тенге (кроме случаев рефинансирования ранее принятых обязательств, возникших не позднее 1 января 2012 года), и по которым должны быть основания, что без реструктуризации их исполнение в будущем будет проблематичным.»;</w:t>
      </w:r>
      <w:r>
        <w:br/>
      </w:r>
      <w:r>
        <w:rPr>
          <w:rFonts w:ascii="Times New Roman"/>
          <w:b w:val="false"/>
          <w:i w:val="false"/>
          <w:color w:val="000000"/>
          <w:sz w:val="28"/>
        </w:rPr>
        <w:t>
</w:t>
      </w:r>
      <w:r>
        <w:rPr>
          <w:rFonts w:ascii="Times New Roman"/>
          <w:b w:val="false"/>
          <w:i w:val="false"/>
          <w:color w:val="000000"/>
          <w:sz w:val="28"/>
        </w:rPr>
        <w:t>
      абзац двадцать четвертый части двадцать второй изложить в следующей редакции:</w:t>
      </w:r>
      <w:r>
        <w:br/>
      </w:r>
      <w:r>
        <w:rPr>
          <w:rFonts w:ascii="Times New Roman"/>
          <w:b w:val="false"/>
          <w:i w:val="false"/>
          <w:color w:val="000000"/>
          <w:sz w:val="28"/>
        </w:rPr>
        <w:t>
      «перечислению в финансовые организации (держателю облигаций, участнику) денежных средств в рамках субсидирования процентной ставки по кредитам и/или лизинговым операциям, купона по облигациям;»;</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разделе 4</w:t>
      </w:r>
      <w:r>
        <w:rPr>
          <w:rFonts w:ascii="Times New Roman"/>
          <w:b w:val="false"/>
          <w:i w:val="false"/>
          <w:color w:val="000000"/>
          <w:sz w:val="28"/>
        </w:rPr>
        <w:t>. «Цель, задачи, целевые индикаторы и показатели результатов реализации Программы»: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подраздел</w:t>
      </w:r>
      <w:r>
        <w:rPr>
          <w:rFonts w:ascii="Times New Roman"/>
          <w:b w:val="false"/>
          <w:i w:val="false"/>
          <w:color w:val="000000"/>
          <w:sz w:val="28"/>
        </w:rPr>
        <w:t xml:space="preserve"> «Целевые индикаторы Программы» изложить в следующей редакции:</w:t>
      </w:r>
      <w:r>
        <w:br/>
      </w:r>
      <w:r>
        <w:rPr>
          <w:rFonts w:ascii="Times New Roman"/>
          <w:b w:val="false"/>
          <w:i w:val="false"/>
          <w:color w:val="000000"/>
          <w:sz w:val="28"/>
        </w:rPr>
        <w:t>
      «Оздоровление порядка 50 конкурентоспособных предприятий;</w:t>
      </w:r>
      <w:r>
        <w:br/>
      </w:r>
      <w:r>
        <w:rPr>
          <w:rFonts w:ascii="Times New Roman"/>
          <w:b w:val="false"/>
          <w:i w:val="false"/>
          <w:color w:val="000000"/>
          <w:sz w:val="28"/>
        </w:rPr>
        <w:t>
      Сохранение не менее 70 процентов действующих рабочих мест предприятий – участников Программы.»;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подраздел</w:t>
      </w:r>
      <w:r>
        <w:rPr>
          <w:rFonts w:ascii="Times New Roman"/>
          <w:b w:val="false"/>
          <w:i w:val="false"/>
          <w:color w:val="000000"/>
          <w:sz w:val="28"/>
        </w:rPr>
        <w:t xml:space="preserve"> «Задачи» изложить в следующей редакции:</w:t>
      </w:r>
      <w:r>
        <w:br/>
      </w:r>
      <w:r>
        <w:rPr>
          <w:rFonts w:ascii="Times New Roman"/>
          <w:b w:val="false"/>
          <w:i w:val="false"/>
          <w:color w:val="000000"/>
          <w:sz w:val="28"/>
        </w:rPr>
        <w:t>
      «1. Снижение долговой нагрузки участников Программы;</w:t>
      </w:r>
      <w:r>
        <w:br/>
      </w:r>
      <w:r>
        <w:rPr>
          <w:rFonts w:ascii="Times New Roman"/>
          <w:b w:val="false"/>
          <w:i w:val="false"/>
          <w:color w:val="000000"/>
          <w:sz w:val="28"/>
        </w:rPr>
        <w:t>
      2. Оказание мер государственной поддержки.»;</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подразделе</w:t>
      </w:r>
      <w:r>
        <w:rPr>
          <w:rFonts w:ascii="Times New Roman"/>
          <w:b w:val="false"/>
          <w:i w:val="false"/>
          <w:color w:val="000000"/>
          <w:sz w:val="28"/>
        </w:rPr>
        <w:t xml:space="preserve"> «Показатели результатов реализации Программы»: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Показателями Программы являются:</w:t>
      </w:r>
      <w:r>
        <w:br/>
      </w:r>
      <w:r>
        <w:rPr>
          <w:rFonts w:ascii="Times New Roman"/>
          <w:b w:val="false"/>
          <w:i w:val="false"/>
          <w:color w:val="000000"/>
          <w:sz w:val="28"/>
        </w:rPr>
        <w:t>
      1) Погашение основного долга:</w:t>
      </w:r>
      <w:r>
        <w:br/>
      </w:r>
      <w:r>
        <w:rPr>
          <w:rFonts w:ascii="Times New Roman"/>
          <w:b w:val="false"/>
          <w:i w:val="false"/>
          <w:color w:val="000000"/>
          <w:sz w:val="28"/>
        </w:rPr>
        <w:t>
      в 2013 году в среднем снижение основного долга по субсидируемым кредитам (займам) участников Программы составит не менее 4%;</w:t>
      </w:r>
      <w:r>
        <w:br/>
      </w:r>
      <w:r>
        <w:rPr>
          <w:rFonts w:ascii="Times New Roman"/>
          <w:b w:val="false"/>
          <w:i w:val="false"/>
          <w:color w:val="000000"/>
          <w:sz w:val="28"/>
        </w:rPr>
        <w:t>
      в 2014 году в среднем снижение основного долга по субсидируемым кредитам (займам) участников Программы составит не менее – 15 %;</w:t>
      </w:r>
      <w:r>
        <w:br/>
      </w:r>
      <w:r>
        <w:rPr>
          <w:rFonts w:ascii="Times New Roman"/>
          <w:b w:val="false"/>
          <w:i w:val="false"/>
          <w:color w:val="000000"/>
          <w:sz w:val="28"/>
        </w:rPr>
        <w:t>
      в 2015 году в среднем снижение основного долга по субсидируемым кредитам (займам) участников Программы составит не менее – 30 %;</w:t>
      </w:r>
      <w:r>
        <w:br/>
      </w:r>
      <w:r>
        <w:rPr>
          <w:rFonts w:ascii="Times New Roman"/>
          <w:b w:val="false"/>
          <w:i w:val="false"/>
          <w:color w:val="000000"/>
          <w:sz w:val="28"/>
        </w:rPr>
        <w:t>
      в 2016 году в среднем снижение основного долга по субсидируемым кредитам (займам) участников Программы составит не менее – 45 %.</w:t>
      </w:r>
      <w:r>
        <w:br/>
      </w:r>
      <w:r>
        <w:rPr>
          <w:rFonts w:ascii="Times New Roman"/>
          <w:b w:val="false"/>
          <w:i w:val="false"/>
          <w:color w:val="000000"/>
          <w:sz w:val="28"/>
        </w:rPr>
        <w:t>
      2) Доля участников Программы, в отношении которых обеспечено субсидирование процентной ставки вознаграждения к общему количеству участников Программы:</w:t>
      </w:r>
      <w:r>
        <w:br/>
      </w:r>
      <w:r>
        <w:rPr>
          <w:rFonts w:ascii="Times New Roman"/>
          <w:b w:val="false"/>
          <w:i w:val="false"/>
          <w:color w:val="000000"/>
          <w:sz w:val="28"/>
        </w:rPr>
        <w:t>
      в 2013 году –77%;</w:t>
      </w:r>
      <w:r>
        <w:br/>
      </w:r>
      <w:r>
        <w:rPr>
          <w:rFonts w:ascii="Times New Roman"/>
          <w:b w:val="false"/>
          <w:i w:val="false"/>
          <w:color w:val="000000"/>
          <w:sz w:val="28"/>
        </w:rPr>
        <w:t>
      в 2014 году – 95%;</w:t>
      </w:r>
      <w:r>
        <w:br/>
      </w:r>
      <w:r>
        <w:rPr>
          <w:rFonts w:ascii="Times New Roman"/>
          <w:b w:val="false"/>
          <w:i w:val="false"/>
          <w:color w:val="000000"/>
          <w:sz w:val="28"/>
        </w:rPr>
        <w:t>
      в 2015 году – 98%;</w:t>
      </w:r>
      <w:r>
        <w:br/>
      </w:r>
      <w:r>
        <w:rPr>
          <w:rFonts w:ascii="Times New Roman"/>
          <w:b w:val="false"/>
          <w:i w:val="false"/>
          <w:color w:val="000000"/>
          <w:sz w:val="28"/>
        </w:rPr>
        <w:t>
      в 2016 году – 98%.»;</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части четвертую и пятую изложить в следующей редакции:</w:t>
      </w:r>
      <w:r>
        <w:br/>
      </w:r>
      <w:r>
        <w:rPr>
          <w:rFonts w:ascii="Times New Roman"/>
          <w:b w:val="false"/>
          <w:i w:val="false"/>
          <w:color w:val="000000"/>
          <w:sz w:val="28"/>
        </w:rPr>
        <w:t>
      «Предприятие направляет в суд заявление о введении ускоренной реабилитационной процедуры, предусматривающей мораторий на подачу исков кредиторов о признании предприятия банкротом (заявление о приостановлении реабилитационной процедуры по предприятию, находящемуся в реабилитационной процедуре), с приложением копии решения Комитета кредиторов о согласии на участие предприятия в Программе и решения Совета по оздоровлению.</w:t>
      </w:r>
      <w:r>
        <w:br/>
      </w:r>
      <w:r>
        <w:rPr>
          <w:rFonts w:ascii="Times New Roman"/>
          <w:b w:val="false"/>
          <w:i w:val="false"/>
          <w:color w:val="000000"/>
          <w:sz w:val="28"/>
        </w:rPr>
        <w:t>
      После получения решения суда о введении ускоренной реабилитационной процедуры, предусматривающей мораторий на подачу исков кредиторов о признании предприятия банкротом (определения о приостановлении реабилитационной процедуры по предприятию, находящемуся в реабилитационной процедуре), и его представления в Рабочий орган Совета по оздоровлению, меры государственной поддержки денежного характера в соответствии с законодательством Республики Казахстан фиксируются и оформляются в договорах, заключаемых между уполномоченным органом, участником Программы, собственником (собственниками), оператором по субсидированию и кредиторами, с приложением графиков погашений.»;</w:t>
      </w:r>
      <w:r>
        <w:br/>
      </w:r>
      <w:r>
        <w:rPr>
          <w:rFonts w:ascii="Times New Roman"/>
          <w:b w:val="false"/>
          <w:i w:val="false"/>
          <w:color w:val="000000"/>
          <w:sz w:val="28"/>
        </w:rPr>
        <w:t>
</w:t>
      </w:r>
      <w:r>
        <w:rPr>
          <w:rFonts w:ascii="Times New Roman"/>
          <w:b w:val="false"/>
          <w:i w:val="false"/>
          <w:color w:val="000000"/>
          <w:sz w:val="28"/>
        </w:rPr>
        <w:t>
      часть седьмую изложить в следующей редакции:</w:t>
      </w:r>
      <w:r>
        <w:br/>
      </w:r>
      <w:r>
        <w:rPr>
          <w:rFonts w:ascii="Times New Roman"/>
          <w:b w:val="false"/>
          <w:i w:val="false"/>
          <w:color w:val="000000"/>
          <w:sz w:val="28"/>
        </w:rPr>
        <w:t>
      «В случае непредставления решения суда о введении ускоренной реабилитационной процедуры, предусматривающей мораторий на подачу исков кредиторов о признании предприятия банкротом (определения о приостановлении реабилитационной процедуры по предприятию, находящемуся в реабилитационной процедуре) в течение шести месяцев со дня признания предприятия участником, меры государственной поддержки не применяются. Совет по оздоровлению принимает решение об исключении участника из Программы. Рабочий орган Совета по оздоровлению или комитет кредиторов потенциального участника принимают меры по взысканию бюджетных средств, направленных на софинансирование оплаты стоимости услуг консультанта, а также могут инициировать процедуру банкротства.»;</w:t>
      </w:r>
      <w:r>
        <w:br/>
      </w:r>
      <w:r>
        <w:rPr>
          <w:rFonts w:ascii="Times New Roman"/>
          <w:b w:val="false"/>
          <w:i w:val="false"/>
          <w:color w:val="000000"/>
          <w:sz w:val="28"/>
        </w:rPr>
        <w:t>
</w:t>
      </w:r>
      <w:r>
        <w:rPr>
          <w:rFonts w:ascii="Times New Roman"/>
          <w:b w:val="false"/>
          <w:i w:val="false"/>
          <w:color w:val="000000"/>
          <w:sz w:val="28"/>
        </w:rPr>
        <w:t>
      часть девятую изложить в следующей редакции:</w:t>
      </w:r>
      <w:r>
        <w:br/>
      </w:r>
      <w:r>
        <w:rPr>
          <w:rFonts w:ascii="Times New Roman"/>
          <w:b w:val="false"/>
          <w:i w:val="false"/>
          <w:color w:val="000000"/>
          <w:sz w:val="28"/>
        </w:rPr>
        <w:t>
      «При отсутствии решения суда о введении ускоренной реабилитационной процедуры, предусматривающей мораторий на подачу исков кредиторов о признании предприятия банкротом (определения о приостановлении реабилитационной процедуры по предприятию, находящемуся в реабилитационной процедуре), меры государственной поддержки применяются, в случае, если поправки, предусмотренные в пункте 5 настоящего раздела Программы, не были приняты до признания предприятия участником Программы. При этом, после принятия вышеуказанных поправок, участник направляет в суд заявление о введении ускоренной реабилитационной процедуры, предусматривающей мораторий на подачу исков кредиторов о признании предприятия банкротом (заявление о приостановлении реабилитационной процедуры по участнику, находящемуся в реабилитационной процедуре).»;</w:t>
      </w:r>
      <w:r>
        <w:br/>
      </w:r>
      <w:r>
        <w:rPr>
          <w:rFonts w:ascii="Times New Roman"/>
          <w:b w:val="false"/>
          <w:i w:val="false"/>
          <w:color w:val="000000"/>
          <w:sz w:val="28"/>
        </w:rPr>
        <w:t>
</w:t>
      </w:r>
      <w:r>
        <w:rPr>
          <w:rFonts w:ascii="Times New Roman"/>
          <w:b w:val="false"/>
          <w:i w:val="false"/>
          <w:color w:val="000000"/>
          <w:sz w:val="28"/>
        </w:rPr>
        <w:t>
      часть одинадцатую изложить в следующей редакции:</w:t>
      </w:r>
      <w:r>
        <w:br/>
      </w:r>
      <w:r>
        <w:rPr>
          <w:rFonts w:ascii="Times New Roman"/>
          <w:b w:val="false"/>
          <w:i w:val="false"/>
          <w:color w:val="000000"/>
          <w:sz w:val="28"/>
        </w:rPr>
        <w:t>
      «Субсидирование процентной ставки осуществляется только по кредитам и/или лизинговым операциям, купона по облигациям. При этом, соглашения о финансировании должны быть заключены не позднее 1 января 2012 года и общая сумма обязательств по ним на 1 января 2011 года (либо на 1 января 2012 года по предприятиям, подавшим заявление на участие в Программе в период с 1 января 2013 года до 1 апреля 2013 года) должна составлять или превышать 4 500 000 000 (четыре миллиарда пятьсот миллионов) тенге, кроме случаев рефинансирования ранее принятых обязательств, возникших не позднее 1 января 2012 года (курс валют на весь период реализации Программы остается фиксированным на уровне значений 1 января 2011 года).»;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раздел 5</w:t>
      </w:r>
      <w:r>
        <w:rPr>
          <w:rFonts w:ascii="Times New Roman"/>
          <w:b w:val="false"/>
          <w:i w:val="false"/>
          <w:color w:val="000000"/>
          <w:sz w:val="28"/>
        </w:rPr>
        <w:t>. «Этапы реализации Программы» изложить в следующей редакции:</w:t>
      </w:r>
      <w:r>
        <w:br/>
      </w:r>
      <w:r>
        <w:rPr>
          <w:rFonts w:ascii="Times New Roman"/>
          <w:b w:val="false"/>
          <w:i w:val="false"/>
          <w:color w:val="000000"/>
          <w:sz w:val="28"/>
        </w:rPr>
        <w:t>
      «5. Этапы реализации Программы</w:t>
      </w:r>
      <w:r>
        <w:br/>
      </w:r>
      <w:r>
        <w:rPr>
          <w:rFonts w:ascii="Times New Roman"/>
          <w:b w:val="false"/>
          <w:i w:val="false"/>
          <w:color w:val="000000"/>
          <w:sz w:val="28"/>
        </w:rPr>
        <w:t>
      Реализация Программы будет осуществляться в три этапа:</w:t>
      </w:r>
      <w:r>
        <w:br/>
      </w:r>
      <w:r>
        <w:rPr>
          <w:rFonts w:ascii="Times New Roman"/>
          <w:b w:val="false"/>
          <w:i w:val="false"/>
          <w:color w:val="000000"/>
          <w:sz w:val="28"/>
        </w:rPr>
        <w:t>
      Первый и второй этапы – 2011–2013 годы.</w:t>
      </w:r>
      <w:r>
        <w:br/>
      </w:r>
      <w:r>
        <w:rPr>
          <w:rFonts w:ascii="Times New Roman"/>
          <w:b w:val="false"/>
          <w:i w:val="false"/>
          <w:color w:val="000000"/>
          <w:sz w:val="28"/>
        </w:rPr>
        <w:t>
      Первый этап будет предварительным этапом отбора.</w:t>
      </w:r>
      <w:r>
        <w:br/>
      </w:r>
      <w:r>
        <w:rPr>
          <w:rFonts w:ascii="Times New Roman"/>
          <w:b w:val="false"/>
          <w:i w:val="false"/>
          <w:color w:val="000000"/>
          <w:sz w:val="28"/>
        </w:rPr>
        <w:t>
      Второй этап – рассмотрение планов реабилитаций (оздоровлений) и отбор участников Программы.</w:t>
      </w:r>
      <w:r>
        <w:br/>
      </w:r>
      <w:r>
        <w:rPr>
          <w:rFonts w:ascii="Times New Roman"/>
          <w:b w:val="false"/>
          <w:i w:val="false"/>
          <w:color w:val="000000"/>
          <w:sz w:val="28"/>
        </w:rPr>
        <w:t>
      Третий этап:</w:t>
      </w:r>
      <w:r>
        <w:br/>
      </w:r>
      <w:r>
        <w:rPr>
          <w:rFonts w:ascii="Times New Roman"/>
          <w:b w:val="false"/>
          <w:i w:val="false"/>
          <w:color w:val="000000"/>
          <w:sz w:val="28"/>
        </w:rPr>
        <w:t>
      с 2011 по 2016 годы – применение мер государственной поддержки;</w:t>
      </w:r>
      <w:r>
        <w:br/>
      </w:r>
      <w:r>
        <w:rPr>
          <w:rFonts w:ascii="Times New Roman"/>
          <w:b w:val="false"/>
          <w:i w:val="false"/>
          <w:color w:val="000000"/>
          <w:sz w:val="28"/>
        </w:rPr>
        <w:t>
      с 2013 года до конца срока реализации планов реабилитаций (оздоровлений) – мониторинг реализации планов реабилитаций (оздоровлений) участников Программы.»;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раздел 6</w:t>
      </w:r>
      <w:r>
        <w:rPr>
          <w:rFonts w:ascii="Times New Roman"/>
          <w:b w:val="false"/>
          <w:i w:val="false"/>
          <w:color w:val="000000"/>
          <w:sz w:val="28"/>
        </w:rPr>
        <w:t>. «Необходимые ресурсы и источники их финансирования» изложить в следующей редакции:</w:t>
      </w:r>
      <w:r>
        <w:br/>
      </w:r>
      <w:r>
        <w:rPr>
          <w:rFonts w:ascii="Times New Roman"/>
          <w:b w:val="false"/>
          <w:i w:val="false"/>
          <w:color w:val="000000"/>
          <w:sz w:val="28"/>
        </w:rPr>
        <w:t>
      «6. Необходимые ресурсы и источники их финансирования</w:t>
      </w:r>
      <w:r>
        <w:br/>
      </w:r>
      <w:r>
        <w:rPr>
          <w:rFonts w:ascii="Times New Roman"/>
          <w:b w:val="false"/>
          <w:i w:val="false"/>
          <w:color w:val="000000"/>
          <w:sz w:val="28"/>
        </w:rPr>
        <w:t>
      Источником финансирования будет являться республиканский бюджет на 2011 – 2016 годы. По предварительной оценке, при самом пессимистичном сценарии, при котором:</w:t>
      </w:r>
      <w:r>
        <w:br/>
      </w:r>
      <w:r>
        <w:rPr>
          <w:rFonts w:ascii="Times New Roman"/>
          <w:b w:val="false"/>
          <w:i w:val="false"/>
          <w:color w:val="000000"/>
          <w:sz w:val="28"/>
        </w:rPr>
        <w:t>
      все потенциальные участники примут участие в Программе,</w:t>
      </w:r>
      <w:r>
        <w:br/>
      </w:r>
      <w:r>
        <w:rPr>
          <w:rFonts w:ascii="Times New Roman"/>
          <w:b w:val="false"/>
          <w:i w:val="false"/>
          <w:color w:val="000000"/>
          <w:sz w:val="28"/>
        </w:rPr>
        <w:t>
      все планы реабилитации (оздоровления) будут иметь максимальные сроки субсидирования (5 лет),</w:t>
      </w:r>
      <w:r>
        <w:br/>
      </w:r>
      <w:r>
        <w:rPr>
          <w:rFonts w:ascii="Times New Roman"/>
          <w:b w:val="false"/>
          <w:i w:val="false"/>
          <w:color w:val="000000"/>
          <w:sz w:val="28"/>
        </w:rPr>
        <w:t>
      все планы реабилитации (оздоровления) потребуют субсидирования ставки вознаграждения по кредитам,</w:t>
      </w:r>
      <w:r>
        <w:br/>
      </w:r>
      <w:r>
        <w:rPr>
          <w:rFonts w:ascii="Times New Roman"/>
          <w:b w:val="false"/>
          <w:i w:val="false"/>
          <w:color w:val="000000"/>
          <w:sz w:val="28"/>
        </w:rPr>
        <w:t>
      расходы могут составить до 145,404 млрд. тенге, в том числе на:</w:t>
      </w:r>
      <w:r>
        <w:br/>
      </w:r>
      <w:r>
        <w:rPr>
          <w:rFonts w:ascii="Times New Roman"/>
          <w:b w:val="false"/>
          <w:i w:val="false"/>
          <w:color w:val="000000"/>
          <w:sz w:val="28"/>
        </w:rPr>
        <w:t>
      1) субсидирование ставки вознаграждения 141,004 млрд. тенге;</w:t>
      </w:r>
      <w:r>
        <w:br/>
      </w:r>
      <w:r>
        <w:rPr>
          <w:rFonts w:ascii="Times New Roman"/>
          <w:b w:val="false"/>
          <w:i w:val="false"/>
          <w:color w:val="000000"/>
          <w:sz w:val="28"/>
        </w:rPr>
        <w:t>
      2) софинансирование оплаты услуг консультантов по разработке планов реабилитаций (оздоровлений) 1,125 млрд. тенге;</w:t>
      </w:r>
      <w:r>
        <w:br/>
      </w:r>
      <w:r>
        <w:rPr>
          <w:rFonts w:ascii="Times New Roman"/>
          <w:b w:val="false"/>
          <w:i w:val="false"/>
          <w:color w:val="000000"/>
          <w:sz w:val="28"/>
        </w:rPr>
        <w:t>
      3) оплату услуг консалтинговых компаний по мониторингу 2,685 млрд. тенге.</w:t>
      </w:r>
      <w:r>
        <w:br/>
      </w:r>
      <w:r>
        <w:rPr>
          <w:rFonts w:ascii="Times New Roman"/>
          <w:b w:val="false"/>
          <w:i w:val="false"/>
          <w:color w:val="000000"/>
          <w:sz w:val="28"/>
        </w:rPr>
        <w:t>
      Реальная оценка этих допущений позволяет прогнозировать значительное сокращение данных расходов до 80 млрд. тенге. Поэтому суммы финансирования из республиканского бюджета на 2012 – 2016 годы будут уточняться при формировании соответствующих бюджетов на планируемый период.</w:t>
      </w:r>
      <w:r>
        <w:br/>
      </w:r>
      <w:r>
        <w:rPr>
          <w:rFonts w:ascii="Times New Roman"/>
          <w:b w:val="false"/>
          <w:i w:val="false"/>
          <w:color w:val="000000"/>
          <w:sz w:val="28"/>
        </w:rPr>
        <w:t>
      Планирование, администрирование бюджетных программ по оздоровлению будет осуществлять уполномоченный орган.»;</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разделе 7</w:t>
      </w:r>
      <w:r>
        <w:rPr>
          <w:rFonts w:ascii="Times New Roman"/>
          <w:b w:val="false"/>
          <w:i w:val="false"/>
          <w:color w:val="000000"/>
          <w:sz w:val="28"/>
        </w:rPr>
        <w:t>. «План мероприятий по реализации Программы» строку порядковый номер 16 изложить в следующей редакции:</w:t>
      </w:r>
      <w:r>
        <w:br/>
      </w:r>
      <w:r>
        <w:rPr>
          <w:rFonts w:ascii="Times New Roman"/>
          <w:b w:val="false"/>
          <w:i w:val="false"/>
          <w:color w:val="000000"/>
          <w:sz w:val="28"/>
        </w:rPr>
        <w:t>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3093"/>
        <w:gridCol w:w="3013"/>
        <w:gridCol w:w="2773"/>
        <w:gridCol w:w="2913"/>
      </w:tblGrid>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реализации планов реабилитаций (оздоровлений) участников</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 Консалтинговые организации</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информации Совету по оздоровлению</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Ежегодно (со второго года) до конца реализации планов реабилитаций (оздоровлений)</w:t>
            </w:r>
          </w:p>
        </w:tc>
      </w:tr>
    </w:tbl>
    <w:bookmarkStart w:name="z27" w:id="4"/>
    <w:p>
      <w:pPr>
        <w:spacing w:after="0"/>
        <w:ind w:left="0"/>
        <w:jc w:val="both"/>
      </w:pPr>
      <w:r>
        <w:rPr>
          <w:rFonts w:ascii="Times New Roman"/>
          <w:b w:val="false"/>
          <w:i w:val="false"/>
          <w:color w:val="000000"/>
          <w:sz w:val="28"/>
        </w:rPr>
        <w:t>                                                             »;</w:t>
      </w:r>
      <w:r>
        <w:br/>
      </w:r>
      <w:r>
        <w:rPr>
          <w:rFonts w:ascii="Times New Roman"/>
          <w:b w:val="false"/>
          <w:i w:val="false"/>
          <w:color w:val="000000"/>
          <w:sz w:val="28"/>
        </w:rPr>
        <w:t>
      2.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17 июня 2011 года № 660 «О создании Совета по оздоровлению»:</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Положении</w:t>
      </w:r>
      <w:r>
        <w:rPr>
          <w:rFonts w:ascii="Times New Roman"/>
          <w:b w:val="false"/>
          <w:i w:val="false"/>
          <w:color w:val="000000"/>
          <w:sz w:val="28"/>
        </w:rPr>
        <w:t xml:space="preserve"> о Совете по оздоровлению, утвержденном указанным постановлением:</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принимает решение об исключении участников из Программы:</w:t>
      </w:r>
      <w:r>
        <w:br/>
      </w:r>
      <w:r>
        <w:rPr>
          <w:rFonts w:ascii="Times New Roman"/>
          <w:b w:val="false"/>
          <w:i w:val="false"/>
          <w:color w:val="000000"/>
          <w:sz w:val="28"/>
        </w:rPr>
        <w:t>
      в случае непредставления в Рабочий орган Совета по оздоровлению решения суда о введении ускоренной реабилитационной процедуры, предусматривающей мораторий на подачу исков кредиторов о признании предприятия банкротом (определения суда о приостановлении реабилитационной процедуры по участнику Программы, находящемуся в реабилитационной процедуре);</w:t>
      </w:r>
      <w:r>
        <w:br/>
      </w:r>
      <w:r>
        <w:rPr>
          <w:rFonts w:ascii="Times New Roman"/>
          <w:b w:val="false"/>
          <w:i w:val="false"/>
          <w:color w:val="000000"/>
          <w:sz w:val="28"/>
        </w:rPr>
        <w:t>
      в случае выявления в ходе мониторинга реализации Программы в части субсидирования неуплаты участником просроченных платежей по кредиту, лизинговым операциям или купону по облигациям, в том числе не субсидируемой части ставки вознаграждения по графику погашения, свыше девяноста календарных дней;».</w:t>
      </w:r>
      <w:r>
        <w:br/>
      </w: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8 сентября 2011 года № 1031 «Об утверждении Правил субсидирования процентной ставки вознаграждения в рамках Программы посткризисного восстановления (оздоровление конкурентоспособных предприятий) и внесении дополнения в постановление Правительства Республики Казахстан от 4 марта 2011 года № 225 «Об утверждении Программы посткризисного восстановления (оздоровление конкурентоспособных предприятий)» (САПП Республики Казахстан, 2011 г., №53, ст. 755):</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Правилах</w:t>
      </w:r>
      <w:r>
        <w:rPr>
          <w:rFonts w:ascii="Times New Roman"/>
          <w:b w:val="false"/>
          <w:i w:val="false"/>
          <w:color w:val="000000"/>
          <w:sz w:val="28"/>
        </w:rPr>
        <w:t xml:space="preserve"> субсидирования процентной ставки вознаграждения в рамках Программы посткризисного восстановления (оздоровление конкурентоспособных предприятий), утвержденных указанным постановлением:</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абзацы восьмой, девятый и десятый изложить в следующей редакции:</w:t>
      </w:r>
      <w:r>
        <w:br/>
      </w:r>
      <w:r>
        <w:rPr>
          <w:rFonts w:ascii="Times New Roman"/>
          <w:b w:val="false"/>
          <w:i w:val="false"/>
          <w:color w:val="000000"/>
          <w:sz w:val="28"/>
        </w:rPr>
        <w:t>
      «оператор по субсидированию – юридическое лицо, определенное Правительством Республики Казахстан, на которое возложены задачи по:</w:t>
      </w:r>
      <w:r>
        <w:br/>
      </w:r>
      <w:r>
        <w:rPr>
          <w:rFonts w:ascii="Times New Roman"/>
          <w:b w:val="false"/>
          <w:i w:val="false"/>
          <w:color w:val="000000"/>
          <w:sz w:val="28"/>
        </w:rPr>
        <w:t>
      перечислению в финансовые организации (держателю облигаций, участнику) денежных средств в рамках субсидирования по кредитам и (или) лизинговым операциям, купона по облигациям;</w:t>
      </w:r>
      <w:r>
        <w:br/>
      </w:r>
      <w:r>
        <w:rPr>
          <w:rFonts w:ascii="Times New Roman"/>
          <w:b w:val="false"/>
          <w:i w:val="false"/>
          <w:color w:val="000000"/>
          <w:sz w:val="28"/>
        </w:rPr>
        <w:t>
      мониторингу реализации Программы в части субсидирования;»;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Субсидирование процентной ставки осуществляется только по кредитам и/или лизинговым операциям, купона по облигациям. При этом, соглашения о финансировании должны быть заключены не позднее 1 января 2012 года и общая сумма обязательств по ним на 1 января 2011 года (либо на 1 января 2012 года по предприятиям, подавшим заявление на участие в Программе в период с 1 января 2013 года до 1 апреля 2013 года) должна составлять или превышать 4 500 000 000 (четыре миллиарда пятьсот миллионов) тенге, кроме случаев рефинансирования ранее принятых обязательств, возникших не позднее 1 января 2012 года.»;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12</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«12. Участник после получения решения суда о введении ускоренной реабилитационной процедуры, предусматривающей мораторий на подачу исков кредиторов о признании предприятия банкротом (определения суда о приостановлении реабилитационной процедуры по участнику, находящемуся в реабилитационной процедуре), подает оператору по субсидированию заявку на субсидирование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с приложением копии решения Совета по оздоровлению об одобрении плана реабилитации (оздоровления), проекта договора субсидирования, включая график погашения, составленный на основе графиков погашения займов участника с учетом проведенной реструктуризации в соответствии с планом реабилитации (оздоровления). Суммы субсидий в графике погашения рассчитываются исходя из размера субсидирования процентной ставки вознаграждения, указанного в плане реабилитации (оздоровления) в качестве меры поддержки со стороны государства. При этом, в отношении каждого участника и кредитора общий объем субсидий, предусмотренный графиком погашения, не должен превышать общего объема субсидий, предусмотренного планом реабилитации (оздоровления) в отношении этого участника и кредитора.</w:t>
      </w:r>
      <w:r>
        <w:br/>
      </w:r>
      <w:r>
        <w:rPr>
          <w:rFonts w:ascii="Times New Roman"/>
          <w:b w:val="false"/>
          <w:i w:val="false"/>
          <w:color w:val="000000"/>
          <w:sz w:val="28"/>
        </w:rPr>
        <w:t>
      Заявка на субсидирование может подаваться без представления решения суда о введении ускоренной реабилитационной процедуры, предусматривающей мораторий на подачу исков кредиторов о признании предприятия банкротом (определения суда о приостановлении реабилитационной процедуры по участнику, находящемуся в реабилитационной процедуре), в случаях, установленных Программой.</w:t>
      </w:r>
      <w:r>
        <w:br/>
      </w:r>
      <w:r>
        <w:rPr>
          <w:rFonts w:ascii="Times New Roman"/>
          <w:b w:val="false"/>
          <w:i w:val="false"/>
          <w:color w:val="000000"/>
          <w:sz w:val="28"/>
        </w:rPr>
        <w:t>
      13. В течение десяти рабочих дней со дня подачи участником заявки на субсидирование заключается договор субсидирования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с приложением графика погашения, на основании которого оператором по субсидированию выплачивается субсидируемая часть процентной ставки вознаграждения, а участником – не субсидируемая часть процентной ставки вознаграждения. В случае если кредитором выступает исламский банк, договор субсидирования заключается по форме, согласно приложению 2-1 к настоящим Правилам. Субсидированию подлежит вознаграждение, начисленное с момента заключения договора субсидирования. Финансовая организация в течение одного дня с момента заключения договора субсидирования открывает специальный текущий счет оператора по субсидированию, за исключением случаев субсидирования купона по облигациям, возникновения обязательств по налогам, удерживаемым у источника выплаты, и отсутствия правомочности у финансовых организаций на открытие (введение) счетов юридических лиц Республики Казахстан.</w:t>
      </w:r>
      <w:r>
        <w:br/>
      </w:r>
      <w:r>
        <w:rPr>
          <w:rFonts w:ascii="Times New Roman"/>
          <w:b w:val="false"/>
          <w:i w:val="false"/>
          <w:color w:val="000000"/>
          <w:sz w:val="28"/>
        </w:rPr>
        <w:t>
      После подписания договора субсидирования в план реабилитации (оздоровления) вносятся изменения и (или) дополнения с учетом фактических отраженных сумм в графике погашения, являющемся неотъемлемой частью договора субсидирования, которые утверждаются решением комитета кредиторов без последующего рассмотрения и одобрения его на Совете по оздоровлению. При этом меры со стороны кредиторов и собственников не подлежат уменьшению.</w:t>
      </w:r>
      <w:r>
        <w:br/>
      </w:r>
      <w:r>
        <w:rPr>
          <w:rFonts w:ascii="Times New Roman"/>
          <w:b w:val="false"/>
          <w:i w:val="false"/>
          <w:color w:val="000000"/>
          <w:sz w:val="28"/>
        </w:rPr>
        <w:t>
      В график погашения могут быть внесены изменения путем заключения дополнительного соглашения к договору субсидирования в случаях:</w:t>
      </w:r>
      <w:r>
        <w:br/>
      </w:r>
      <w:r>
        <w:rPr>
          <w:rFonts w:ascii="Times New Roman"/>
          <w:b w:val="false"/>
          <w:i w:val="false"/>
          <w:color w:val="000000"/>
          <w:sz w:val="28"/>
        </w:rPr>
        <w:t>
      1) внесения изменений и (или) дополнений в план реабилитации (оздоровления);</w:t>
      </w:r>
      <w:r>
        <w:br/>
      </w:r>
      <w:r>
        <w:rPr>
          <w:rFonts w:ascii="Times New Roman"/>
          <w:b w:val="false"/>
          <w:i w:val="false"/>
          <w:color w:val="000000"/>
          <w:sz w:val="28"/>
        </w:rPr>
        <w:t>
      2) оказания дополнительных мер поддержки со стороны кредиторов и собственников без внесения изменений и (или) дополнений в план реабилитации (оздоровления), в случае, если меры поддержки со стороны государства не увеличиваются.»;</w:t>
      </w:r>
      <w:r>
        <w:br/>
      </w:r>
      <w:r>
        <w:rPr>
          <w:rFonts w:ascii="Times New Roman"/>
          <w:b w:val="false"/>
          <w:i w:val="false"/>
          <w:color w:val="000000"/>
          <w:sz w:val="28"/>
        </w:rPr>
        <w:t>
</w:t>
      </w:r>
      <w:r>
        <w:rPr>
          <w:rFonts w:ascii="Times New Roman"/>
          <w:b w:val="false"/>
          <w:i w:val="false"/>
          <w:color w:val="000000"/>
          <w:sz w:val="28"/>
        </w:rPr>
        <w:t>
      часть вторую </w:t>
      </w:r>
      <w:r>
        <w:rPr>
          <w:rFonts w:ascii="Times New Roman"/>
          <w:b w:val="false"/>
          <w:i w:val="false"/>
          <w:color w:val="000000"/>
          <w:sz w:val="28"/>
        </w:rPr>
        <w:t>пункта 16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«Данный порядок не распространяется на субсидирование купона по облигациям, а также на случаи возникновения обязательств по налогам, удерживаемым у источника выплаты, и отсутствия правомочности у финансовых организаций на открытие (введение) счетов юридических лиц Республики Казахстан.»;</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дополнить частью второй следующего содержания:</w:t>
      </w:r>
      <w:r>
        <w:br/>
      </w:r>
      <w:r>
        <w:rPr>
          <w:rFonts w:ascii="Times New Roman"/>
          <w:b w:val="false"/>
          <w:i w:val="false"/>
          <w:color w:val="000000"/>
          <w:sz w:val="28"/>
        </w:rPr>
        <w:t>
      «В случае отсутствия правомочности у финансовых организаций на открытие (введение) счетов юридических лиц Республики Казахстан оператор по субсидированию перечисляет денежные средства в сроки и размерах согласно графику погашения на текущий счет участника.»;</w:t>
      </w:r>
      <w:r>
        <w:br/>
      </w:r>
      <w:r>
        <w:rPr>
          <w:rFonts w:ascii="Times New Roman"/>
          <w:b w:val="false"/>
          <w:i w:val="false"/>
          <w:color w:val="000000"/>
          <w:sz w:val="28"/>
        </w:rPr>
        <w:t>
</w:t>
      </w:r>
      <w:r>
        <w:rPr>
          <w:rFonts w:ascii="Times New Roman"/>
          <w:b w:val="false"/>
          <w:i w:val="false"/>
          <w:color w:val="000000"/>
          <w:sz w:val="28"/>
        </w:rPr>
        <w:t>
      часть вторую изложить в следующей редакции:</w:t>
      </w:r>
      <w:r>
        <w:br/>
      </w:r>
      <w:r>
        <w:rPr>
          <w:rFonts w:ascii="Times New Roman"/>
          <w:b w:val="false"/>
          <w:i w:val="false"/>
          <w:color w:val="000000"/>
          <w:sz w:val="28"/>
        </w:rPr>
        <w:t>
      «При субсидировании купона по облигациям оператор по субсидированию в течение одного рабочего дня с момента получения письменного уведомления держателя облигаций об оплате участником не субсидируемой части процентной ставки вознаграждения перечисляет денежные средства на текущий счет держателя облигаций в соответствии с графиком погашения при условии своевременного перечисления денежных средств уполномоченным органом.»;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20</w:t>
      </w:r>
      <w:r>
        <w:rPr>
          <w:rFonts w:ascii="Times New Roman"/>
          <w:b w:val="false"/>
          <w:i w:val="false"/>
          <w:color w:val="000000"/>
          <w:sz w:val="28"/>
        </w:rPr>
        <w:t xml:space="preserve"> дополнить подпунктом 4) следующего содержания:</w:t>
      </w:r>
      <w:r>
        <w:br/>
      </w:r>
      <w:r>
        <w:rPr>
          <w:rFonts w:ascii="Times New Roman"/>
          <w:b w:val="false"/>
          <w:i w:val="false"/>
          <w:color w:val="000000"/>
          <w:sz w:val="28"/>
        </w:rPr>
        <w:t>
      «4) при отсутствии правомочности у финансовых организаций на открытие (введение) счетов юридических лиц Республики Казахстан – оператор по субсидированию в день получения уведомления финансовой организации о неоплате участником платежа по кредиту, лизинговым операциям, в том числе не субсидируемой части в сроки, указанные в графике погашения, уведомляет об этом уполномоченный орган.»;</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21</w:t>
      </w:r>
      <w:r>
        <w:rPr>
          <w:rFonts w:ascii="Times New Roman"/>
          <w:b w:val="false"/>
          <w:i w:val="false"/>
          <w:color w:val="000000"/>
          <w:sz w:val="28"/>
        </w:rPr>
        <w:t xml:space="preserve"> часть первую изложить в следующей редакции:</w:t>
      </w:r>
      <w:r>
        <w:br/>
      </w:r>
      <w:r>
        <w:rPr>
          <w:rFonts w:ascii="Times New Roman"/>
          <w:b w:val="false"/>
          <w:i w:val="false"/>
          <w:color w:val="000000"/>
          <w:sz w:val="28"/>
        </w:rPr>
        <w:t>
      «21. В случае полной оплаты участником в течение девяноста календарных дней просроченных платежей по кредиту, лизинговым операциям или купону по облигациям, в том числе не субсидируемой части ставки вознаграждения, по графику погашения, финансовая организация или держатель облигаций письменно уведомляют об этом оператора по субсидированию в срок не позднее дня, следующего за днем полной оплаты просроченных платежей. В последующем оператор по субсидированию уведомляет об этом уполномоченный орган в срок не позднее дня, следующего за днем получения уведомления финансовой организации.»;</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приложении 2</w:t>
      </w:r>
      <w:r>
        <w:rPr>
          <w:rFonts w:ascii="Times New Roman"/>
          <w:b w:val="false"/>
          <w:i w:val="false"/>
          <w:color w:val="000000"/>
          <w:sz w:val="28"/>
        </w:rPr>
        <w:t xml:space="preserve"> к указанным Правилам: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2.4</w:t>
      </w:r>
      <w:r>
        <w:rPr>
          <w:rFonts w:ascii="Times New Roman"/>
          <w:b w:val="false"/>
          <w:i w:val="false"/>
          <w:color w:val="000000"/>
          <w:sz w:val="28"/>
        </w:rPr>
        <w:t xml:space="preserve"> дополнить подпунктом 2-2) следующего содержания:</w:t>
      </w:r>
      <w:r>
        <w:br/>
      </w:r>
      <w:r>
        <w:rPr>
          <w:rFonts w:ascii="Times New Roman"/>
          <w:b w:val="false"/>
          <w:i w:val="false"/>
          <w:color w:val="000000"/>
          <w:sz w:val="28"/>
        </w:rPr>
        <w:t>
      «2-2) в случае отсутствия правомочности у финансовых организаций на открытие (введение) счетов юридических лиц Республики Казахстан перечислять денежные средства для субсидирования ставки вознаграждения на текущий счет участника согласно графику погашения при условии своевременного поступления денежных средств от Министерства;»;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11)</w:t>
      </w:r>
      <w:r>
        <w:rPr>
          <w:rFonts w:ascii="Times New Roman"/>
          <w:b w:val="false"/>
          <w:i w:val="false"/>
          <w:color w:val="000000"/>
          <w:sz w:val="28"/>
        </w:rPr>
        <w:t xml:space="preserve"> в пункте 2.6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2.8</w:t>
      </w:r>
      <w:r>
        <w:rPr>
          <w:rFonts w:ascii="Times New Roman"/>
          <w:b w:val="false"/>
          <w:i w:val="false"/>
          <w:color w:val="000000"/>
          <w:sz w:val="28"/>
        </w:rPr>
        <w:t xml:space="preserve"> дополнить подпунктом 1-2) следующего содержания:</w:t>
      </w:r>
      <w:r>
        <w:br/>
      </w:r>
      <w:r>
        <w:rPr>
          <w:rFonts w:ascii="Times New Roman"/>
          <w:b w:val="false"/>
          <w:i w:val="false"/>
          <w:color w:val="000000"/>
          <w:sz w:val="28"/>
        </w:rPr>
        <w:t>
      «1-2) при отсутствии правомочности у финансовых организаций на открытие (введение) счетов юридических лиц Республики Казахстан перечислить финансовой организации предусмотренные графиком погашения денежные средства, в том числе полученные от Компании суммы, предназначенные для субсидирования ставки вознаграждения.»;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6.2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«6.2. Если возникший спор не удается разрешить путем переговоров, данный спор и иные, относящиеся к нему вопросы, разрешаются и регулируются в соответствии с законодательством Республики Казахстан. В случае, если одной стороной из возникшего спора является не резидент Республики Казахстан включая международные финансовые организации и институты, то такой спор может быть передан на рассмотрение Международного Арбитража. Выбор Международного Арбитража определяется письменным соглашением сторон. Споры между резидентами рассматриваются судами Республики Казахстан»;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Примечания</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«Примечание:</w:t>
      </w:r>
      <w:r>
        <w:br/>
      </w:r>
      <w:r>
        <w:rPr>
          <w:rFonts w:ascii="Times New Roman"/>
          <w:b w:val="false"/>
          <w:i w:val="false"/>
          <w:color w:val="000000"/>
          <w:sz w:val="28"/>
        </w:rPr>
        <w:t>
      Исходя из предмета и порядка субсидирования, договор субсидирования подлежит корректировке при его заключении.»;</w:t>
      </w:r>
      <w:r>
        <w:br/>
      </w:r>
      <w:r>
        <w:rPr>
          <w:rFonts w:ascii="Times New Roman"/>
          <w:b w:val="false"/>
          <w:i w:val="false"/>
          <w:color w:val="000000"/>
          <w:sz w:val="28"/>
        </w:rPr>
        <w:t>
      дополнить Правила субсидирования процентной ставки вознаграждения </w:t>
      </w:r>
      <w:r>
        <w:rPr>
          <w:rFonts w:ascii="Times New Roman"/>
          <w:b w:val="false"/>
          <w:i w:val="false"/>
          <w:color w:val="000000"/>
          <w:sz w:val="28"/>
        </w:rPr>
        <w:t>приложением 2-1</w:t>
      </w:r>
      <w:r>
        <w:rPr>
          <w:rFonts w:ascii="Times New Roman"/>
          <w:b w:val="false"/>
          <w:i w:val="false"/>
          <w:color w:val="000000"/>
          <w:sz w:val="28"/>
        </w:rPr>
        <w:t xml:space="preserve"> следующего содержания:</w:t>
      </w:r>
    </w:p>
    <w:bookmarkEnd w:id="4"/>
    <w:bookmarkStart w:name="z49" w:id="5"/>
    <w:p>
      <w:pPr>
        <w:spacing w:after="0"/>
        <w:ind w:left="0"/>
        <w:jc w:val="both"/>
      </w:pPr>
      <w:r>
        <w:rPr>
          <w:rFonts w:ascii="Times New Roman"/>
          <w:b w:val="false"/>
          <w:i w:val="false"/>
          <w:color w:val="000000"/>
          <w:sz w:val="28"/>
        </w:rPr>
        <w:t xml:space="preserve">
Приложение 2-1           </w:t>
      </w:r>
      <w:r>
        <w:br/>
      </w:r>
      <w:r>
        <w:rPr>
          <w:rFonts w:ascii="Times New Roman"/>
          <w:b w:val="false"/>
          <w:i w:val="false"/>
          <w:color w:val="000000"/>
          <w:sz w:val="28"/>
        </w:rPr>
        <w:t xml:space="preserve">
к Правилам субсидирования процентной  </w:t>
      </w:r>
      <w:r>
        <w:br/>
      </w:r>
      <w:r>
        <w:rPr>
          <w:rFonts w:ascii="Times New Roman"/>
          <w:b w:val="false"/>
          <w:i w:val="false"/>
          <w:color w:val="000000"/>
          <w:sz w:val="28"/>
        </w:rPr>
        <w:t>
ставки вознаграждения в рамках Программы</w:t>
      </w:r>
      <w:r>
        <w:br/>
      </w:r>
      <w:r>
        <w:rPr>
          <w:rFonts w:ascii="Times New Roman"/>
          <w:b w:val="false"/>
          <w:i w:val="false"/>
          <w:color w:val="000000"/>
          <w:sz w:val="28"/>
        </w:rPr>
        <w:t>
посткризисного восстановления (оздоровление</w:t>
      </w:r>
      <w:r>
        <w:br/>
      </w:r>
      <w:r>
        <w:rPr>
          <w:rFonts w:ascii="Times New Roman"/>
          <w:b w:val="false"/>
          <w:i w:val="false"/>
          <w:color w:val="000000"/>
          <w:sz w:val="28"/>
        </w:rPr>
        <w:t xml:space="preserve">
конкурентоспособных предприятий)  </w:t>
      </w:r>
    </w:p>
    <w:bookmarkEnd w:id="5"/>
    <w:bookmarkStart w:name="z50" w:id="6"/>
    <w:p>
      <w:pPr>
        <w:spacing w:after="0"/>
        <w:ind w:left="0"/>
        <w:jc w:val="both"/>
      </w:pPr>
      <w:r>
        <w:rPr>
          <w:rFonts w:ascii="Times New Roman"/>
          <w:b w:val="false"/>
          <w:i w:val="false"/>
          <w:color w:val="000000"/>
          <w:sz w:val="28"/>
        </w:rPr>
        <w:t>
Договор субсидирования №</w:t>
      </w:r>
    </w:p>
    <w:bookmarkEnd w:id="6"/>
    <w:p>
      <w:pPr>
        <w:spacing w:after="0"/>
        <w:ind w:left="0"/>
        <w:jc w:val="both"/>
      </w:pPr>
      <w:r>
        <w:rPr>
          <w:rFonts w:ascii="Times New Roman"/>
          <w:b w:val="false"/>
          <w:i w:val="false"/>
          <w:color w:val="000000"/>
          <w:sz w:val="28"/>
        </w:rPr>
        <w:t>г. Астана                                  «___»_________ 20___ года</w:t>
      </w:r>
    </w:p>
    <w:p>
      <w:pPr>
        <w:spacing w:after="0"/>
        <w:ind w:left="0"/>
        <w:jc w:val="both"/>
      </w:pPr>
      <w:r>
        <w:rPr>
          <w:rFonts w:ascii="Times New Roman"/>
          <w:b w:val="false"/>
          <w:i w:val="false"/>
          <w:color w:val="000000"/>
          <w:sz w:val="28"/>
        </w:rPr>
        <w:t>      Министерство финансов Республики Казахстан, именуемое в дальнейшем «Министерство», в лице вице-министра финансов ___________, действующего на основании приказа Министра финансов Республики Казахстан от ____ № ___ «О распределении обязанностей и полномочий между Министром, ответственным секретарем и вице-министрами финансов Республики Казахстан», а также в соответствии с </w:t>
      </w:r>
      <w:r>
        <w:rPr>
          <w:rFonts w:ascii="Times New Roman"/>
          <w:b w:val="false"/>
          <w:i w:val="false"/>
          <w:color w:val="000000"/>
          <w:sz w:val="28"/>
        </w:rPr>
        <w:t>Положением</w:t>
      </w:r>
      <w:r>
        <w:rPr>
          <w:rFonts w:ascii="Times New Roman"/>
          <w:b w:val="false"/>
          <w:i w:val="false"/>
          <w:color w:val="000000"/>
          <w:sz w:val="28"/>
        </w:rPr>
        <w:t xml:space="preserve"> о Министерстве финансов Республики Казахстан, утвержденным постановлением Правительства Республики Казахстан от 24 апреля 2008 года № 387, с одной стороны, а также акционерное общество «Компания по реабилитации и управлению активами», именуемое в дальнейшем «Компания», в лице президента ______, действующего на основании устава, со второй стороны, ________, именуемое в дальнейшем «Финансовая организация», в лице _________, действующего на основании ____________, с третьей стороны, ________, именуемое в дальнейшем «Собственник», в лице _________, действующего на основании ____________, с четвертой стороны, и ________, именуемое в дальнейшем «Участник», в лице ___________, действующего на основании ________, с пятой стороны, совместно именуемые «Стороны», а по отдельности «Сторона», во исполнение решения Совета по оздоровлению от «__» ________ 20___ года № ____ и в соответствии с </w:t>
      </w:r>
      <w:r>
        <w:rPr>
          <w:rFonts w:ascii="Times New Roman"/>
          <w:b w:val="false"/>
          <w:i w:val="false"/>
          <w:color w:val="000000"/>
          <w:sz w:val="28"/>
        </w:rPr>
        <w:t>Программой</w:t>
      </w:r>
      <w:r>
        <w:rPr>
          <w:rFonts w:ascii="Times New Roman"/>
          <w:b w:val="false"/>
          <w:i w:val="false"/>
          <w:color w:val="000000"/>
          <w:sz w:val="28"/>
        </w:rPr>
        <w:t xml:space="preserve"> посткризисного восстановления (оздоровление конкурентоспособных предприятий), утвержденной постановлением Правительства Республики Казахстан от 4 марта 2011 года № 225 (далее – Программа), Правилами субсидирования процентной ставки вознаграждения в рамках Программы (далее – Правила), заключили настоящий договор субсидирования (далее – договор) о нижеследующем:</w:t>
      </w:r>
    </w:p>
    <w:p>
      <w:pPr>
        <w:spacing w:after="0"/>
        <w:ind w:left="0"/>
        <w:jc w:val="both"/>
      </w:pPr>
      <w:r>
        <w:rPr>
          <w:rFonts w:ascii="Times New Roman"/>
          <w:b w:val="false"/>
          <w:i w:val="false"/>
          <w:color w:val="000000"/>
          <w:sz w:val="28"/>
        </w:rPr>
        <w:t>1. Предмет Договора</w:t>
      </w:r>
    </w:p>
    <w:p>
      <w:pPr>
        <w:spacing w:after="0"/>
        <w:ind w:left="0"/>
        <w:jc w:val="both"/>
      </w:pPr>
      <w:r>
        <w:rPr>
          <w:rFonts w:ascii="Times New Roman"/>
          <w:b w:val="false"/>
          <w:i w:val="false"/>
          <w:color w:val="000000"/>
          <w:sz w:val="28"/>
        </w:rPr>
        <w:t>      1.1. Осуществление компанией выплат денежных средств финансовой организации, предназначенных для частичного возмещения расходов, уплачиваемых участником финансовой организации в качестве наценки по договорам финансирования, (далее – субсидирование наценки) согласно графику погашения, являющемуся неотъемлемой частью настоящего договора.</w:t>
      </w:r>
    </w:p>
    <w:p>
      <w:pPr>
        <w:spacing w:after="0"/>
        <w:ind w:left="0"/>
        <w:jc w:val="both"/>
      </w:pPr>
      <w:r>
        <w:rPr>
          <w:rFonts w:ascii="Times New Roman"/>
          <w:b w:val="false"/>
          <w:i w:val="false"/>
          <w:color w:val="000000"/>
          <w:sz w:val="28"/>
        </w:rPr>
        <w:t>2. Права и обязанности Сторон</w:t>
      </w:r>
    </w:p>
    <w:p>
      <w:pPr>
        <w:spacing w:after="0"/>
        <w:ind w:left="0"/>
        <w:jc w:val="both"/>
      </w:pPr>
      <w:r>
        <w:rPr>
          <w:rFonts w:ascii="Times New Roman"/>
          <w:b w:val="false"/>
          <w:i w:val="false"/>
          <w:color w:val="000000"/>
          <w:sz w:val="28"/>
        </w:rPr>
        <w:t>      2.1. Министерство вправе:</w:t>
      </w:r>
      <w:r>
        <w:br/>
      </w:r>
      <w:r>
        <w:rPr>
          <w:rFonts w:ascii="Times New Roman"/>
          <w:b w:val="false"/>
          <w:i w:val="false"/>
          <w:color w:val="000000"/>
          <w:sz w:val="28"/>
        </w:rPr>
        <w:t>
      1) требовать от Сторон надлежащего исполнения условий настоящего Договора;</w:t>
      </w:r>
      <w:r>
        <w:br/>
      </w:r>
      <w:r>
        <w:rPr>
          <w:rFonts w:ascii="Times New Roman"/>
          <w:b w:val="false"/>
          <w:i w:val="false"/>
          <w:color w:val="000000"/>
          <w:sz w:val="28"/>
        </w:rPr>
        <w:t>
      2) требовать от Компании ежемесячного предоставления к 15 числу месяца, следующего за отчетным, информации о мониторинге реализации Программы в части субсидирования наценки.</w:t>
      </w:r>
      <w:r>
        <w:br/>
      </w:r>
      <w:r>
        <w:rPr>
          <w:rFonts w:ascii="Times New Roman"/>
          <w:b w:val="false"/>
          <w:i w:val="false"/>
          <w:color w:val="000000"/>
          <w:sz w:val="28"/>
        </w:rPr>
        <w:t>
      2.2. Министерство обязано:</w:t>
      </w:r>
      <w:r>
        <w:br/>
      </w:r>
      <w:r>
        <w:rPr>
          <w:rFonts w:ascii="Times New Roman"/>
          <w:b w:val="false"/>
          <w:i w:val="false"/>
          <w:color w:val="000000"/>
          <w:sz w:val="28"/>
        </w:rPr>
        <w:t>
      1) в течение двух рабочих дней со дня получения заявки Компании,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 перечислить на расчетный счет Компании денежные средства в размере, указанном в заявке;</w:t>
      </w:r>
      <w:r>
        <w:br/>
      </w:r>
      <w:r>
        <w:rPr>
          <w:rFonts w:ascii="Times New Roman"/>
          <w:b w:val="false"/>
          <w:i w:val="false"/>
          <w:color w:val="000000"/>
          <w:sz w:val="28"/>
        </w:rPr>
        <w:t>
      2) в течение двух рабочих дней со дня уведомления Компанией о погашении участником просроченной части не субсидируемой части наценки в полном объеме письменно сообщить о возобновлении компанией выплат субсидий;</w:t>
      </w:r>
      <w:r>
        <w:br/>
      </w:r>
      <w:r>
        <w:rPr>
          <w:rFonts w:ascii="Times New Roman"/>
          <w:b w:val="false"/>
          <w:i w:val="false"/>
          <w:color w:val="000000"/>
          <w:sz w:val="28"/>
        </w:rPr>
        <w:t>
      3) со дня принятия Советом по оздоровлению решения об исключении Участника из Программы, в течение одного рабочего дня письменно уведомить Компанию о прекращении субсидирования наценки;</w:t>
      </w:r>
      <w:r>
        <w:br/>
      </w:r>
      <w:r>
        <w:rPr>
          <w:rFonts w:ascii="Times New Roman"/>
          <w:b w:val="false"/>
          <w:i w:val="false"/>
          <w:color w:val="000000"/>
          <w:sz w:val="28"/>
        </w:rPr>
        <w:t>
      4) в случае исключения Участника из Программы в течение пяти рабочих дней направить письменное уведомление Сторонам о расторжении настоящего Договора;</w:t>
      </w:r>
      <w:r>
        <w:br/>
      </w:r>
      <w:r>
        <w:rPr>
          <w:rFonts w:ascii="Times New Roman"/>
          <w:b w:val="false"/>
          <w:i w:val="false"/>
          <w:color w:val="000000"/>
          <w:sz w:val="28"/>
        </w:rPr>
        <w:t>
      5) своевременно извещать Стороны настоящего договора обо всех обстоятельствах, способных повлиять на выполнение условий настоящего Договора;</w:t>
      </w:r>
      <w:r>
        <w:br/>
      </w:r>
      <w:r>
        <w:rPr>
          <w:rFonts w:ascii="Times New Roman"/>
          <w:b w:val="false"/>
          <w:i w:val="false"/>
          <w:color w:val="000000"/>
          <w:sz w:val="28"/>
        </w:rPr>
        <w:t>
      6) прекратить выплаты субсидий в следующих случаях:</w:t>
      </w:r>
      <w:r>
        <w:br/>
      </w:r>
      <w:r>
        <w:rPr>
          <w:rFonts w:ascii="Times New Roman"/>
          <w:b w:val="false"/>
          <w:i w:val="false"/>
          <w:color w:val="000000"/>
          <w:sz w:val="28"/>
        </w:rPr>
        <w:t>
      исключения участника из Программы по решению Совета по оздоровлению;</w:t>
      </w:r>
      <w:r>
        <w:br/>
      </w:r>
      <w:r>
        <w:rPr>
          <w:rFonts w:ascii="Times New Roman"/>
          <w:b w:val="false"/>
          <w:i w:val="false"/>
          <w:color w:val="000000"/>
          <w:sz w:val="28"/>
        </w:rPr>
        <w:t>
      полного (полного досрочного) погашения участником основного долга по договорам финансирования.</w:t>
      </w:r>
      <w:r>
        <w:br/>
      </w:r>
      <w:r>
        <w:rPr>
          <w:rFonts w:ascii="Times New Roman"/>
          <w:b w:val="false"/>
          <w:i w:val="false"/>
          <w:color w:val="000000"/>
          <w:sz w:val="28"/>
        </w:rPr>
        <w:t>
      2.3. Компания вправе:</w:t>
      </w:r>
      <w:r>
        <w:br/>
      </w:r>
      <w:r>
        <w:rPr>
          <w:rFonts w:ascii="Times New Roman"/>
          <w:b w:val="false"/>
          <w:i w:val="false"/>
          <w:color w:val="000000"/>
          <w:sz w:val="28"/>
        </w:rPr>
        <w:t>
      1) требовать от Сторон надлежащего исполнения условий настоящего Договора;</w:t>
      </w:r>
      <w:r>
        <w:br/>
      </w:r>
      <w:r>
        <w:rPr>
          <w:rFonts w:ascii="Times New Roman"/>
          <w:b w:val="false"/>
          <w:i w:val="false"/>
          <w:color w:val="000000"/>
          <w:sz w:val="28"/>
        </w:rPr>
        <w:t>
      2) запрашивать у участника и финансовой организации все необходимые документы и информацию по уплате наценки в соответствии с графиком погашения.</w:t>
      </w:r>
      <w:r>
        <w:br/>
      </w:r>
      <w:r>
        <w:rPr>
          <w:rFonts w:ascii="Times New Roman"/>
          <w:b w:val="false"/>
          <w:i w:val="false"/>
          <w:color w:val="000000"/>
          <w:sz w:val="28"/>
        </w:rPr>
        <w:t>
      2.4. Компания обязана:</w:t>
      </w:r>
      <w:r>
        <w:br/>
      </w:r>
      <w:r>
        <w:rPr>
          <w:rFonts w:ascii="Times New Roman"/>
          <w:b w:val="false"/>
          <w:i w:val="false"/>
          <w:color w:val="000000"/>
          <w:sz w:val="28"/>
        </w:rPr>
        <w:t>
      1) направить в Министерство заявку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 на перечисление Компании денежных средств для субсидирования наценки на основании заявки Участника согласно графику погашения;</w:t>
      </w:r>
      <w:r>
        <w:br/>
      </w:r>
      <w:r>
        <w:rPr>
          <w:rFonts w:ascii="Times New Roman"/>
          <w:b w:val="false"/>
          <w:i w:val="false"/>
          <w:color w:val="000000"/>
          <w:sz w:val="28"/>
        </w:rPr>
        <w:t>
      2) ежеквартально в срок до первого числа месяца предстоящего квартала перечислять в финансовую организацию авансовыми платежами денежные средства для субсидирования наценки на специальный текущий счет компании по мере поступления заявок от участников при условии своевременного перечисления денежных средств уполномоченным органом;</w:t>
      </w:r>
      <w:r>
        <w:br/>
      </w:r>
      <w:r>
        <w:rPr>
          <w:rFonts w:ascii="Times New Roman"/>
          <w:b w:val="false"/>
          <w:i w:val="false"/>
          <w:color w:val="000000"/>
          <w:sz w:val="28"/>
        </w:rPr>
        <w:t>
      3) в случае возникновения обязательств по налогам, удерживаемым у источника выплаты при субсидировании наценки по договорам финансирования, при условии своевременного поступления денежных средств от Министерства перечислять денежные средства для субсидирования наценки на текущий счет участника согласно графику погашения;</w:t>
      </w:r>
      <w:r>
        <w:br/>
      </w:r>
      <w:r>
        <w:rPr>
          <w:rFonts w:ascii="Times New Roman"/>
          <w:b w:val="false"/>
          <w:i w:val="false"/>
          <w:color w:val="000000"/>
          <w:sz w:val="28"/>
        </w:rPr>
        <w:t>
      4) в день получения уведомления от финансовой организации о несвоевременной оплате участником платежа по договорам финансирования, в том числе не субсидируемой части наценки в сроки, указанные в графике погашения, приостановить выплаты финансовой организации субсидируемой части наценки и уведомить Министерство;</w:t>
      </w:r>
      <w:r>
        <w:br/>
      </w:r>
      <w:r>
        <w:rPr>
          <w:rFonts w:ascii="Times New Roman"/>
          <w:b w:val="false"/>
          <w:i w:val="false"/>
          <w:color w:val="000000"/>
          <w:sz w:val="28"/>
        </w:rPr>
        <w:t>
      5) ежемесячно к 15 числу месяца, следующего за отчетным, представлять в Министерство информацию о субсидировании процентной ставки в рамках реализации Программы по форме согласно приложению к настоящему договору;</w:t>
      </w:r>
      <w:r>
        <w:br/>
      </w:r>
      <w:r>
        <w:rPr>
          <w:rFonts w:ascii="Times New Roman"/>
          <w:b w:val="false"/>
          <w:i w:val="false"/>
          <w:color w:val="000000"/>
          <w:sz w:val="28"/>
        </w:rPr>
        <w:t>
      6) своевременно извещать Стороны настоящего Договора обо всех обстоятельствах, способных повлиять на выполнение условий настоящего Договора.</w:t>
      </w:r>
      <w:r>
        <w:br/>
      </w:r>
      <w:r>
        <w:rPr>
          <w:rFonts w:ascii="Times New Roman"/>
          <w:b w:val="false"/>
          <w:i w:val="false"/>
          <w:color w:val="000000"/>
          <w:sz w:val="28"/>
        </w:rPr>
        <w:t>
      2.5. Финансовая организация вправе:</w:t>
      </w:r>
      <w:r>
        <w:br/>
      </w:r>
      <w:r>
        <w:rPr>
          <w:rFonts w:ascii="Times New Roman"/>
          <w:b w:val="false"/>
          <w:i w:val="false"/>
          <w:color w:val="000000"/>
          <w:sz w:val="28"/>
        </w:rPr>
        <w:t>
      требовать от Компании своевременного перечисления денежных средств для субсидирования наценки в рамках настоящего Договора при условии своевременного перечисления денежных средств уполномоченным органом.</w:t>
      </w:r>
      <w:r>
        <w:br/>
      </w:r>
      <w:r>
        <w:rPr>
          <w:rFonts w:ascii="Times New Roman"/>
          <w:b w:val="false"/>
          <w:i w:val="false"/>
          <w:color w:val="000000"/>
          <w:sz w:val="28"/>
        </w:rPr>
        <w:t>
      2.6. Финансовая организация обязана:</w:t>
      </w:r>
      <w:r>
        <w:br/>
      </w:r>
      <w:r>
        <w:rPr>
          <w:rFonts w:ascii="Times New Roman"/>
          <w:b w:val="false"/>
          <w:i w:val="false"/>
          <w:color w:val="000000"/>
          <w:sz w:val="28"/>
        </w:rPr>
        <w:t>
      1) открыть специальный текущий счет компании, предназначенный для субсидирования наценки не позднее следующего рабочего дня с момента заключения настоящего договора;</w:t>
      </w:r>
      <w:r>
        <w:br/>
      </w:r>
      <w:r>
        <w:rPr>
          <w:rFonts w:ascii="Times New Roman"/>
          <w:b w:val="false"/>
          <w:i w:val="false"/>
          <w:color w:val="000000"/>
          <w:sz w:val="28"/>
        </w:rPr>
        <w:t>
      2) не взимать с компании комиссии, сборы и (или) иные платежи за открываемый (открытие, обслуживание, введение) специальный текущий счет компании;</w:t>
      </w:r>
      <w:r>
        <w:br/>
      </w:r>
      <w:r>
        <w:rPr>
          <w:rFonts w:ascii="Times New Roman"/>
          <w:b w:val="false"/>
          <w:i w:val="false"/>
          <w:color w:val="000000"/>
          <w:sz w:val="28"/>
        </w:rPr>
        <w:t>
      3) обеспечить целевое использование денежных средств, перечисляемых Компанией для субсидирования наценки в соответствии с графиком погашения;</w:t>
      </w:r>
      <w:r>
        <w:br/>
      </w:r>
      <w:r>
        <w:rPr>
          <w:rFonts w:ascii="Times New Roman"/>
          <w:b w:val="false"/>
          <w:i w:val="false"/>
          <w:color w:val="000000"/>
          <w:sz w:val="28"/>
        </w:rPr>
        <w:t>
      4) не производить погашение не субсидируемой части наценки за счет денежных средств компании, предназначенных для погашения субсидируемой части наценки;</w:t>
      </w:r>
      <w:r>
        <w:br/>
      </w:r>
      <w:r>
        <w:rPr>
          <w:rFonts w:ascii="Times New Roman"/>
          <w:b w:val="false"/>
          <w:i w:val="false"/>
          <w:color w:val="000000"/>
          <w:sz w:val="28"/>
        </w:rPr>
        <w:t>
      5) предоставить в течение трех рабочих дней копии договоров финансирования с графиками платежей, заключенных с Участниками;</w:t>
      </w:r>
      <w:r>
        <w:br/>
      </w:r>
      <w:r>
        <w:rPr>
          <w:rFonts w:ascii="Times New Roman"/>
          <w:b w:val="false"/>
          <w:i w:val="false"/>
          <w:color w:val="000000"/>
          <w:sz w:val="28"/>
        </w:rPr>
        <w:t>
      6) обеспечить своевременное списание денежных средств со специального текущего счета компании при оплате участником не субсидируемой части наценки в сроки и размерах, согласно графику погашения, в том числе при полной оплате участником просроченной задолженности;</w:t>
      </w:r>
      <w:r>
        <w:br/>
      </w:r>
      <w:r>
        <w:rPr>
          <w:rFonts w:ascii="Times New Roman"/>
          <w:b w:val="false"/>
          <w:i w:val="false"/>
          <w:color w:val="000000"/>
          <w:sz w:val="28"/>
        </w:rPr>
        <w:t>
      7) письменно уведомить Компанию об исполнении либо нарушении Участником графика погашения не позднее дня, следующего за днем платежа согласно графику погашения;</w:t>
      </w:r>
      <w:r>
        <w:br/>
      </w:r>
      <w:r>
        <w:rPr>
          <w:rFonts w:ascii="Times New Roman"/>
          <w:b w:val="false"/>
          <w:i w:val="false"/>
          <w:color w:val="000000"/>
          <w:sz w:val="28"/>
        </w:rPr>
        <w:t>
      8) в случае неоплаты участником платежа по договорам финансирования, в том числе не субсидируемой части наценки, в сроки, указанные в графике погашения, не производить списание денежных средств для субсидирования со специального текущего счета компании до погашения задолженности участником и в срок, не позднее дня, следующего за днем оплаты по графику погашения, уведомить компанию;</w:t>
      </w:r>
      <w:r>
        <w:br/>
      </w:r>
      <w:r>
        <w:rPr>
          <w:rFonts w:ascii="Times New Roman"/>
          <w:b w:val="false"/>
          <w:i w:val="false"/>
          <w:color w:val="000000"/>
          <w:sz w:val="28"/>
        </w:rPr>
        <w:t>
      9) ежемесячно к 10 числу месяца, следующего за отчетным, представлять в компанию информацию о субсидировании процентной ставки в рамках реализации Программы за отчетный месяц по форме согласно приложению к настоящему договору;</w:t>
      </w:r>
      <w:r>
        <w:br/>
      </w:r>
      <w:r>
        <w:rPr>
          <w:rFonts w:ascii="Times New Roman"/>
          <w:b w:val="false"/>
          <w:i w:val="false"/>
          <w:color w:val="000000"/>
          <w:sz w:val="28"/>
        </w:rPr>
        <w:t>
      10) по требованию Сторон настоящего Договора предоставлять все необходимые документы и информацию, связанные с исполнением графика погашения;</w:t>
      </w:r>
      <w:r>
        <w:br/>
      </w:r>
      <w:r>
        <w:rPr>
          <w:rFonts w:ascii="Times New Roman"/>
          <w:b w:val="false"/>
          <w:i w:val="false"/>
          <w:color w:val="000000"/>
          <w:sz w:val="28"/>
        </w:rPr>
        <w:t>
      11) при изменении юридического адреса, почтовых и банковских реквизитов, а также фактического адреса финансовой организации письменно сообщать сторонам о таких изменениях в течение пяти рабочих дней. В случае неизвещения и (или) несвоевременного извещения, ответственность за возможные последствия несет финансовая организация;</w:t>
      </w:r>
      <w:r>
        <w:br/>
      </w:r>
      <w:r>
        <w:rPr>
          <w:rFonts w:ascii="Times New Roman"/>
          <w:b w:val="false"/>
          <w:i w:val="false"/>
          <w:color w:val="000000"/>
          <w:sz w:val="28"/>
        </w:rPr>
        <w:t>
      12) не передавать и не переуступать права и обязанности по настоящему Договору до окончания срока действия настоящего Договора третьему лицу без предварительного согласия Сторон;</w:t>
      </w:r>
      <w:r>
        <w:br/>
      </w:r>
      <w:r>
        <w:rPr>
          <w:rFonts w:ascii="Times New Roman"/>
          <w:b w:val="false"/>
          <w:i w:val="false"/>
          <w:color w:val="000000"/>
          <w:sz w:val="28"/>
        </w:rPr>
        <w:t>
      13) своевременно извещать Стороны настоящего Договора обо всех обстоятельствах, способных повлиять на выполнение условий настоящего Договора;</w:t>
      </w:r>
      <w:r>
        <w:br/>
      </w:r>
      <w:r>
        <w:rPr>
          <w:rFonts w:ascii="Times New Roman"/>
          <w:b w:val="false"/>
          <w:i w:val="false"/>
          <w:color w:val="000000"/>
          <w:sz w:val="28"/>
        </w:rPr>
        <w:t>
      14) предоставить участнику меры поддержки, предусмотренные в плане реабилитации (оздоровления).</w:t>
      </w:r>
      <w:r>
        <w:br/>
      </w:r>
      <w:r>
        <w:rPr>
          <w:rFonts w:ascii="Times New Roman"/>
          <w:b w:val="false"/>
          <w:i w:val="false"/>
          <w:color w:val="000000"/>
          <w:sz w:val="28"/>
        </w:rPr>
        <w:t>
      2.7. Собственник обязан:</w:t>
      </w:r>
      <w:r>
        <w:br/>
      </w:r>
      <w:r>
        <w:rPr>
          <w:rFonts w:ascii="Times New Roman"/>
          <w:b w:val="false"/>
          <w:i w:val="false"/>
          <w:color w:val="000000"/>
          <w:sz w:val="28"/>
        </w:rPr>
        <w:t>
      1) предоставить участнику меры поддержки, предусмотренные в плане реабилитации (оздоровления);</w:t>
      </w:r>
      <w:r>
        <w:br/>
      </w:r>
      <w:r>
        <w:rPr>
          <w:rFonts w:ascii="Times New Roman"/>
          <w:b w:val="false"/>
          <w:i w:val="false"/>
          <w:color w:val="000000"/>
          <w:sz w:val="28"/>
        </w:rPr>
        <w:t>
      2) своевременно извещать стороны настоящего договора обо всех обстоятельствах, способных повлиять на выполнение условий настоящего договора;</w:t>
      </w:r>
      <w:r>
        <w:br/>
      </w:r>
      <w:r>
        <w:rPr>
          <w:rFonts w:ascii="Times New Roman"/>
          <w:b w:val="false"/>
          <w:i w:val="false"/>
          <w:color w:val="000000"/>
          <w:sz w:val="28"/>
        </w:rPr>
        <w:t>
      3) по требованию сторон настоящего договора представлять все необходимые документы и информацию, связанные с исполнением графика погашения.</w:t>
      </w:r>
      <w:r>
        <w:br/>
      </w:r>
      <w:r>
        <w:rPr>
          <w:rFonts w:ascii="Times New Roman"/>
          <w:b w:val="false"/>
          <w:i w:val="false"/>
          <w:color w:val="000000"/>
          <w:sz w:val="28"/>
        </w:rPr>
        <w:t>
      2.8. Участник вправе:</w:t>
      </w:r>
      <w:r>
        <w:br/>
      </w:r>
      <w:r>
        <w:rPr>
          <w:rFonts w:ascii="Times New Roman"/>
          <w:b w:val="false"/>
          <w:i w:val="false"/>
          <w:color w:val="000000"/>
          <w:sz w:val="28"/>
        </w:rPr>
        <w:t>
      требовать от Финансовой организации обеспечения списания денежных средств со специального текущего счета Компании денежных средств для субсидирования наценки.</w:t>
      </w:r>
      <w:r>
        <w:br/>
      </w:r>
      <w:r>
        <w:rPr>
          <w:rFonts w:ascii="Times New Roman"/>
          <w:b w:val="false"/>
          <w:i w:val="false"/>
          <w:color w:val="000000"/>
          <w:sz w:val="28"/>
        </w:rPr>
        <w:t>
      2.9. Участник обязан:</w:t>
      </w:r>
      <w:r>
        <w:br/>
      </w:r>
      <w:r>
        <w:rPr>
          <w:rFonts w:ascii="Times New Roman"/>
          <w:b w:val="false"/>
          <w:i w:val="false"/>
          <w:color w:val="000000"/>
          <w:sz w:val="28"/>
        </w:rPr>
        <w:t>
      1) своевременно погашать платежи по договорам финансирования, в том числе не субсидируемую часть наценки, согласно графику погашения;</w:t>
      </w:r>
      <w:r>
        <w:br/>
      </w:r>
      <w:r>
        <w:rPr>
          <w:rFonts w:ascii="Times New Roman"/>
          <w:b w:val="false"/>
          <w:i w:val="false"/>
          <w:color w:val="000000"/>
          <w:sz w:val="28"/>
        </w:rPr>
        <w:t>
      2) в случае возникновения обязательств по налогам, удерживаемым у источника выплаты, при субсидировании наценки по договорам финансирования перечислить финансовой организации или держателю облигаций предусмотренные графиком погашения денежные средства, в том числе полученные от Компании суммы, предназначенные для субсидирования наценки. Денежные средства перечисляются согласно графику погашения за минусом налогов, удерживаемых у источника выплаты;</w:t>
      </w:r>
      <w:r>
        <w:br/>
      </w:r>
      <w:r>
        <w:rPr>
          <w:rFonts w:ascii="Times New Roman"/>
          <w:b w:val="false"/>
          <w:i w:val="false"/>
          <w:color w:val="000000"/>
          <w:sz w:val="28"/>
        </w:rPr>
        <w:t>
      3) своевременно извещать Стороны настоящего Договора обо всех обстоятельствах, способных повлиять на выполнение условий настоящего Договора;</w:t>
      </w:r>
      <w:r>
        <w:br/>
      </w:r>
      <w:r>
        <w:rPr>
          <w:rFonts w:ascii="Times New Roman"/>
          <w:b w:val="false"/>
          <w:i w:val="false"/>
          <w:color w:val="000000"/>
          <w:sz w:val="28"/>
        </w:rPr>
        <w:t>
      4) по требованию Сторон настоящего Договора предоставлять все необходимые документы и информацию, связанные с исполнением графика погашения;</w:t>
      </w:r>
      <w:r>
        <w:br/>
      </w:r>
      <w:r>
        <w:rPr>
          <w:rFonts w:ascii="Times New Roman"/>
          <w:b w:val="false"/>
          <w:i w:val="false"/>
          <w:color w:val="000000"/>
          <w:sz w:val="28"/>
        </w:rPr>
        <w:t>
      5) в случае принятия советом по оздоровлению решения об исключении участника из Программы, возвратить в тридцатидневный срок в республиканский бюджет денежные средства, отвлеченные в рамках исполнения плана реабилитации (оздоровления) для субсидирования наценки;</w:t>
      </w:r>
      <w:r>
        <w:br/>
      </w:r>
      <w:r>
        <w:rPr>
          <w:rFonts w:ascii="Times New Roman"/>
          <w:b w:val="false"/>
          <w:i w:val="false"/>
          <w:color w:val="000000"/>
          <w:sz w:val="28"/>
        </w:rPr>
        <w:t>
      6) в случае возникновения обязательств по налогам, удерживаемым у источника выплаты, при субсидировании наценки по договорам финансирования, выступать налоговым агентом по исчислению, удержанию и перечислению налогов, удерживаемых у источника выплаты.</w:t>
      </w:r>
    </w:p>
    <w:p>
      <w:pPr>
        <w:spacing w:after="0"/>
        <w:ind w:left="0"/>
        <w:jc w:val="both"/>
      </w:pPr>
      <w:r>
        <w:rPr>
          <w:rFonts w:ascii="Times New Roman"/>
          <w:b w:val="false"/>
          <w:i w:val="false"/>
          <w:color w:val="000000"/>
          <w:sz w:val="28"/>
        </w:rPr>
        <w:t>3. Срок действия Договора</w:t>
      </w:r>
    </w:p>
    <w:p>
      <w:pPr>
        <w:spacing w:after="0"/>
        <w:ind w:left="0"/>
        <w:jc w:val="both"/>
      </w:pPr>
      <w:r>
        <w:rPr>
          <w:rFonts w:ascii="Times New Roman"/>
          <w:b w:val="false"/>
          <w:i w:val="false"/>
          <w:color w:val="000000"/>
          <w:sz w:val="28"/>
        </w:rPr>
        <w:t>      3.1. Настоящий Договор вступает в силу с «__» _______ 20__ года и действует до «___» ________ 20__ года.</w:t>
      </w:r>
      <w:r>
        <w:br/>
      </w:r>
      <w:r>
        <w:rPr>
          <w:rFonts w:ascii="Times New Roman"/>
          <w:b w:val="false"/>
          <w:i w:val="false"/>
          <w:color w:val="000000"/>
          <w:sz w:val="28"/>
        </w:rPr>
        <w:t>
      3.2. Настоящий Договор может быть расторгнут в одностороннем порядке Министерством в случаях, предусмотренных Программой и Правилами.</w:t>
      </w:r>
    </w:p>
    <w:p>
      <w:pPr>
        <w:spacing w:after="0"/>
        <w:ind w:left="0"/>
        <w:jc w:val="both"/>
      </w:pPr>
      <w:r>
        <w:rPr>
          <w:rFonts w:ascii="Times New Roman"/>
          <w:b w:val="false"/>
          <w:i w:val="false"/>
          <w:color w:val="000000"/>
          <w:sz w:val="28"/>
        </w:rPr>
        <w:t>4. Ответственность Сторон</w:t>
      </w:r>
    </w:p>
    <w:p>
      <w:pPr>
        <w:spacing w:after="0"/>
        <w:ind w:left="0"/>
        <w:jc w:val="both"/>
      </w:pPr>
      <w:r>
        <w:rPr>
          <w:rFonts w:ascii="Times New Roman"/>
          <w:b w:val="false"/>
          <w:i w:val="false"/>
          <w:color w:val="000000"/>
          <w:sz w:val="28"/>
        </w:rPr>
        <w:t>      4.1. Стороны по настоящему Договору несут ответственность за неисполнение и (или) ненадлежащее исполнение обязательств, вытекающих из настоящего Договора, в соответствии с настоящим Договором и законодательством Республики Казахстан.</w:t>
      </w:r>
    </w:p>
    <w:p>
      <w:pPr>
        <w:spacing w:after="0"/>
        <w:ind w:left="0"/>
        <w:jc w:val="both"/>
      </w:pPr>
      <w:r>
        <w:rPr>
          <w:rFonts w:ascii="Times New Roman"/>
          <w:b w:val="false"/>
          <w:i w:val="false"/>
          <w:color w:val="000000"/>
          <w:sz w:val="28"/>
        </w:rPr>
        <w:t>5. Форс-мажор</w:t>
      </w:r>
    </w:p>
    <w:p>
      <w:pPr>
        <w:spacing w:after="0"/>
        <w:ind w:left="0"/>
        <w:jc w:val="both"/>
      </w:pPr>
      <w:r>
        <w:rPr>
          <w:rFonts w:ascii="Times New Roman"/>
          <w:b w:val="false"/>
          <w:i w:val="false"/>
          <w:color w:val="000000"/>
          <w:sz w:val="28"/>
        </w:rPr>
        <w:t>      5.1. Стороны освобождаются от ответственности за неисполнение, либо ненадлежащее исполнение своих обязанностей по настоящему Договору, если невозможность исполнения явилась следствием форс-мажорных обстоятельств (непреодолимой силы), то есть чрезвычайных и непредотвратимых при данных условиях обстоятельствах (стихийные явления, военные действия и т.п.).</w:t>
      </w:r>
      <w:r>
        <w:br/>
      </w:r>
      <w:r>
        <w:rPr>
          <w:rFonts w:ascii="Times New Roman"/>
          <w:b w:val="false"/>
          <w:i w:val="false"/>
          <w:color w:val="000000"/>
          <w:sz w:val="28"/>
        </w:rPr>
        <w:t>
      5.2. При наступлении форс-мажорных обстоятельств (непреодолимой силы), Сторона, для которой создалась невозможность исполнения ее обязательств по настоящему Договору, должна своевременно в течение десяти рабочих дней с момента наступления известить другие Стороны о таких обстоятельствах. При этом характер, период действия, факт наступления форс-мажорных обстоятельств (непреодолимой силы) должны подтверждаться соответствующими документами уполномоченных государственных органов.</w:t>
      </w:r>
      <w:r>
        <w:br/>
      </w:r>
      <w:r>
        <w:rPr>
          <w:rFonts w:ascii="Times New Roman"/>
          <w:b w:val="false"/>
          <w:i w:val="false"/>
          <w:color w:val="000000"/>
          <w:sz w:val="28"/>
        </w:rPr>
        <w:t>
      5.3. При отсутствии своевременного извещения, Сторона обязана возместить другим Сторонам вред, причиненный не извещением или несвоевременным извещением.</w:t>
      </w:r>
      <w:r>
        <w:br/>
      </w:r>
      <w:r>
        <w:rPr>
          <w:rFonts w:ascii="Times New Roman"/>
          <w:b w:val="false"/>
          <w:i w:val="false"/>
          <w:color w:val="000000"/>
          <w:sz w:val="28"/>
        </w:rPr>
        <w:t>
      5.4. Наступление форс-мажорных обстоятельств (непреодолимой силы) вызывает увеличение срока исполнения настоящего Договора на период их действия.</w:t>
      </w:r>
      <w:r>
        <w:br/>
      </w:r>
      <w:r>
        <w:rPr>
          <w:rFonts w:ascii="Times New Roman"/>
          <w:b w:val="false"/>
          <w:i w:val="false"/>
          <w:color w:val="000000"/>
          <w:sz w:val="28"/>
        </w:rPr>
        <w:t>
      5.5. Если такие обстоятельства будут продолжаться более трех месяцев подряд, то любая из Сторон вправе отказаться от дальнейшего исполнения обязательств по настоящему Договору.</w:t>
      </w:r>
    </w:p>
    <w:p>
      <w:pPr>
        <w:spacing w:after="0"/>
        <w:ind w:left="0"/>
        <w:jc w:val="both"/>
      </w:pPr>
      <w:r>
        <w:rPr>
          <w:rFonts w:ascii="Times New Roman"/>
          <w:b w:val="false"/>
          <w:i w:val="false"/>
          <w:color w:val="000000"/>
          <w:sz w:val="28"/>
        </w:rPr>
        <w:t>6. Разрешение споров</w:t>
      </w:r>
    </w:p>
    <w:p>
      <w:pPr>
        <w:spacing w:after="0"/>
        <w:ind w:left="0"/>
        <w:jc w:val="both"/>
      </w:pPr>
      <w:r>
        <w:rPr>
          <w:rFonts w:ascii="Times New Roman"/>
          <w:b w:val="false"/>
          <w:i w:val="false"/>
          <w:color w:val="000000"/>
          <w:sz w:val="28"/>
        </w:rPr>
        <w:t>      6.1. В случае какого-либо спора, возникшего в связи с исполнением настоящего Договора, любая из Сторон принимает меры для урегулирования всех споров путем переговоров.</w:t>
      </w:r>
      <w:r>
        <w:br/>
      </w:r>
      <w:r>
        <w:rPr>
          <w:rFonts w:ascii="Times New Roman"/>
          <w:b w:val="false"/>
          <w:i w:val="false"/>
          <w:color w:val="000000"/>
          <w:sz w:val="28"/>
        </w:rPr>
        <w:t>
      6.2. Если возникший спор не удается разрешить путем переговоров, данный спор и иные, относящиеся к нему вопросы, разрешаются и регулируются в соответствии с законодательством Республики Казахстан.</w:t>
      </w:r>
    </w:p>
    <w:p>
      <w:pPr>
        <w:spacing w:after="0"/>
        <w:ind w:left="0"/>
        <w:jc w:val="both"/>
      </w:pPr>
      <w:r>
        <w:rPr>
          <w:rFonts w:ascii="Times New Roman"/>
          <w:b w:val="false"/>
          <w:i w:val="false"/>
          <w:color w:val="000000"/>
          <w:sz w:val="28"/>
        </w:rPr>
        <w:t>7. Обмен корреспонденцией</w:t>
      </w:r>
    </w:p>
    <w:p>
      <w:pPr>
        <w:spacing w:after="0"/>
        <w:ind w:left="0"/>
        <w:jc w:val="both"/>
      </w:pPr>
      <w:r>
        <w:rPr>
          <w:rFonts w:ascii="Times New Roman"/>
          <w:b w:val="false"/>
          <w:i w:val="false"/>
          <w:color w:val="000000"/>
          <w:sz w:val="28"/>
        </w:rPr>
        <w:t>      7.1. Любая корреспонденция, отправляемая Сторонами друг другу в рамках настоящего Договора, будет представляться в письменной форме, и рассматриваться в течение 30 (тридцать) календарных дней с момента получения Сторонами корреспонденции с отметкой о вручении, за исключением корреспонденции, для рассмотрения которых предусмотрен особый порядок в соответствии с настоящим Договором.</w:t>
      </w:r>
      <w:r>
        <w:br/>
      </w:r>
      <w:r>
        <w:rPr>
          <w:rFonts w:ascii="Times New Roman"/>
          <w:b w:val="false"/>
          <w:i w:val="false"/>
          <w:color w:val="000000"/>
          <w:sz w:val="28"/>
        </w:rPr>
        <w:t>
      7.2. Корреспонденция считается должным образом представленной или направленной, когда она оформлена надлежащим образом (корреспонденция считается должным образом оформленная, когда она представлена на бланке или скреплена печатью, подписана руководителем и имеет регистрационной номер, дату, а также с указанием исполнителя), вручена лично, доставлена по почте (заказным письмом с уведомлением) или курьерской связью по адресу участвующей Стороны.</w:t>
      </w:r>
      <w:r>
        <w:br/>
      </w:r>
      <w:r>
        <w:rPr>
          <w:rFonts w:ascii="Times New Roman"/>
          <w:b w:val="false"/>
          <w:i w:val="false"/>
          <w:color w:val="000000"/>
          <w:sz w:val="28"/>
        </w:rPr>
        <w:t>
      7.3. В ходе действия настоящего Договора ответственные лица Сторон могут осуществлять отправление корреспонденции, носящей информативный характер, посредством факсимильной связи и (или) электронной почты другой Стороне.</w:t>
      </w:r>
      <w:r>
        <w:br/>
      </w:r>
      <w:r>
        <w:rPr>
          <w:rFonts w:ascii="Times New Roman"/>
          <w:b w:val="false"/>
          <w:i w:val="false"/>
          <w:color w:val="000000"/>
          <w:sz w:val="28"/>
        </w:rPr>
        <w:t>
      При этом Сторона-отправитель обязана подтвердить отправление корреспонденции другой Стороне. Подтверждение считается осуществленным надлежащим образом при отправке факсимильной связью, путем приложения текста всей корреспонденции с отметкой принимающей стороны о приемке, либо наличия выписки факсимильного аппарата об успешном завершении отправки.</w:t>
      </w:r>
    </w:p>
    <w:p>
      <w:pPr>
        <w:spacing w:after="0"/>
        <w:ind w:left="0"/>
        <w:jc w:val="both"/>
      </w:pPr>
      <w:r>
        <w:rPr>
          <w:rFonts w:ascii="Times New Roman"/>
          <w:b w:val="false"/>
          <w:i w:val="false"/>
          <w:color w:val="000000"/>
          <w:sz w:val="28"/>
        </w:rPr>
        <w:t>8. Конфиденциальность</w:t>
      </w:r>
    </w:p>
    <w:p>
      <w:pPr>
        <w:spacing w:after="0"/>
        <w:ind w:left="0"/>
        <w:jc w:val="both"/>
      </w:pPr>
      <w:r>
        <w:rPr>
          <w:rFonts w:ascii="Times New Roman"/>
          <w:b w:val="false"/>
          <w:i w:val="false"/>
          <w:color w:val="000000"/>
          <w:sz w:val="28"/>
        </w:rPr>
        <w:t>      8.1. Настоящим Стороны соглашаются, что информация, касающаяся условий настоящего Договора, банковская тайна, а также финансовая, коммерческая и иная информация, полученная ими в ходе заключения и исполнения настоящего Договора, является конфиденциальной и не подлежит разглашению третьим лицам за исключением случаев, прямо предусмотренных в настоящем Договоре и действующем законодательстве Республики Казахстан.</w:t>
      </w:r>
      <w:r>
        <w:br/>
      </w:r>
      <w:r>
        <w:rPr>
          <w:rFonts w:ascii="Times New Roman"/>
          <w:b w:val="false"/>
          <w:i w:val="false"/>
          <w:color w:val="000000"/>
          <w:sz w:val="28"/>
        </w:rPr>
        <w:t>
      8.2. Стороны принимают все необходимые меры, в том числе правового характера, для сохранения конфиденциальности и условий настоящего Договора.</w:t>
      </w:r>
      <w:r>
        <w:br/>
      </w:r>
      <w:r>
        <w:rPr>
          <w:rFonts w:ascii="Times New Roman"/>
          <w:b w:val="false"/>
          <w:i w:val="false"/>
          <w:color w:val="000000"/>
          <w:sz w:val="28"/>
        </w:rPr>
        <w:t>
      8.3. В случае разглашения либо распространения любой из Сторон конфиденциальной информации в нарушение требований настоящего Договора, виновная Сторона несет ответственность, предусмотренную законодательством Республики Казахстан, с возмещением возможного вреда, понесенного другой Стороной вследствие разглашения такой информации.</w:t>
      </w:r>
    </w:p>
    <w:p>
      <w:pPr>
        <w:spacing w:after="0"/>
        <w:ind w:left="0"/>
        <w:jc w:val="both"/>
      </w:pPr>
      <w:r>
        <w:rPr>
          <w:rFonts w:ascii="Times New Roman"/>
          <w:b w:val="false"/>
          <w:i w:val="false"/>
          <w:color w:val="000000"/>
          <w:sz w:val="28"/>
        </w:rPr>
        <w:t>9. Заключительные положения</w:t>
      </w:r>
    </w:p>
    <w:p>
      <w:pPr>
        <w:spacing w:after="0"/>
        <w:ind w:left="0"/>
        <w:jc w:val="both"/>
      </w:pPr>
      <w:r>
        <w:rPr>
          <w:rFonts w:ascii="Times New Roman"/>
          <w:b w:val="false"/>
          <w:i w:val="false"/>
          <w:color w:val="000000"/>
          <w:sz w:val="28"/>
        </w:rPr>
        <w:t>      9.1. Компания и Финансовая организация не взимают комиссии, сборы и (или) иные платежи в рамках Программы и настоящего Договора.</w:t>
      </w:r>
      <w:r>
        <w:br/>
      </w:r>
      <w:r>
        <w:rPr>
          <w:rFonts w:ascii="Times New Roman"/>
          <w:b w:val="false"/>
          <w:i w:val="false"/>
          <w:color w:val="000000"/>
          <w:sz w:val="28"/>
        </w:rPr>
        <w:t>
      9.2. В случае изменения правового статуса Сторон, все права и обязанности по настоящему Договору и во исполнение настоящего Договора, в том числе права и обязанности, возникшие в связи с урегулированием возникших споров и разногласий, переходят к правопреемникам Сторон.</w:t>
      </w:r>
      <w:r>
        <w:br/>
      </w:r>
      <w:r>
        <w:rPr>
          <w:rFonts w:ascii="Times New Roman"/>
          <w:b w:val="false"/>
          <w:i w:val="false"/>
          <w:color w:val="000000"/>
          <w:sz w:val="28"/>
        </w:rPr>
        <w:t>
      9.3. В случае если день платежа приходится на нерабочий или праздничный день, платеж производится на следующий за ним рабочий день.</w:t>
      </w:r>
      <w:r>
        <w:br/>
      </w:r>
      <w:r>
        <w:rPr>
          <w:rFonts w:ascii="Times New Roman"/>
          <w:b w:val="false"/>
          <w:i w:val="false"/>
          <w:color w:val="000000"/>
          <w:sz w:val="28"/>
        </w:rPr>
        <w:t>
      9.4. Настоящий Договор, вместе с приложением, которое является неотъемлемой частью настоящего Договора, представляет собой полное взаимопонимание Сторон в связи с предметом настоящего Договора.</w:t>
      </w:r>
      <w:r>
        <w:br/>
      </w:r>
      <w:r>
        <w:rPr>
          <w:rFonts w:ascii="Times New Roman"/>
          <w:b w:val="false"/>
          <w:i w:val="false"/>
          <w:color w:val="000000"/>
          <w:sz w:val="28"/>
        </w:rPr>
        <w:t>
      9.5. Настоящий Договор составлен в ___ (______) идентичных экземплярах на государственном и русском языках по ___ (______) экземпляру на государственном и русском языках для каждой из Сторон, каждый из которых имеет равную юридическую силу. В случае возникновения разночтений между текстами настоящего Договора на государственном и русском языке преимущественное значение будет иметь версия настоящего Договора на государственном языке.</w:t>
      </w:r>
      <w:r>
        <w:br/>
      </w:r>
      <w:r>
        <w:rPr>
          <w:rFonts w:ascii="Times New Roman"/>
          <w:b w:val="false"/>
          <w:i w:val="false"/>
          <w:color w:val="000000"/>
          <w:sz w:val="28"/>
        </w:rPr>
        <w:t>
      9.6. Во всем ином, не предусмотренном настоящим Договором, Стороны руководствуются действующим законодательством Республики Казахстан.</w:t>
      </w:r>
    </w:p>
    <w:p>
      <w:pPr>
        <w:spacing w:after="0"/>
        <w:ind w:left="0"/>
        <w:jc w:val="both"/>
      </w:pPr>
      <w:r>
        <w:rPr>
          <w:rFonts w:ascii="Times New Roman"/>
          <w:b w:val="false"/>
          <w:i w:val="false"/>
          <w:color w:val="000000"/>
          <w:sz w:val="28"/>
        </w:rPr>
        <w:t>      10. Юридические адреса, банковские реквизиты и подписи сторон: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0"/>
        <w:gridCol w:w="2600"/>
        <w:gridCol w:w="2600"/>
        <w:gridCol w:w="2600"/>
        <w:gridCol w:w="2600"/>
      </w:tblGrid>
      <w:tr>
        <w:trPr>
          <w:trHeight w:val="30" w:hRule="atLeast"/>
        </w:trPr>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Компания:</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Финансовая Организация:</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Собственник:</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Участник:</w:t>
            </w:r>
          </w:p>
        </w:tc>
      </w:tr>
      <w:tr>
        <w:trPr>
          <w:trHeight w:val="30" w:hRule="atLeast"/>
        </w:trPr>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Приложение   </w:t>
      </w:r>
      <w:r>
        <w:br/>
      </w:r>
      <w:r>
        <w:rPr>
          <w:rFonts w:ascii="Times New Roman"/>
          <w:b w:val="false"/>
          <w:i w:val="false"/>
          <w:color w:val="000000"/>
          <w:sz w:val="28"/>
        </w:rPr>
        <w:t xml:space="preserve">
к Договору   </w:t>
      </w:r>
      <w:r>
        <w:br/>
      </w:r>
      <w:r>
        <w:rPr>
          <w:rFonts w:ascii="Times New Roman"/>
          <w:b w:val="false"/>
          <w:i w:val="false"/>
          <w:color w:val="000000"/>
          <w:sz w:val="28"/>
        </w:rPr>
        <w:t xml:space="preserve">
субсидирования  </w:t>
      </w:r>
    </w:p>
    <w:p>
      <w:pPr>
        <w:spacing w:after="0"/>
        <w:ind w:left="0"/>
        <w:jc w:val="both"/>
      </w:pPr>
      <w:r>
        <w:rPr>
          <w:rFonts w:ascii="Times New Roman"/>
          <w:b w:val="false"/>
          <w:i w:val="false"/>
          <w:color w:val="000000"/>
          <w:sz w:val="28"/>
        </w:rPr>
        <w:t>   Информация о субсидировании процентной ставки в рамках реализации</w:t>
      </w:r>
      <w:r>
        <w:br/>
      </w:r>
      <w:r>
        <w:rPr>
          <w:rFonts w:ascii="Times New Roman"/>
          <w:b w:val="false"/>
          <w:i w:val="false"/>
          <w:color w:val="000000"/>
          <w:sz w:val="28"/>
        </w:rPr>
        <w:t>
      Программы посткризисного восстановления (оздоровление</w:t>
      </w:r>
      <w:r>
        <w:br/>
      </w:r>
      <w:r>
        <w:rPr>
          <w:rFonts w:ascii="Times New Roman"/>
          <w:b w:val="false"/>
          <w:i w:val="false"/>
          <w:color w:val="000000"/>
          <w:sz w:val="28"/>
        </w:rPr>
        <w:t>
   конкурентоспособных предприятий), за ____________ 20___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5"/>
        <w:gridCol w:w="2010"/>
        <w:gridCol w:w="2286"/>
        <w:gridCol w:w="1882"/>
        <w:gridCol w:w="1288"/>
        <w:gridCol w:w="1500"/>
        <w:gridCol w:w="1628"/>
        <w:gridCol w:w="1671"/>
      </w:tblGrid>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участника</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и</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заключения</w:t>
            </w:r>
            <w:r>
              <w:br/>
            </w:r>
            <w:r>
              <w:rPr>
                <w:rFonts w:ascii="Times New Roman"/>
                <w:b w:val="false"/>
                <w:i w:val="false"/>
                <w:color w:val="000000"/>
                <w:sz w:val="20"/>
              </w:rPr>
              <w:t>
</w:t>
            </w:r>
            <w:r>
              <w:rPr>
                <w:rFonts w:ascii="Times New Roman"/>
                <w:b w:val="false"/>
                <w:i w:val="false"/>
                <w:color w:val="000000"/>
                <w:sz w:val="20"/>
              </w:rPr>
              <w:t>договора</w:t>
            </w:r>
            <w:r>
              <w:br/>
            </w:r>
            <w:r>
              <w:rPr>
                <w:rFonts w:ascii="Times New Roman"/>
                <w:b w:val="false"/>
                <w:i w:val="false"/>
                <w:color w:val="000000"/>
                <w:sz w:val="20"/>
              </w:rPr>
              <w:t>
</w:t>
            </w:r>
            <w:r>
              <w:rPr>
                <w:rFonts w:ascii="Times New Roman"/>
                <w:b w:val="false"/>
                <w:i w:val="false"/>
                <w:color w:val="000000"/>
                <w:sz w:val="20"/>
              </w:rPr>
              <w:t>субсидирования</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w:t>
            </w:r>
            <w:r>
              <w:br/>
            </w:r>
            <w:r>
              <w:rPr>
                <w:rFonts w:ascii="Times New Roman"/>
                <w:b w:val="false"/>
                <w:i w:val="false"/>
                <w:color w:val="000000"/>
                <w:sz w:val="20"/>
              </w:rPr>
              <w:t>
</w:t>
            </w:r>
            <w:r>
              <w:rPr>
                <w:rFonts w:ascii="Times New Roman"/>
                <w:b w:val="false"/>
                <w:i w:val="false"/>
                <w:color w:val="000000"/>
                <w:sz w:val="20"/>
              </w:rPr>
              <w:t>вознаг-</w:t>
            </w:r>
            <w:r>
              <w:br/>
            </w:r>
            <w:r>
              <w:rPr>
                <w:rFonts w:ascii="Times New Roman"/>
                <w:b w:val="false"/>
                <w:i w:val="false"/>
                <w:color w:val="000000"/>
                <w:sz w:val="20"/>
              </w:rPr>
              <w:t>
</w:t>
            </w:r>
            <w:r>
              <w:rPr>
                <w:rFonts w:ascii="Times New Roman"/>
                <w:b w:val="false"/>
                <w:i w:val="false"/>
                <w:color w:val="000000"/>
                <w:sz w:val="20"/>
              </w:rPr>
              <w:t>раждения</w:t>
            </w:r>
            <w:r>
              <w:br/>
            </w:r>
            <w:r>
              <w:rPr>
                <w:rFonts w:ascii="Times New Roman"/>
                <w:b w:val="false"/>
                <w:i w:val="false"/>
                <w:color w:val="000000"/>
                <w:sz w:val="20"/>
              </w:rPr>
              <w:t>
</w:t>
            </w:r>
            <w:r>
              <w:rPr>
                <w:rFonts w:ascii="Times New Roman"/>
                <w:b w:val="false"/>
                <w:i w:val="false"/>
                <w:color w:val="000000"/>
                <w:sz w:val="20"/>
              </w:rPr>
              <w:t>(%) (гр.</w:t>
            </w:r>
            <w:r>
              <w:br/>
            </w:r>
            <w:r>
              <w:rPr>
                <w:rFonts w:ascii="Times New Roman"/>
                <w:b w:val="false"/>
                <w:i w:val="false"/>
                <w:color w:val="000000"/>
                <w:sz w:val="20"/>
              </w:rPr>
              <w:t>
</w:t>
            </w:r>
            <w:r>
              <w:rPr>
                <w:rFonts w:ascii="Times New Roman"/>
                <w:b w:val="false"/>
                <w:i w:val="false"/>
                <w:color w:val="000000"/>
                <w:sz w:val="20"/>
              </w:rPr>
              <w:t>5 + гр.</w:t>
            </w:r>
            <w:r>
              <w:br/>
            </w:r>
            <w:r>
              <w:rPr>
                <w:rFonts w:ascii="Times New Roman"/>
                <w:b w:val="false"/>
                <w:i w:val="false"/>
                <w:color w:val="000000"/>
                <w:sz w:val="20"/>
              </w:rPr>
              <w:t>
</w:t>
            </w:r>
            <w:r>
              <w:rPr>
                <w:rFonts w:ascii="Times New Roman"/>
                <w:b w:val="false"/>
                <w:i w:val="false"/>
                <w:color w:val="000000"/>
                <w:sz w:val="20"/>
              </w:rPr>
              <w:t>6)</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Субсидируемая</w:t>
            </w:r>
            <w:r>
              <w:br/>
            </w:r>
            <w:r>
              <w:rPr>
                <w:rFonts w:ascii="Times New Roman"/>
                <w:b w:val="false"/>
                <w:i w:val="false"/>
                <w:color w:val="000000"/>
                <w:sz w:val="20"/>
              </w:rPr>
              <w:t>
</w:t>
            </w:r>
            <w:r>
              <w:rPr>
                <w:rFonts w:ascii="Times New Roman"/>
                <w:b w:val="false"/>
                <w:i w:val="false"/>
                <w:color w:val="000000"/>
                <w:sz w:val="20"/>
              </w:rPr>
              <w:t>ставка вознаграждения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rPr>
                <w:rFonts w:ascii="Times New Roman"/>
                <w:b w:val="false"/>
                <w:i w:val="false"/>
                <w:color w:val="000000"/>
                <w:sz w:val="20"/>
              </w:rPr>
              <w:t>субсидируемая</w:t>
            </w:r>
            <w:r>
              <w:br/>
            </w:r>
            <w:r>
              <w:rPr>
                <w:rFonts w:ascii="Times New Roman"/>
                <w:b w:val="false"/>
                <w:i w:val="false"/>
                <w:color w:val="000000"/>
                <w:sz w:val="20"/>
              </w:rPr>
              <w:t>
</w:t>
            </w:r>
            <w:r>
              <w:rPr>
                <w:rFonts w:ascii="Times New Roman"/>
                <w:b w:val="false"/>
                <w:i w:val="false"/>
                <w:color w:val="000000"/>
                <w:sz w:val="20"/>
              </w:rPr>
              <w:t>ставка</w:t>
            </w:r>
            <w:r>
              <w:br/>
            </w:r>
            <w:r>
              <w:rPr>
                <w:rFonts w:ascii="Times New Roman"/>
                <w:b w:val="false"/>
                <w:i w:val="false"/>
                <w:color w:val="000000"/>
                <w:sz w:val="20"/>
              </w:rPr>
              <w:t>
</w:t>
            </w:r>
            <w:r>
              <w:rPr>
                <w:rFonts w:ascii="Times New Roman"/>
                <w:b w:val="false"/>
                <w:i w:val="false"/>
                <w:color w:val="000000"/>
                <w:sz w:val="20"/>
              </w:rPr>
              <w:t>вознаграждения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Остаток</w:t>
            </w:r>
            <w:r>
              <w:br/>
            </w:r>
            <w:r>
              <w:rPr>
                <w:rFonts w:ascii="Times New Roman"/>
                <w:b w:val="false"/>
                <w:i w:val="false"/>
                <w:color w:val="000000"/>
                <w:sz w:val="20"/>
              </w:rPr>
              <w:t>
</w:t>
            </w:r>
            <w:r>
              <w:rPr>
                <w:rFonts w:ascii="Times New Roman"/>
                <w:b w:val="false"/>
                <w:i w:val="false"/>
                <w:color w:val="000000"/>
                <w:sz w:val="20"/>
              </w:rPr>
              <w:t>основного</w:t>
            </w:r>
            <w:r>
              <w:br/>
            </w:r>
            <w:r>
              <w:rPr>
                <w:rFonts w:ascii="Times New Roman"/>
                <w:b w:val="false"/>
                <w:i w:val="false"/>
                <w:color w:val="000000"/>
                <w:sz w:val="20"/>
              </w:rPr>
              <w:t>
</w:t>
            </w:r>
            <w:r>
              <w:rPr>
                <w:rFonts w:ascii="Times New Roman"/>
                <w:b w:val="false"/>
                <w:i w:val="false"/>
                <w:color w:val="000000"/>
                <w:sz w:val="20"/>
              </w:rPr>
              <w:t>долга на</w:t>
            </w:r>
            <w:r>
              <w:br/>
            </w:r>
            <w:r>
              <w:rPr>
                <w:rFonts w:ascii="Times New Roman"/>
                <w:b w:val="false"/>
                <w:i w:val="false"/>
                <w:color w:val="000000"/>
                <w:sz w:val="20"/>
              </w:rPr>
              <w:t>
</w:t>
            </w:r>
            <w:r>
              <w:rPr>
                <w:rFonts w:ascii="Times New Roman"/>
                <w:b w:val="false"/>
                <w:i w:val="false"/>
                <w:color w:val="000000"/>
                <w:sz w:val="20"/>
              </w:rPr>
              <w:t>конец</w:t>
            </w:r>
            <w:r>
              <w:br/>
            </w:r>
            <w:r>
              <w:rPr>
                <w:rFonts w:ascii="Times New Roman"/>
                <w:b w:val="false"/>
                <w:i w:val="false"/>
                <w:color w:val="000000"/>
                <w:sz w:val="20"/>
              </w:rPr>
              <w:t>
</w:t>
            </w:r>
            <w:r>
              <w:rPr>
                <w:rFonts w:ascii="Times New Roman"/>
                <w:b w:val="false"/>
                <w:i w:val="false"/>
                <w:color w:val="000000"/>
                <w:sz w:val="20"/>
              </w:rPr>
              <w:t>отчетного</w:t>
            </w:r>
            <w:r>
              <w:br/>
            </w:r>
            <w:r>
              <w:rPr>
                <w:rFonts w:ascii="Times New Roman"/>
                <w:b w:val="false"/>
                <w:i w:val="false"/>
                <w:color w:val="000000"/>
                <w:sz w:val="20"/>
              </w:rPr>
              <w:t>
</w:t>
            </w:r>
            <w:r>
              <w:rPr>
                <w:rFonts w:ascii="Times New Roman"/>
                <w:b w:val="false"/>
                <w:i w:val="false"/>
                <w:color w:val="000000"/>
                <w:sz w:val="20"/>
              </w:rPr>
              <w:t>месяца/</w:t>
            </w:r>
            <w:r>
              <w:br/>
            </w:r>
            <w:r>
              <w:rPr>
                <w:rFonts w:ascii="Times New Roman"/>
                <w:b w:val="false"/>
                <w:i w:val="false"/>
                <w:color w:val="000000"/>
                <w:sz w:val="20"/>
              </w:rPr>
              <w:t>
</w:t>
            </w:r>
            <w:r>
              <w:rPr>
                <w:rFonts w:ascii="Times New Roman"/>
                <w:b w:val="false"/>
                <w:i w:val="false"/>
                <w:color w:val="000000"/>
                <w:sz w:val="20"/>
              </w:rPr>
              <w:t>номинальная</w:t>
            </w:r>
            <w:r>
              <w:br/>
            </w:r>
            <w:r>
              <w:rPr>
                <w:rFonts w:ascii="Times New Roman"/>
                <w:b w:val="false"/>
                <w:i w:val="false"/>
                <w:color w:val="000000"/>
                <w:sz w:val="20"/>
              </w:rPr>
              <w:t>
</w:t>
            </w:r>
            <w:r>
              <w:rPr>
                <w:rFonts w:ascii="Times New Roman"/>
                <w:b w:val="false"/>
                <w:i w:val="false"/>
                <w:color w:val="000000"/>
                <w:sz w:val="20"/>
              </w:rPr>
              <w:t>стоимость</w:t>
            </w:r>
            <w:r>
              <w:br/>
            </w:r>
            <w:r>
              <w:rPr>
                <w:rFonts w:ascii="Times New Roman"/>
                <w:b w:val="false"/>
                <w:i w:val="false"/>
                <w:color w:val="000000"/>
                <w:sz w:val="20"/>
              </w:rPr>
              <w:t>
</w:t>
            </w:r>
            <w:r>
              <w:rPr>
                <w:rFonts w:ascii="Times New Roman"/>
                <w:b w:val="false"/>
                <w:i w:val="false"/>
                <w:color w:val="000000"/>
                <w:sz w:val="20"/>
              </w:rPr>
              <w:t>размещенных</w:t>
            </w:r>
            <w:r>
              <w:br/>
            </w:r>
            <w:r>
              <w:rPr>
                <w:rFonts w:ascii="Times New Roman"/>
                <w:b w:val="false"/>
                <w:i w:val="false"/>
                <w:color w:val="000000"/>
                <w:sz w:val="20"/>
              </w:rPr>
              <w:t>
</w:t>
            </w:r>
            <w:r>
              <w:rPr>
                <w:rFonts w:ascii="Times New Roman"/>
                <w:b w:val="false"/>
                <w:i w:val="false"/>
                <w:color w:val="000000"/>
                <w:sz w:val="20"/>
              </w:rPr>
              <w:t>облигаций на</w:t>
            </w:r>
            <w:r>
              <w:br/>
            </w:r>
            <w:r>
              <w:rPr>
                <w:rFonts w:ascii="Times New Roman"/>
                <w:b w:val="false"/>
                <w:i w:val="false"/>
                <w:color w:val="000000"/>
                <w:sz w:val="20"/>
              </w:rPr>
              <w:t>
</w:t>
            </w:r>
            <w:r>
              <w:rPr>
                <w:rFonts w:ascii="Times New Roman"/>
                <w:b w:val="false"/>
                <w:i w:val="false"/>
                <w:color w:val="000000"/>
                <w:sz w:val="20"/>
              </w:rPr>
              <w:t>конец</w:t>
            </w:r>
            <w:r>
              <w:br/>
            </w:r>
            <w:r>
              <w:rPr>
                <w:rFonts w:ascii="Times New Roman"/>
                <w:b w:val="false"/>
                <w:i w:val="false"/>
                <w:color w:val="000000"/>
                <w:sz w:val="20"/>
              </w:rPr>
              <w:t>
</w:t>
            </w:r>
            <w:r>
              <w:rPr>
                <w:rFonts w:ascii="Times New Roman"/>
                <w:b w:val="false"/>
                <w:i w:val="false"/>
                <w:color w:val="000000"/>
                <w:sz w:val="20"/>
              </w:rPr>
              <w:t>отчетного</w:t>
            </w:r>
            <w:r>
              <w:br/>
            </w:r>
            <w:r>
              <w:rPr>
                <w:rFonts w:ascii="Times New Roman"/>
                <w:b w:val="false"/>
                <w:i w:val="false"/>
                <w:color w:val="000000"/>
                <w:sz w:val="20"/>
              </w:rPr>
              <w:t>
</w:t>
            </w:r>
            <w:r>
              <w:rPr>
                <w:rFonts w:ascii="Times New Roman"/>
                <w:b w:val="false"/>
                <w:i w:val="false"/>
                <w:color w:val="000000"/>
                <w:sz w:val="20"/>
              </w:rPr>
              <w:t>месяца (тг)</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погашаемого</w:t>
            </w:r>
            <w:r>
              <w:br/>
            </w:r>
            <w:r>
              <w:rPr>
                <w:rFonts w:ascii="Times New Roman"/>
                <w:b w:val="false"/>
                <w:i w:val="false"/>
                <w:color w:val="000000"/>
                <w:sz w:val="20"/>
              </w:rPr>
              <w:t>
</w:t>
            </w:r>
            <w:r>
              <w:rPr>
                <w:rFonts w:ascii="Times New Roman"/>
                <w:b w:val="false"/>
                <w:i w:val="false"/>
                <w:color w:val="000000"/>
                <w:sz w:val="20"/>
              </w:rPr>
              <w:t>основного</w:t>
            </w:r>
            <w:r>
              <w:br/>
            </w:r>
            <w:r>
              <w:rPr>
                <w:rFonts w:ascii="Times New Roman"/>
                <w:b w:val="false"/>
                <w:i w:val="false"/>
                <w:color w:val="000000"/>
                <w:sz w:val="20"/>
              </w:rPr>
              <w:t>
</w:t>
            </w:r>
            <w:r>
              <w:rPr>
                <w:rFonts w:ascii="Times New Roman"/>
                <w:b w:val="false"/>
                <w:i w:val="false"/>
                <w:color w:val="000000"/>
                <w:sz w:val="20"/>
              </w:rPr>
              <w:t>долга в</w:t>
            </w:r>
            <w:r>
              <w:br/>
            </w:r>
            <w:r>
              <w:rPr>
                <w:rFonts w:ascii="Times New Roman"/>
                <w:b w:val="false"/>
                <w:i w:val="false"/>
                <w:color w:val="000000"/>
                <w:sz w:val="20"/>
              </w:rPr>
              <w:t>
</w:t>
            </w:r>
            <w:r>
              <w:rPr>
                <w:rFonts w:ascii="Times New Roman"/>
                <w:b w:val="false"/>
                <w:i w:val="false"/>
                <w:color w:val="000000"/>
                <w:sz w:val="20"/>
              </w:rPr>
              <w:t>отчетном</w:t>
            </w:r>
            <w:r>
              <w:br/>
            </w:r>
            <w:r>
              <w:rPr>
                <w:rFonts w:ascii="Times New Roman"/>
                <w:b w:val="false"/>
                <w:i w:val="false"/>
                <w:color w:val="000000"/>
                <w:sz w:val="20"/>
              </w:rPr>
              <w:t>
</w:t>
            </w:r>
            <w:r>
              <w:rPr>
                <w:rFonts w:ascii="Times New Roman"/>
                <w:b w:val="false"/>
                <w:i w:val="false"/>
                <w:color w:val="000000"/>
                <w:sz w:val="20"/>
              </w:rPr>
              <w:t>месяце/</w:t>
            </w:r>
            <w:r>
              <w:br/>
            </w:r>
            <w:r>
              <w:rPr>
                <w:rFonts w:ascii="Times New Roman"/>
                <w:b w:val="false"/>
                <w:i w:val="false"/>
                <w:color w:val="000000"/>
                <w:sz w:val="20"/>
              </w:rPr>
              <w:t>
</w:t>
            </w:r>
            <w:r>
              <w:rPr>
                <w:rFonts w:ascii="Times New Roman"/>
                <w:b w:val="false"/>
                <w:i w:val="false"/>
                <w:color w:val="000000"/>
                <w:sz w:val="20"/>
              </w:rPr>
              <w:t>номинальная</w:t>
            </w:r>
            <w:r>
              <w:br/>
            </w:r>
            <w:r>
              <w:rPr>
                <w:rFonts w:ascii="Times New Roman"/>
                <w:b w:val="false"/>
                <w:i w:val="false"/>
                <w:color w:val="000000"/>
                <w:sz w:val="20"/>
              </w:rPr>
              <w:t>
</w:t>
            </w:r>
            <w:r>
              <w:rPr>
                <w:rFonts w:ascii="Times New Roman"/>
                <w:b w:val="false"/>
                <w:i w:val="false"/>
                <w:color w:val="000000"/>
                <w:sz w:val="20"/>
              </w:rPr>
              <w:t>стоимость</w:t>
            </w:r>
            <w:r>
              <w:br/>
            </w:r>
            <w:r>
              <w:rPr>
                <w:rFonts w:ascii="Times New Roman"/>
                <w:b w:val="false"/>
                <w:i w:val="false"/>
                <w:color w:val="000000"/>
                <w:sz w:val="20"/>
              </w:rPr>
              <w:t>
</w:t>
            </w:r>
            <w:r>
              <w:rPr>
                <w:rFonts w:ascii="Times New Roman"/>
                <w:b w:val="false"/>
                <w:i w:val="false"/>
                <w:color w:val="000000"/>
                <w:sz w:val="20"/>
              </w:rPr>
              <w:t>выкупаемых</w:t>
            </w:r>
            <w:r>
              <w:br/>
            </w:r>
            <w:r>
              <w:rPr>
                <w:rFonts w:ascii="Times New Roman"/>
                <w:b w:val="false"/>
                <w:i w:val="false"/>
                <w:color w:val="000000"/>
                <w:sz w:val="20"/>
              </w:rPr>
              <w:t>
</w:t>
            </w:r>
            <w:r>
              <w:rPr>
                <w:rFonts w:ascii="Times New Roman"/>
                <w:b w:val="false"/>
                <w:i w:val="false"/>
                <w:color w:val="000000"/>
                <w:sz w:val="20"/>
              </w:rPr>
              <w:t>облигаций в</w:t>
            </w:r>
            <w:r>
              <w:br/>
            </w:r>
            <w:r>
              <w:rPr>
                <w:rFonts w:ascii="Times New Roman"/>
                <w:b w:val="false"/>
                <w:i w:val="false"/>
                <w:color w:val="000000"/>
                <w:sz w:val="20"/>
              </w:rPr>
              <w:t>
</w:t>
            </w:r>
            <w:r>
              <w:rPr>
                <w:rFonts w:ascii="Times New Roman"/>
                <w:b w:val="false"/>
                <w:i w:val="false"/>
                <w:color w:val="000000"/>
                <w:sz w:val="20"/>
              </w:rPr>
              <w:t>отчетном</w:t>
            </w:r>
            <w:r>
              <w:br/>
            </w:r>
            <w:r>
              <w:rPr>
                <w:rFonts w:ascii="Times New Roman"/>
                <w:b w:val="false"/>
                <w:i w:val="false"/>
                <w:color w:val="000000"/>
                <w:sz w:val="20"/>
              </w:rPr>
              <w:t>
</w:t>
            </w:r>
            <w:r>
              <w:rPr>
                <w:rFonts w:ascii="Times New Roman"/>
                <w:b w:val="false"/>
                <w:i w:val="false"/>
                <w:color w:val="000000"/>
                <w:sz w:val="20"/>
              </w:rPr>
              <w:t>месяце (тг)</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43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5"/>
        <w:gridCol w:w="1653"/>
        <w:gridCol w:w="2045"/>
        <w:gridCol w:w="2231"/>
        <w:gridCol w:w="2626"/>
        <w:gridCol w:w="2440"/>
      </w:tblGrid>
      <w:tr>
        <w:trPr>
          <w:trHeight w:val="26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Фактически</w:t>
            </w:r>
            <w:r>
              <w:br/>
            </w:r>
            <w:r>
              <w:rPr>
                <w:rFonts w:ascii="Times New Roman"/>
                <w:b w:val="false"/>
                <w:i w:val="false"/>
                <w:color w:val="000000"/>
                <w:sz w:val="20"/>
              </w:rPr>
              <w:t>
</w:t>
            </w:r>
            <w:r>
              <w:rPr>
                <w:rFonts w:ascii="Times New Roman"/>
                <w:b w:val="false"/>
                <w:i w:val="false"/>
                <w:color w:val="000000"/>
                <w:sz w:val="20"/>
              </w:rPr>
              <w:t>перечисленная сумма участником за отчетный месяц</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несубсидированной ставки</w:t>
            </w:r>
            <w:r>
              <w:br/>
            </w:r>
            <w:r>
              <w:rPr>
                <w:rFonts w:ascii="Times New Roman"/>
                <w:b w:val="false"/>
                <w:i w:val="false"/>
                <w:color w:val="000000"/>
                <w:sz w:val="20"/>
              </w:rPr>
              <w:t>
</w:t>
            </w:r>
            <w:r>
              <w:rPr>
                <w:rFonts w:ascii="Times New Roman"/>
                <w:b w:val="false"/>
                <w:i w:val="false"/>
                <w:color w:val="000000"/>
                <w:sz w:val="20"/>
              </w:rPr>
              <w:t>вознаграждения за</w:t>
            </w:r>
            <w:r>
              <w:br/>
            </w:r>
            <w:r>
              <w:rPr>
                <w:rFonts w:ascii="Times New Roman"/>
                <w:b w:val="false"/>
                <w:i w:val="false"/>
                <w:color w:val="000000"/>
                <w:sz w:val="20"/>
              </w:rPr>
              <w:t>
</w:t>
            </w: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месяц (тг)</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субсидированной ставки</w:t>
            </w:r>
            <w:r>
              <w:br/>
            </w:r>
            <w:r>
              <w:rPr>
                <w:rFonts w:ascii="Times New Roman"/>
                <w:b w:val="false"/>
                <w:i w:val="false"/>
                <w:color w:val="000000"/>
                <w:sz w:val="20"/>
              </w:rPr>
              <w:t>
</w:t>
            </w:r>
            <w:r>
              <w:rPr>
                <w:rFonts w:ascii="Times New Roman"/>
                <w:b w:val="false"/>
                <w:i w:val="false"/>
                <w:color w:val="000000"/>
                <w:sz w:val="20"/>
              </w:rPr>
              <w:t>вознаграждения</w:t>
            </w:r>
            <w:r>
              <w:br/>
            </w:r>
            <w:r>
              <w:rPr>
                <w:rFonts w:ascii="Times New Roman"/>
                <w:b w:val="false"/>
                <w:i w:val="false"/>
                <w:color w:val="000000"/>
                <w:sz w:val="20"/>
              </w:rPr>
              <w:t>
</w:t>
            </w:r>
            <w:r>
              <w:rPr>
                <w:rFonts w:ascii="Times New Roman"/>
                <w:b w:val="false"/>
                <w:i w:val="false"/>
                <w:color w:val="000000"/>
                <w:sz w:val="20"/>
              </w:rPr>
              <w:t>за отчетный</w:t>
            </w:r>
            <w:r>
              <w:br/>
            </w:r>
            <w:r>
              <w:rPr>
                <w:rFonts w:ascii="Times New Roman"/>
                <w:b w:val="false"/>
                <w:i w:val="false"/>
                <w:color w:val="000000"/>
                <w:sz w:val="20"/>
              </w:rPr>
              <w:t>
</w:t>
            </w:r>
            <w:r>
              <w:rPr>
                <w:rFonts w:ascii="Times New Roman"/>
                <w:b w:val="false"/>
                <w:i w:val="false"/>
                <w:color w:val="000000"/>
                <w:sz w:val="20"/>
              </w:rPr>
              <w:t>месяц (тг)</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Фактически</w:t>
            </w:r>
            <w:r>
              <w:br/>
            </w:r>
            <w:r>
              <w:rPr>
                <w:rFonts w:ascii="Times New Roman"/>
                <w:b w:val="false"/>
                <w:i w:val="false"/>
                <w:color w:val="000000"/>
                <w:sz w:val="20"/>
              </w:rPr>
              <w:t>
</w:t>
            </w:r>
            <w:r>
              <w:rPr>
                <w:rFonts w:ascii="Times New Roman"/>
                <w:b w:val="false"/>
                <w:i w:val="false"/>
                <w:color w:val="000000"/>
                <w:sz w:val="20"/>
              </w:rPr>
              <w:t>перечисленная</w:t>
            </w:r>
            <w:r>
              <w:br/>
            </w:r>
            <w:r>
              <w:rPr>
                <w:rFonts w:ascii="Times New Roman"/>
                <w:b w:val="false"/>
                <w:i w:val="false"/>
                <w:color w:val="000000"/>
                <w:sz w:val="20"/>
              </w:rPr>
              <w:t>
</w:t>
            </w:r>
            <w:r>
              <w:rPr>
                <w:rFonts w:ascii="Times New Roman"/>
                <w:b w:val="false"/>
                <w:i w:val="false"/>
                <w:color w:val="000000"/>
                <w:sz w:val="20"/>
              </w:rPr>
              <w:t>сумма субсидий</w:t>
            </w:r>
            <w:r>
              <w:br/>
            </w:r>
            <w:r>
              <w:rPr>
                <w:rFonts w:ascii="Times New Roman"/>
                <w:b w:val="false"/>
                <w:i w:val="false"/>
                <w:color w:val="000000"/>
                <w:sz w:val="20"/>
              </w:rPr>
              <w:t>
</w:t>
            </w:r>
            <w:r>
              <w:rPr>
                <w:rFonts w:ascii="Times New Roman"/>
                <w:b w:val="false"/>
                <w:i w:val="false"/>
                <w:color w:val="000000"/>
                <w:sz w:val="20"/>
              </w:rPr>
              <w:t>оператором по</w:t>
            </w:r>
            <w:r>
              <w:br/>
            </w:r>
            <w:r>
              <w:rPr>
                <w:rFonts w:ascii="Times New Roman"/>
                <w:b w:val="false"/>
                <w:i w:val="false"/>
                <w:color w:val="000000"/>
                <w:sz w:val="20"/>
              </w:rPr>
              <w:t>
</w:t>
            </w:r>
            <w:r>
              <w:rPr>
                <w:rFonts w:ascii="Times New Roman"/>
                <w:b w:val="false"/>
                <w:i w:val="false"/>
                <w:color w:val="000000"/>
                <w:sz w:val="20"/>
              </w:rPr>
              <w:t>субсидированию</w:t>
            </w:r>
            <w:r>
              <w:br/>
            </w:r>
            <w:r>
              <w:rPr>
                <w:rFonts w:ascii="Times New Roman"/>
                <w:b w:val="false"/>
                <w:i w:val="false"/>
                <w:color w:val="000000"/>
                <w:sz w:val="20"/>
              </w:rPr>
              <w:t>
</w:t>
            </w:r>
            <w:r>
              <w:rPr>
                <w:rFonts w:ascii="Times New Roman"/>
                <w:b w:val="false"/>
                <w:i w:val="false"/>
                <w:color w:val="000000"/>
                <w:sz w:val="20"/>
              </w:rPr>
              <w:t>за отчетный</w:t>
            </w:r>
            <w:r>
              <w:br/>
            </w:r>
            <w:r>
              <w:rPr>
                <w:rFonts w:ascii="Times New Roman"/>
                <w:b w:val="false"/>
                <w:i w:val="false"/>
                <w:color w:val="000000"/>
                <w:sz w:val="20"/>
              </w:rPr>
              <w:t>
</w:t>
            </w:r>
            <w:r>
              <w:rPr>
                <w:rFonts w:ascii="Times New Roman"/>
                <w:b w:val="false"/>
                <w:i w:val="false"/>
                <w:color w:val="000000"/>
                <w:sz w:val="20"/>
              </w:rPr>
              <w:t>месяц (тг)</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Фактически</w:t>
            </w:r>
            <w:r>
              <w:br/>
            </w:r>
            <w:r>
              <w:rPr>
                <w:rFonts w:ascii="Times New Roman"/>
                <w:b w:val="false"/>
                <w:i w:val="false"/>
                <w:color w:val="000000"/>
                <w:sz w:val="20"/>
              </w:rPr>
              <w:t>
</w:t>
            </w:r>
            <w:r>
              <w:rPr>
                <w:rFonts w:ascii="Times New Roman"/>
                <w:b w:val="false"/>
                <w:i w:val="false"/>
                <w:color w:val="000000"/>
                <w:sz w:val="20"/>
              </w:rPr>
              <w:t>субсидированная</w:t>
            </w:r>
            <w:r>
              <w:br/>
            </w:r>
            <w:r>
              <w:rPr>
                <w:rFonts w:ascii="Times New Roman"/>
                <w:b w:val="false"/>
                <w:i w:val="false"/>
                <w:color w:val="000000"/>
                <w:sz w:val="20"/>
              </w:rPr>
              <w:t>
</w:t>
            </w: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вознаграждения</w:t>
            </w:r>
            <w:r>
              <w:br/>
            </w:r>
            <w:r>
              <w:rPr>
                <w:rFonts w:ascii="Times New Roman"/>
                <w:b w:val="false"/>
                <w:i w:val="false"/>
                <w:color w:val="000000"/>
                <w:sz w:val="20"/>
              </w:rPr>
              <w:t>
</w:t>
            </w:r>
            <w:r>
              <w:rPr>
                <w:rFonts w:ascii="Times New Roman"/>
                <w:b w:val="false"/>
                <w:i w:val="false"/>
                <w:color w:val="000000"/>
                <w:sz w:val="20"/>
              </w:rPr>
              <w:t>за отчетный</w:t>
            </w:r>
            <w:r>
              <w:br/>
            </w:r>
            <w:r>
              <w:rPr>
                <w:rFonts w:ascii="Times New Roman"/>
                <w:b w:val="false"/>
                <w:i w:val="false"/>
                <w:color w:val="000000"/>
                <w:sz w:val="20"/>
              </w:rPr>
              <w:t>
</w:t>
            </w:r>
            <w:r>
              <w:rPr>
                <w:rFonts w:ascii="Times New Roman"/>
                <w:b w:val="false"/>
                <w:i w:val="false"/>
                <w:color w:val="000000"/>
                <w:sz w:val="20"/>
              </w:rPr>
              <w:t>месяц (тг)</w:t>
            </w:r>
          </w:p>
        </w:tc>
      </w:tr>
      <w:tr>
        <w:trPr>
          <w:trHeight w:val="3255" w:hRule="atLeast"/>
        </w:trPr>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w:t>
            </w:r>
            <w:r>
              <w:br/>
            </w:r>
            <w:r>
              <w:rPr>
                <w:rFonts w:ascii="Times New Roman"/>
                <w:b w:val="false"/>
                <w:i w:val="false"/>
                <w:color w:val="000000"/>
                <w:sz w:val="20"/>
              </w:rPr>
              <w:t>
</w:t>
            </w:r>
            <w:r>
              <w:rPr>
                <w:rFonts w:ascii="Times New Roman"/>
                <w:b w:val="false"/>
                <w:i w:val="false"/>
                <w:color w:val="000000"/>
                <w:sz w:val="20"/>
              </w:rPr>
              <w:t>основного</w:t>
            </w:r>
            <w:r>
              <w:br/>
            </w:r>
            <w:r>
              <w:rPr>
                <w:rFonts w:ascii="Times New Roman"/>
                <w:b w:val="false"/>
                <w:i w:val="false"/>
                <w:color w:val="000000"/>
                <w:sz w:val="20"/>
              </w:rPr>
              <w:t>
</w:t>
            </w:r>
            <w:r>
              <w:rPr>
                <w:rFonts w:ascii="Times New Roman"/>
                <w:b w:val="false"/>
                <w:i w:val="false"/>
                <w:color w:val="000000"/>
                <w:sz w:val="20"/>
              </w:rPr>
              <w:t>долга/</w:t>
            </w:r>
            <w:r>
              <w:br/>
            </w:r>
            <w:r>
              <w:rPr>
                <w:rFonts w:ascii="Times New Roman"/>
                <w:b w:val="false"/>
                <w:i w:val="false"/>
                <w:color w:val="000000"/>
                <w:sz w:val="20"/>
              </w:rPr>
              <w:t>
</w:t>
            </w:r>
            <w:r>
              <w:rPr>
                <w:rFonts w:ascii="Times New Roman"/>
                <w:b w:val="false"/>
                <w:i w:val="false"/>
                <w:color w:val="000000"/>
                <w:sz w:val="20"/>
              </w:rPr>
              <w:t>номинальная</w:t>
            </w:r>
            <w:r>
              <w:br/>
            </w:r>
            <w:r>
              <w:rPr>
                <w:rFonts w:ascii="Times New Roman"/>
                <w:b w:val="false"/>
                <w:i w:val="false"/>
                <w:color w:val="000000"/>
                <w:sz w:val="20"/>
              </w:rPr>
              <w:t>
</w:t>
            </w:r>
            <w:r>
              <w:rPr>
                <w:rFonts w:ascii="Times New Roman"/>
                <w:b w:val="false"/>
                <w:i w:val="false"/>
                <w:color w:val="000000"/>
                <w:sz w:val="20"/>
              </w:rPr>
              <w:t>стоимость</w:t>
            </w:r>
            <w:r>
              <w:br/>
            </w:r>
            <w:r>
              <w:rPr>
                <w:rFonts w:ascii="Times New Roman"/>
                <w:b w:val="false"/>
                <w:i w:val="false"/>
                <w:color w:val="000000"/>
                <w:sz w:val="20"/>
              </w:rPr>
              <w:t>
</w:t>
            </w:r>
            <w:r>
              <w:rPr>
                <w:rFonts w:ascii="Times New Roman"/>
                <w:b w:val="false"/>
                <w:i w:val="false"/>
                <w:color w:val="000000"/>
                <w:sz w:val="20"/>
              </w:rPr>
              <w:t>выкупленных</w:t>
            </w:r>
            <w:r>
              <w:br/>
            </w:r>
            <w:r>
              <w:rPr>
                <w:rFonts w:ascii="Times New Roman"/>
                <w:b w:val="false"/>
                <w:i w:val="false"/>
                <w:color w:val="000000"/>
                <w:sz w:val="20"/>
              </w:rPr>
              <w:t>
</w:t>
            </w:r>
            <w:r>
              <w:rPr>
                <w:rFonts w:ascii="Times New Roman"/>
                <w:b w:val="false"/>
                <w:i w:val="false"/>
                <w:color w:val="000000"/>
                <w:sz w:val="20"/>
              </w:rPr>
              <w:t>облигаций</w:t>
            </w:r>
            <w:r>
              <w:br/>
            </w:r>
            <w:r>
              <w:rPr>
                <w:rFonts w:ascii="Times New Roman"/>
                <w:b w:val="false"/>
                <w:i w:val="false"/>
                <w:color w:val="000000"/>
                <w:sz w:val="20"/>
              </w:rPr>
              <w:t>
</w:t>
            </w:r>
            <w:r>
              <w:rPr>
                <w:rFonts w:ascii="Times New Roman"/>
                <w:b w:val="false"/>
                <w:i w:val="false"/>
                <w:color w:val="000000"/>
                <w:sz w:val="20"/>
              </w:rPr>
              <w:t>(тг)</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не</w:t>
            </w:r>
            <w:r>
              <w:rPr>
                <w:rFonts w:ascii="Times New Roman"/>
                <w:b w:val="false"/>
                <w:i w:val="false"/>
                <w:color w:val="000000"/>
                <w:sz w:val="20"/>
              </w:rPr>
              <w:t>субсиди</w:t>
            </w:r>
            <w:r>
              <w:rPr>
                <w:rFonts w:ascii="Times New Roman"/>
                <w:b w:val="false"/>
                <w:i w:val="false"/>
                <w:color w:val="000000"/>
                <w:sz w:val="20"/>
              </w:rPr>
              <w:t>рованной</w:t>
            </w:r>
            <w:r>
              <w:br/>
            </w:r>
            <w:r>
              <w:rPr>
                <w:rFonts w:ascii="Times New Roman"/>
                <w:b w:val="false"/>
                <w:i w:val="false"/>
                <w:color w:val="000000"/>
                <w:sz w:val="20"/>
              </w:rPr>
              <w:t>
</w:t>
            </w:r>
            <w:r>
              <w:rPr>
                <w:rFonts w:ascii="Times New Roman"/>
                <w:b w:val="false"/>
                <w:i w:val="false"/>
                <w:color w:val="000000"/>
                <w:sz w:val="20"/>
              </w:rPr>
              <w:t>ставки</w:t>
            </w:r>
            <w:r>
              <w:br/>
            </w:r>
            <w:r>
              <w:rPr>
                <w:rFonts w:ascii="Times New Roman"/>
                <w:b w:val="false"/>
                <w:i w:val="false"/>
                <w:color w:val="000000"/>
                <w:sz w:val="20"/>
              </w:rPr>
              <w:t>
</w:t>
            </w:r>
            <w:r>
              <w:rPr>
                <w:rFonts w:ascii="Times New Roman"/>
                <w:b w:val="false"/>
                <w:i w:val="false"/>
                <w:color w:val="000000"/>
                <w:sz w:val="20"/>
              </w:rPr>
              <w:t>вознаграждения (тг)</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555" w:hRule="atLeast"/>
        </w:trPr>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Руководитель ________________________ ___________________</w:t>
      </w:r>
      <w:r>
        <w:br/>
      </w:r>
      <w:r>
        <w:rPr>
          <w:rFonts w:ascii="Times New Roman"/>
          <w:b w:val="false"/>
          <w:i w:val="false"/>
          <w:color w:val="000000"/>
          <w:sz w:val="28"/>
        </w:rPr>
        <w:t>
М.П. (Ф.И.О.) (подпись)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