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52954" w14:textId="9d529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Стратегическом плане Министерства труда и социальной защиты населения Республики Казахстан на 2014 - 2018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2013 года № 1595. Утратило силу постановлением Правительства Республики Казахстан от 11 марта 2015 года № 122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11.03.2015 </w:t>
      </w:r>
      <w:r>
        <w:rPr>
          <w:rFonts w:ascii="Times New Roman"/>
          <w:b w:val="false"/>
          <w:i w:val="false"/>
          <w:color w:val="ff0000"/>
          <w:sz w:val="28"/>
        </w:rPr>
        <w:t>№ 122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Вводится в действие с 1 января 2014 года.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62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Стратегический 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труда и социальной защиты населения Республики Казахстан на 2014 – 2018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2014 года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 С. Ахметов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декабря 2013 года № 1595 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Стратегический план</w:t>
      </w:r>
      <w:r>
        <w:br/>
      </w:r>
      <w:r>
        <w:rPr>
          <w:rFonts w:ascii="Times New Roman"/>
          <w:b/>
          <w:i w:val="false"/>
          <w:color w:val="000000"/>
        </w:rPr>
        <w:t>
Министерства труда и социальной защиты населения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на 2014 – 2018 годы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Миссия и видение 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Миссия</w:t>
      </w:r>
      <w:r>
        <w:rPr>
          <w:rFonts w:ascii="Times New Roman"/>
          <w:b w:val="false"/>
          <w:i w:val="false"/>
          <w:color w:val="000000"/>
          <w:sz w:val="28"/>
        </w:rPr>
        <w:t>: Защита трудовых прав, содействие продуктивной занятости и росту благосостояния населения.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Видение</w:t>
      </w:r>
      <w:r>
        <w:rPr>
          <w:rFonts w:ascii="Times New Roman"/>
          <w:b w:val="false"/>
          <w:i w:val="false"/>
          <w:color w:val="000000"/>
          <w:sz w:val="28"/>
        </w:rPr>
        <w:t>: Повышение уровня и качества жизни на основе расширения доступности продуктивной занятости, повышения уровня социального обеспечения, развития и оптимизации системы социальной поддержки населения.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Анализ текущей ситуации и тенденции развития</w:t>
      </w:r>
      <w:r>
        <w:br/>
      </w:r>
      <w:r>
        <w:rPr>
          <w:rFonts w:ascii="Times New Roman"/>
          <w:b/>
          <w:i w:val="false"/>
          <w:color w:val="000000"/>
        </w:rPr>
        <w:t>
соответствующих отраслей (сфер) деятельности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Стратегическое направление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Содействие росту трудовых ресурсов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 Стратегическим планом развития Республики Казахстан до 2020 года качественный рост экономики будет основан на модернизации физической инфраструктуры, развитии человеческих ресурсов и укреплении институциональной базы, способствующих форсированному индустриально-инновационному развитию страны.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данной проблемы зависит от улучшения демографической ситуации и обеспечения устойчивого роста численности населения. Для достижения предусмотренного Стратегическим планом развития Республики Казахстан до 2020 роста численности населения на 10 % необходимо обеспечить дальнейший рост рождаемости, увеличение общей продолжительности жизни и положительное сальдо миграции.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данных проблем предполагает координацию деятельности и организацию взаимодействия центральных и местных органов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труда и социальной защиты населения Республики Казахстан (далее – Министерство), являясь одним из звеньев в системе управления демографическими процессами, призвано содействовать созданию благоприятных условий для повышения рождаемости улучшения положения семей с детьми.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Основные направления деятельности Министерства по содействию росту рождаемости определены с учетом ее современного состояния.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параметры развития регулируемой сферы деятельности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истекший период отмечено увеличение численности населения: на 1 января 2013 года она составила 16,9 млн. человек, превысив уровень 1999 года на 1,9 млн.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Рост населения был обеспечен, главным образом, за счет роста рождаемости. В последние пять лет среднегодовое количество рожденных детей превысило 367,1 тыс.; коэффициент рождаемости в 2008 – 2012 годы составил 22,5 в среднем.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Рисунок 1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Динамика рождаемости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(общий коэффициент рождаемости на 1000 человек)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7899400" cy="379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99400" cy="379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Положительно изменилась возрастная структура населения. На начало 2013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доля граждан трудоспособного возраста увеличилась с 49,6 % (2003 г.) до 62,7 %;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доля детей до 18 лет приближается к одной трети населения страны.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улучшение демографической ситуации определенное влияние оказало развитие системы социальной поддержки семей с детьми. Начиная с 2003 года, поэтапно введены широко распространенные в международной практике: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единовременные государственные пособия на рождение ребенка в размерах от 30 месячного расчетного показателя (далее – МРП) (на рождение первого, второго и третьего ребенка) до 50 МРП (на рождение четвертого и последующих детей), выплачиваемые семьям из республиканского бюджета вне зависимости от дохода;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пособие по уходу за ребенком до 1 года. Неработающим матерям, оно выплачивается из республиканского бюджета вне зависимости от дохода в размере от 5,5 до 8,5 МРП (в зависимости от количества рожденных и воспитываемых в семье детей). Работающие матери получают социальные выплаты из АО «Государственный фонд социального страхования» в размере 40 % от их застрахованного дохода за последние 24 месяца до даты рождения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пособие родителям, опекунам, воспитывающим детей-инвалидов (введено с 2010 года) в размере минимальной заработной 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пособие на детей до 18 лет, назначаемое и выплачиваемое малообеспеченным семьям, доходы которых ниже продовольственной корзины, из местного бюджета в размере одного МРП.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2010 года изменены условия награждения многодетных матерей подвесками «Алтын алқа» и «Күміс алқа» и увеличены размеры выплачиваемого им специального государственного пособия (с 3,9 до 6 МРП).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период функционирования новой системы поддержки материнства и детства: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количество семей, получающих пособие на рождение ребенка, увеличилось с 157,5 тыс. (в 2003 году) до 381,2 тыс. (более чем в 2 раза);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удельный вес семей, имеющих четырех и более детей – с 7 % в 2003 году, до 9,2 % в 2012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2008 года введено обязательное социальное страхование на случай потери дохода в связи с беременностью и родами для работающих женщин. При наступлении данного риска работающая женщина получает социальную выплату в размере 100 % от застрахованного дохода за последние 12 месяцев до наступления риска за период, указанный в листе временной нетрудоспособности по беременности и родам. Источником финансирования данных выплат определен Государственный фонд социального страхования.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Вместе с тем, работодатель оплачивает часть отпуска по беременности и родам, отпуск работникам, усыновившим (удочерившим) новорожденного ребенка (детей), с сохранением средней заработной платы, если это предусмотрено условиями трудового и (или) коллективного договора, актом работодателя, за вычетом суммы социальной выплаты по беременности и родам из Государственного фонда социального страхования.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международной практике подобные выплаты осуществляются и в других странах. При этом источники финансирования могут быть различными, если в России – это Фонд социального страхования, то, к примеру, в Великобритании – это Правительство и работодатель, в Германии – Фонд медицинского страхования и работодатель.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основных проблем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Однако, на фоне положительных изменений, наблюдавшихся в последние годы, в демографической сфере имеют место и отдельные проблемы.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Относительно низкая плотность населения страны (5,7 человек на один квадратный километр) ограничивает возможности регионального развития и остается одним из факторов, влияющих на социально-экономическую стабильность.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Развитие тенденции старения населения. В перспективе (до 2020 года) прогнозируется увеличение доли населения старше трудоспособного возраста за счет лиц рожденных в послевоенное время (в период «бума рождаемости»). Тенденция старения населения сохранится и в последующие годы. По расчетам Агентства Республики Казахстан по статистике, доля пожилых людей к 2030 году увеличится до 11,1 – 11,3 %, к 2050 году – до 14,7 – 15 %.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Старение населения будет иметь весьма разнообразные последствия для экономического роста, сбережений и инвестиций, предложения рабочей силы и занятости, программ пенсионного обеспечения, здравоохранения и социального обслуживания, налогообложения, структуры семьи и жизненных укладов.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Дефицит трудовых ресурсов на национальном рынке труда.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Размеры детских и семейных пособий относительно невелики, что препятствует созданию равных стартовых возможностей развития детей.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основных внешних и внутренних факторов развития регулируемой сферы деятельности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сложившейся, таким образом, ситуации для обеспечения роста трудовых ресурсов будет продолжена реализация мер, направленных на усиление государственной поддержки семей, имеющих детей.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Предусматривается: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повышение размеров (индексация) пособий на рождение ребенка, по уходу за ребенком по достижению им одного года и специальных государственных пособий для многодетных матерей;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внедрение в пилотном режиме механизмов «обусловленной социальной помощи» и обеспечению доступа семей к социальным услугам;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развитие системы индивидуального сопровождения и обслуживания семей и детей, находящихся в трудной жизненной ситуации.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свою очередь на изменение динамики трудовых ресурсов оказывают влияние и миграционные потоки. Стабильная ситуация на рынке труда, рост благосостояния населения создает предпосылки к положительному сальдо миграции в стране.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долгосрочной перспективе немаловажное влияние будут оказывать мировые тенденции глобального развития, одной из которых является снижение численности экономически активного населения. В мире во многих странах прогнозируется сокращение численности населения в трудоспособном возрасте и, как следствие, снижение численности экономически активного населения, что приведет к сокращению предложения трудовых ресурсов и обострит ситуацию на рынке труда.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дальнейшем предусматривается продолжить совершенствование системы поддержки материнства и детства в целях создания благоприятных условий для повышения рождаемости и улучшения положения семей с детьми.</w:t>
      </w:r>
    </w:p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Стратегическое направление 2.</w:t>
      </w:r>
      <w:r>
        <w:br/>
      </w:r>
      <w:r>
        <w:rPr>
          <w:rFonts w:ascii="Times New Roman"/>
          <w:b/>
          <w:i w:val="false"/>
          <w:color w:val="000000"/>
        </w:rPr>
        <w:t xml:space="preserve">
Содействие продуктивной занятости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Осуществляя социальную модернизацию в политике занятости – деятельность Министерства будет направлена на повышение трудовой мотивации и всемерное содействие продуктивной занятости, с одной стороны, и удовлетворение потребностей экономики в высококвалифицированной рабочей силе – с другой.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Планируемое развитие системы управления социальными рисками в сфере занятости является отражением реалий, проблем и тенденций, сложившихся в данной сфере к настоящему времени.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параметры развития сферы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Рынок труда и занятость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ходе социально-экономических преобразований в стране создан динамично развивающийся рынок труда, устойчиво повышается экономическая активность и уровень занятости населения. Уровень экономической активности населения повысился с 68,6 % в 1991 году до 72 % – в третьем квартале 2013 года, численность занятого населения увеличилась с 7,7 млн. человек до 8,6 млн. человек. При этом преобладает занятость на предприятиях частной формы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Уровень безработицы снизился более чем в 2 раза – с 12,8 % в 2000 году до 5,3 % в 2012 году (в России – 5,3 %, Великобритании – 7,7 %, США – 7,8 %, Италии – 11,1 %, Испании – 26 % – по данным АС РК за 9 месяцев 2012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Численность безработного населения составила 474,8 тыс. человек, что в 2 раза меньше по отношению к 2000 году.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Динамика рынка труда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7747000" cy="307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747000" cy="307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Складывающая в последние годы стабильная положительная ситуация на рынке труда обуславливается также и реализацией своевременных антикризисных мер. Это, прежде всего – реализация Дорожных карт занятости (2009, 2010 годов). В 2011 году новая стратегия занятости получила свое развитие. По поручению Главы государства была разработана </w:t>
      </w:r>
      <w:r>
        <w:rPr>
          <w:rFonts w:ascii="Times New Roman"/>
          <w:b w:val="false"/>
          <w:i w:val="false"/>
          <w:color w:val="000000"/>
          <w:sz w:val="28"/>
        </w:rPr>
        <w:t>Программа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 (далее – Программа), нацеленная на повышение доходов населения, путем содействия устойчивой и продуктивной занятости, которая начала свой старт с 1 июля 2011 года и была преобразована в Дорожную карту занятости 2020 (далее – Программа).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2011 – 2013 годы на реализацию Программы выделено 200 млрд. тенге. Это позволило вовлечь в Программу около двухсот пятидесяти тысяч человек, из которых более половины ранее безработных, 30 % самостоятельно занятых. Оставшаяся часть подписавших контракт участников малообеспеченные (5,8 %) и наемные работники (0,7 %).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Трудоустроено 233,8 тыс. человек. Более 108 тыс. участников Программы направлено на обучение, по завершению которого трудоустроены порядка 80 %. На социальные рабочие места было трудоустроено 66,9 тыс. представителей целевых групп населения, временной работой в рамках молодежной практики было обеспечено 46,8 тыс. выпускников.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счет полученных в рамках Программы микрокредитов, собственное дело на селе открыли более 11 тыс. человек и расширили бизнес свыше 5 тысяч, в результате на дополнительно созданные места трудоустроено еще 12 217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населенные пункты с высоким экономическим потенциалом переселены около 11,3 тысяч человек. 80 % из числа переселившихся трудоспособных граждан получили постоянную работу.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рамках реализации 1485 проектов, были созданы 26,4 тыс. рабочих мест, на которые были привлечены 15 тыс. участников Программы.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основных проблем.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Вместе с тем, развитие национального рынка труда сталкивается с определенными проблемами и трудностями.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Национальный рынок труда не сбалансирован. Сохраняется безработица, особенно высок ее уровень среди молодежи. При наличии безработицы на предприятиях и в организациях сохраняются не заполненные рабочие места (вакансии). Не удовлетворяется спрос на работников массовых рабочих профессий, а также высококвалифицированных работников.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Неформальный сектор экономики продолжает занимать значительную часть экономически активного населения, лишенного социальной защиты. Более 37 % работающего населения являются непродуктивно занятыми.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Качество трудовых ресурсов не отвечает потребностям инновационной экономики (примерно треть занятого населения не имеют профессионального образования).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основных внешних и внутренних факторов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долгосрочной перспективе немаловажное влияние на состояние национального рынка труда будут оказывать мировые тенденции глобального развития, такие как урбанизация и научно-технический прогресс.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процессе быстрой урбанизации, происходит усиление интеграционных и глобализационных процессов, усиливается трудовая миграция населения. В целом, ожидается новая волна технологических изменений, усиливающая роль инноваций в социально-экономическом развитии. Происходит переход от добывающей и традиционной обрабатывающей промышленности к работе в сфере услуг и в наукоемких отраслях, что ведет к сокращению количества рабочих мест, требующих средней квалификации.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 воздействием внешних факторов будет использован имеющейся потенциал выработанных стратегий. Дальнейшее совершенствование </w:t>
      </w:r>
      <w:r>
        <w:rPr>
          <w:rFonts w:ascii="Times New Roman"/>
          <w:b w:val="false"/>
          <w:i w:val="false"/>
          <w:color w:val="000000"/>
          <w:sz w:val="28"/>
        </w:rPr>
        <w:t>Дорожной карты занятости 2020</w:t>
      </w:r>
      <w:r>
        <w:rPr>
          <w:rFonts w:ascii="Times New Roman"/>
          <w:b w:val="false"/>
          <w:i w:val="false"/>
          <w:color w:val="000000"/>
          <w:sz w:val="28"/>
        </w:rPr>
        <w:t xml:space="preserve"> будет предусматривать: введение института профориентации как среди старших классов общеобразовательных школ, так и среди претендентов на участие в Программе; усовершенствование механизмов поддержки предпринимательства на селе через содействие комплексному развитию опорных сел; поэтапную модернизацию центров занятости по примеру деятельности рекрутинговых компаний и широкое привлечение неправительственных организаций и частных агентств занятости к обучению и трудоустройству граждан; внедрение системы прогнозирования рынка труда; а также совершенствование системы мониторинга реализации программы и др.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Устойчивое развитие экономики, стабильная и продуктивная занятость создадут прочную основу для роста благосостояния населения.</w:t>
      </w:r>
    </w:p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Стратегическое направление 3.</w:t>
      </w:r>
      <w:r>
        <w:br/>
      </w:r>
      <w:r>
        <w:rPr>
          <w:rFonts w:ascii="Times New Roman"/>
          <w:b/>
          <w:i w:val="false"/>
          <w:color w:val="000000"/>
        </w:rPr>
        <w:t>
Реализация государственной политики в области</w:t>
      </w:r>
      <w:r>
        <w:br/>
      </w:r>
      <w:r>
        <w:rPr>
          <w:rFonts w:ascii="Times New Roman"/>
          <w:b/>
          <w:i w:val="false"/>
          <w:color w:val="000000"/>
        </w:rPr>
        <w:t>
миграции населения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оценкам Международной организации по миграции Казахстан относится к странам мира, где наблюдаются наиболее сильные миграционные процессы. Масштабы миграционных процессов, их влияние на социально-экономическую ситуацию в Казахстане будут нарастать.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Социально-экономические проблемы народонаселения и в частности миграции стоят в ряду основных вопросов всех высокоразвитых государств. Такие страны как США, Канада, Австралия и ряд европейских государств в настоящий период проводят особую селективную иммиграционную политику в отношении прибывающих иностранных граждан. Наряду с этим, ряд стран, в первую очередь, Германия, Израиль и Польша в целях сохранения национальной идентичности и самобытности своих государств проводят специфическую этно-историческую миграционную политику.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параметры развития сферы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настоящее время миграционная ситуация в республике характеризуется: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интенсивной внутренней миграцией. В Казахстане в течение последних лет сохраняется высокий показатель межрегиональной миграции и направления миграционных потоков. С 2006 по 2012 годы в процессы межрегиональной миграции было вовлечено более 1,5 млн. человек. Ее составляющими является миграция населения из сельских населенных пунктов в регионы с более высоким уровнем жизни и развитой инфраструктурой, из экологически неблагополучных регионов в регионы с лучшей экологической средой.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2012 году наибольший отток населения, преимущественно в трудоспособном возрасте, приходится на Южно-Казахстанскую, Жамбылскую, Восточно-Казахстанскую, Северо-Казахстанскую и Кызылординскую области. Основными регионами притока населения являются города Астана, Алматы, Алматинская и Мангистауская область;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снижением количества иностранной рабочей силы (далее – ИРС). В целях защиты внутреннего рынка труда на 2013 год установлена квота на привлечение иностранной рабочей силы – 1,2 % к экономически активному населению республики, в которой привлечены 25,2 тысяч иностранной рабочей силы или 5,9 % от числа наемных работников (в сравнении с 2008 годом число привлекаемых иностранных работников уменьшилась с 54204 до 25235 человек).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доля высококвалифицированной ИРС на 1 декабря 2013 года увеличилась до 74,4 % (для сравнения: в 2008 году – 47,9 %).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Работодателями, в рамках выполнения особых условий, возлагаемых при выдаче разрешений, за 11 месяцев 2013 года создано для казахстанских граждан – 18 437 дополнительных рабочих мест, свыше 22 тыс. человек прошли обучение, 287 иностранных специалистов заменено казахстанскими кадрами;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стабильной динамикой прибывающих ежегодно этнических казахов. За годы независимости на историческую родину прибыло свыше 250 тысяч семей или более 930 тыс. этнических казахов.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основных проблем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Миграционным процессам присущ ряд проблем, для решения которых необходимо усиление управления миграционной политикой.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Снижение миграционного прироста населения: сальдо миграции в 2012 году составило (– 1428).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Стихийное развитие процессов внутренней миграции, миграция из сельских регионов в города остается преобладающей формой межобластного территориального размещения.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Увеличение напряженности из-за неравномерного расселения иммигрантов по территории страны, медленная интеграция этнических казахов на исторической родине.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Незаконная миграция, увеличение иммиграции из стран с напряженным миграционным потенциалом.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основных внешних и внутренних факторов.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Внешние и внутренние объективные факторы, оказывающие влияние на миграционные процессы, можно условно разделить на три группы: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неуправляемые, постоянно действующие факторы – преимущественно климатические, географические, геологические и экологические факторы;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временные факторы, которые могут регулироваться косвенным воздействием – факторы, которые могут быть изменены постепенно. Это уровень освоенности территорий, в т.ч. создание производственной и социальной инфраструктуры; половой, возрастной, этнический состав населения. Немаловажным фактором влияния выступает и состав населения по продолжительности проживания;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регулируемые переменные факторы – увеличение заработной платы, установление или отмена определенных льгот, кадровая политика, изменения в национальной политике и так далее.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этой связи, на данном этапе развития Казахстана, необходимо создание комплексной системы регулирования миграционных потоков, с учетом всех внешних и внутренних факторов миграции.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Необходимо создание равных условий жизнеобеспечения во всех регионах страны, особенно в сельской местности, обеспечение продуктивной занятости населения, создание достаточного числа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тоже время глобализация экономики, политическая нестабильность и сложная социально-экономическая ситуация в сопредельных странах, неэффективные механизмы регулирования и контроля за миграционными потоками могут привести к росту неуправляемой миграции, давлению на внутренний рынок труда. Это давление будет ощущаться в условиях свободного перемещения рабочей силы в рамках единого экономического пространства, предстоящего вступления Казахстана во Всемирную торговую организацию в ближайшей перспективе.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этой связи предусматривается усиление мер по увеличению доли привлекаемой квалифицированной иностранной рабочей силы.</w:t>
      </w:r>
    </w:p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Стратегическое направление 4.</w:t>
      </w:r>
      <w:r>
        <w:br/>
      </w:r>
      <w:r>
        <w:rPr>
          <w:rFonts w:ascii="Times New Roman"/>
          <w:b/>
          <w:i w:val="false"/>
          <w:color w:val="000000"/>
        </w:rPr>
        <w:t>
Обеспечение реализации трудовых прав граждан.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Осуществляя социальную модернизацию в политике регулировании трудовых отношений – деятельность Министерства будет направлена на улучшение условий труда, сочетание социальной защищенности с экономической эффективностью, обеспечение стабильности на основе повышения переговорного потенциала и предупреждения трудовых конфликтов.</w:t>
      </w:r>
    </w:p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параметры развития сферы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Во исполнение поручений Главы государства в 2013 году проведена работа по обновлению трудового законодательства, и ряд законопроектов внесен на рассмотрение в Парламент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развития и повышения эффективности социального диалога разработан проект нового Закона Республики Казахстан «О профессиональных союзах», который направлен на повышение роли профессиональных организаций в представлении и защите интересов работников, предупреждении и разрешении трудовых споров и конфликтов (проект был обсужден с социальными партнерами на уровне республики и в регионах);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целях предупреждения рисков нарушения трудовых прав внесен законопроект, предусматривающий внесение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государственном контроле и надзоре в Республике Казахстан». Согласно законопроекту вводится новая форма государственного контроля в виде посещения и право государственной инспекции труда, без предварительной регистрации в соответствующих органах, осуществлять внеплановые проверки по соблюдению требований в области безопасности и охраны труда в случае возникновения угрозы жизни и здоровью работников;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нормы по закреплению ответственности лиц за умышленное провоцирование трудовой конфликтности, принуждение к забастовке, несвоевременную выплату зарплаты, невыполнение коллективных договоров и другие правонарушения вошли в проекты новых Уголовного, Административного кодексов.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декабре 2012 года Правительством принят 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организации правового всеобуча граждан основам трудового законодательства в Республике Казахстан на 2013 – 2015 годы. В результате его реализации в 2013 году правовым всеобучем были охвачены свыше 80 тысяч работников из 1895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Порядка 105 тыс. экземпляров специально разработанных справочников направлены в регионы для распространения в трудовых коллективах и для проведения обучения.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Наблюдается положительная динамика сокращения просроченной задолженности по заработной плате за последние три года (в 4 раза).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предприятиях страны внедрено 1266 международных и национальных стандартов по безопасности и охраны труда. Как следствие, в 2013 году снизился уровень производственного травматизма (на 1 января 2014 года на производстве пострадало 1 997 человек, в аналогичном периоде 2012 года – 2189 человек).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Коэффициент частоты несчастных случаев со смертельным исходом на 1000 работающих в последние годы в Республике Казахстан составил около 0,09, что ниже, чем аналогичный показатель в Российской Федерации (0,124), но в тоже время превышает соответствующий показатель в странах Евросоюза, таких как Дания (0,03), Швеция (0,03) или Норвегия (0,06).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2012 году коэффициент частоты несчастных случаев на 1000 работающих составил 0,45 (в том числе со смертельным исходом 0,06), на уровне аналогичного показателя в Кыргызстане (0,5), в Таджикистане (0,3), в то же время превышает показатель в России (3,92).</w:t>
      </w:r>
    </w:p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основных проблем.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Развитие трудовых отношений сталкивается с определенными проблемами и трудностями. Сохраняются нарушения трудового законодательства.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сферы трудовых отношений характерен относительно низкий переговорный потенциал, что влечет риск возникновения трудовых конфликтов. В 2013 году по республике было зарегистрировано 28 акций протеста, преимущественно вызванные несвоевременной выплатой заработной платы и требованиями повышения ее размеров. На 1 января 2014 года сумма задолженности по заработной плате по республике составляла 738 млн. тенге. Сохраняется достаточно высокий по международным меркам уровень производственного травматизма и профессиональных заболеваний.</w:t>
      </w:r>
    </w:p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основных внешних и внутренних факторов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Управление развитием трудовых отношений в перспективе будет осуществляться в соответствии с нормами </w:t>
      </w:r>
      <w:r>
        <w:rPr>
          <w:rFonts w:ascii="Times New Roman"/>
          <w:b w:val="false"/>
          <w:i w:val="false"/>
          <w:color w:val="000000"/>
          <w:sz w:val="28"/>
        </w:rPr>
        <w:t>Трудового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интересах сбалансированности интересов основных субъектов трудовых отношений и реализации их конституционных прав. Предполагается дальнейшее повышение роли социального диалога и рост социальной ответственности бизнеса.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Работа государственных инспекций по труду будет осуществляться в условиях необходимого снижения барьеров для бизнеса. Основное внимание в системе оценки рисков предстоит уделить профилактике правонарушений, рисков несчастных случаев на производстве, устранению имеющих место нарушений и недостатков.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Предусматривается разработка новой стратегии безопасности и охраны труда, направленной на концептуальное изменение идеологии системы управления охраной труда, включающей переход от компенсационной, затратной модели управления охраной труда к современной системе управления профессиональными рисками.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Будет внедрено добровольное декларирование соответствия условий труда одновременно с ужесточением ответственности работодателя за нарушение трудового законодательства.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Внешней средой для разработки и реализации государственной политики управления трудовыми отношениями остается глобализация экономики, развитие интеграционных процессов в рамках СНГ, ЕврАзЭС, формирование единого таможенного пространства.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учетом рекомендаций международных социальных институтов в целях сопоставимости будет продолжена работа над приближением национальных стандартов трудовых отношений к стандартам развитых стран.</w:t>
      </w:r>
    </w:p>
    <w:bookmarkStart w:name="z3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Стратегическое направление 5.</w:t>
      </w:r>
      <w:r>
        <w:br/>
      </w:r>
      <w:r>
        <w:rPr>
          <w:rFonts w:ascii="Times New Roman"/>
          <w:b/>
          <w:i w:val="false"/>
          <w:color w:val="000000"/>
        </w:rPr>
        <w:t xml:space="preserve">
Содействие повышению благосостояния населения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Осуществляя социальную модернизацию в социальном обеспечении – деятельность Министерства будет направлена на сочетание государственных гарантий с личной ответственностью граждан и работодателей за социальное обеспечение и адекватность размеров социальных выплат при наступлении основных социальных рисков, а также на предупреждение иждивенчества и активизацию трудового потенциала малообеспеченных граждан, сохранивших трудоспособность.</w:t>
      </w:r>
    </w:p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параметры развития сферы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Основная часть доходов населения формируется за счет заработной 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последние пять лет минимальный размер заработной платы увеличился в 1,4 раза (с 13 470 в 2009 году до 18 660 тенге в 2013 году). По размеру минимальной заработной платы на 1 января 2013 года среди стран СНГ Казахстан занимает 4 место после России, Беларуси, Украины.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Среднемесячная заработная плата одного работника по видам экономической деятельности в целом по стране – выросла в 1,7 раза и в 2013 году (на 1 декабря) составила 106 092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Посланиями Президента Республики Казахстан заработная плата работников бюджетной сферы в 2006 – 2007 гг. была повышена на 32 и 30 %, соответственно. Кроме того, в 2009 году и с 1 апреля 2010 года уровень заработной платы работников бюджетной сферы был увеличен на 25 %, а с 1 июля 2011 года - на 30 % и на 1 декабря 2013 года в среднем составляет 74 027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Подготовлен и обсуждается с представителями государственных органов и профсоюзов проект новой модели системы оплаты труда гражданских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восьми отраслях промышленности (горно-металлургической, машиностроительной, угольной, нефтегазовой, строительной, химической, электроэнергетической, железнодорожной) утверждены и применяются повышающие отраслевые коэффициенты для расчета минимального стандарта оплаты труда.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Второе место в составе доходов населения занимают социальные пособия.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в Казахстане функционирует соответствующая принципам рыночной экономики многоуровневая модель системы социального обеспечения, предусматривающая распределение ответственности за социальное обеспечение между государством, работодателем и работником.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Основанием социального обеспечения являются постоянно обновляемые минимальные социальные стандарты. В сравнении с 2009 г.: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прожиточный минимум увеличился с 13717 до 18660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минимальные размеры пенсий с учетом базовой пенсионной выплаты – более чем в 1,8 раза (с 15362 до 28396 тенге).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поручениями Главы государства, основными положениями социальной программы Народной платформы партии «Нұр Отан» и программой действий Правительства в 2009 – 2010 годах пенсионные выплаты ежегодно повышались на 25 %, с 2011 года – на 30 %; социальные выплаты в 2010 году – на 9 %, в 2011 г. – на 7 %. С 1 января 2012 года ежегодно повышаются размеры пенсионных выплат на 9 % (с опережением уровня инфляции на 2 %).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учетом этих повышений и выплат из накопительных пенсионных фондов средние размеры совокупных пенсионных выплат на 1 ноября 2013 года составили 45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мировой практике одним из критериев качества организации пенсионного обеспечения является адекватность размеров пенсий доходам, получаемым в период трудовой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Системное повышение размера пенсионных выплат позволило повысить жизненный уровень пожилых граждан и обеспечить один из наиболее высоких уровней пенсионного обеспечения среди стран СНГ.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Совокупный коэффициент замещения дохода за счет базовой и солидарной пенсионной выплат достиг в 2013 году 41,2 %, что превышает минимальные нормы МОТ (не менее 40 %).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Коэффициент замещения в межстрановом сопоставлении выглядит следующим образом: в среднем по странам организации экономического сотрудничества и развития (ОЭСР) — 56 – 57 %; в странах ЕС — около 50 %; в среднем по выборке формирующихся рынков, входящих в ОЭСР — 52 %; в Российской Федерации – 35 %.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Расширяется участие работников в накопительной пенсионной системе (далее – НПС) и системе обязательного социального страхования. Количество индивидуальных пенсионных счетов вкладчиков на 1 ноября 2013 года составило 8,7 млн., количество участников системы обязательного социального страхования достигло – 6,3 млн. человек.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время, в зависимости от финансово – экономических возможностей государства, начата поэтапная реализация поручений Главы государства озвученных в Обращении к народу Казахстана от 7 июня 2013 года по вопросам дальнейшего развития пенсионной системы. Создан единый накопительный пенсионный фонд, осуществляется перевод пенсионных активов и накоплений граждан в ЕНПФ в полном объеме. При этом сохраняются и обязательства государства по гарантии сохранности пенсионных накоплений в размере фактически внесенных взносов с учетом уровня инфляции.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Казахстане функционирует система социальной помощи, которая охватывает малообеспеченные слои населения. Она выступает в форме социальных выплат (специальные государственные пособия, адресная социальная помощь, государственные пособия детям до 18 лет из малообеспеченных семей, жилищная помощь и другое).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Системой адресной социальной помощи и поддержки в настоящее время охвачено более одного миллиона казахстанцев.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Уровень бедности в стране снижается – доля населения с доходами ниже величины прожиточного минимума в третьем квартале 2013 года составила 3,1 % против 10,5 % аналогичного периода 2009 года. Уровень бедности в Казахстане в сравнении со странами СНГ низкий, к примеру, в Белоруссии уровень бедности по итогам 2012 г. составил 6,3 %, на Украине – 7,8 %, в России – 11,0 %.</w:t>
      </w:r>
    </w:p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основных проблем.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Несмотря на принимаемые меры, уровень жизни в Республике Казахстан отстает от уровня наиболее развитых стран.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оплате труда сохраняется региональная и отраслевая дифференциация, заработная плата работников бюджетной сферы значительно отстает от ее уровня по экономике в целом. Несовершенны стандарты минимальной заработной платы. Нарушена зависимость оплаты труда от ее результатов – темпы роста заработной платы опережают темпы роста производительности труда.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системе социального обеспечения основной проблемой остается неадекватность социальных выплат прежним доходам и растущему уровню жизни в стране. Также отмечается недостаточный охват населения накопительной пенсионной системой.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Как следствие – в стране сохраняется бедность. Ей подвержены, в первую очередь, многодетные семьи и сельские жители. В категории бедных находятся и трудоспособные граждане, причиной этому является не только недостаточный для самореализации доход, но и отсутствие достаточных стимулов к труду (активных мер содействия занятости).</w:t>
      </w:r>
    </w:p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основных внешних и внутренних факторов.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Устойчивая макроэкономическая ситуация, возможность использования преимуществ, связанных с международным сотрудничеством, совершенствование системы управления социальными рисками остаются той средой, в рамках которой предстоит ответить на основные вызовы времени и обеспечить неуклонный рост благосостояния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доходах населения сохранится особое значение заработной платы.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социальным партнерам необходимо включать вопросы оплаты труда в систему коллективно-договорных отношений; расширить практику установления минимального стандарта оплаты труда; обеспечить зависимость заработной платы от производительности труда и конечных результатов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Кроме того, в перспективе предстоит дополнительно отработать и внедрить новую модель системы оплаты труда гражданских служащих.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Важным фактором усиления финансовой устойчивости системы социального обеспечения и социального страхования системы является обновление социального законодательства.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Начата поэтапная реализация поручений Главы государства озвученных в Обращении к народу Казахстана от 7 июня 2013 года по вопросам дальнейшего развития пенсионной системы.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увеличения пенсионных накоплений граждан с 2014 года вводятся: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обязательные профессиональные пенсионные взносы в размере 5 % от фонда оплаты труда (за счет работодателей) для лиц, занятых во вредных условиях 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государственное субсидирование пенсионных взносов для работающих женщин в период их нахождения в отпусках по рождению и уходу за детьми.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Далее предусматривается введение 5 % обязательных пенсионных взносов за счет работодателей и поэтапное повышение обязательных профессиональных пенсионных взносов до 10 %; выработка мер, направленных на повышение инвестиционной доходности пенсионных активов граждан, расширение охвата граждан пенсионной системой за счет введения стимулирующих мер и повышения привлекательности всей системы.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данных факторов должна стать основой работы Министерства по повышению благосостояния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Экономическая стабилизация и переход к индустриально-инновационному развитию расширят возможности использования экономического роста для решения важнейших социальных проблем и, в первую очередь, для преодоления бедности.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учетом результатов реализации в 2014 – 2015 гг. пилотного проекта предусматривается внедрить новые формы обусловленной денежной помощи. Механизмом усиления трудовой мотивации и вовлечения на рынок труда трудоспособных малообеспеченных категорий населения станет контрактная система, предусматривающая оказание активной поддержки при условии обязательного участия в программах профессиональной подготовки и переподготовки, поиска работы и трудоустройства.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Комплексное решение вопросов расширения доступности продуктивной занятости и снижения бедности позволит сузить круг лиц, нуждающихся в социальной помощи и поддержке, и усилить ее адресный характер.</w:t>
      </w:r>
    </w:p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Стратегическое направление 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Формирование эффективной системы социальной поддержки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уязвимых категорий населения.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параметры развития сферы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Республике Казахстан так же, как и в любой другой стране, определенная часть населения – лица пожилого возраста, инвалиды и иные представители целевых групп населения нуждаются в особой социальной поддержке. Она выступает в форме оказания специальных социальных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организации социальной поддержки повышается роль и расширяются полномочия местных органов государственного управления. Развивается партнерство с представителями гражданского общества, растет благотворительность.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смягчения бедности и повышения качества жизни активно используется предоставление специальных социальных услуг.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специальных социальных услугах» принимаются меры по повышению качества социального обслуживания лиц, оказавшихся в трудной жизненной ситуации. В настоящее время специальные социальные услуги получают около 80 тыс. граждан (инвалиды, лица пожилого возраста).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осуществляемой модернизации системы социального обслуживания внедрены стандарты оказания специальных социальных услуг, определен перечень гарантированного объема и расширены формы оказания специальных социальных услуг. На базе действующих медико-социальных учреждений в 13 регионах страны открыто 29 отделений дневного пребывания с охватом около 3 тысяч детей, имеющих инвалидность. К оказанию необходимых социальных услуг широко привлекаются неправительственные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Особое внимание в оказании социальной поддержки уделяется лицам с ограниченными возможностями.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социальной защите инвалидов в Республике Казахстан», на государственном уровне разработаны комплексные меры по медицинской, социальной и профессиональной реабилитации инвалидов. Оказание бесплатной гарантированной медицинской помощи, повышение качества социальных услуг, обеспечение доступности образования, информации, свободный выбор рода деятельности с учетом состояния здоровья, профессиональная подготовка и переподготовка, восстановление трудоспособности и содействие в трудоустройстве направлены на создание равных возможностей участия инвалидов в жизни общества.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Подтверждая приверженность к поэтапной имплементации международных стандартов в области прав инвалидов, Казахстан подписал в 2008 году </w:t>
      </w:r>
      <w:r>
        <w:rPr>
          <w:rFonts w:ascii="Times New Roman"/>
          <w:b w:val="false"/>
          <w:i w:val="false"/>
          <w:color w:val="000000"/>
          <w:sz w:val="28"/>
        </w:rPr>
        <w:t>Конвенцию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правах инвалидов и Факультативный протокол к ней. В рамках подготовки к ее ратификации поэтапно реализуется План мероприятий по обеспечению и улучшению качества жизни инвалидов на 2012 – 2018 годы, направленный на обеспечение доступной среды, создание необходимых условий для восстановления жизненных функций.</w:t>
      </w:r>
    </w:p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основных проблем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Важнейшими проблемами, требующими решения в системе социальной поддержки населения, остаются: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недостаточный охват нуждающегося населения социальной поддержкой;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недостаточная эффективность реабилитационных услуг, предоставляемых лицам с ограниченными возможностями;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недостаточное развитие альтернативных форм социального обслуживания и конкурентной среды на рынке специальных социальных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недостаточные возможности полноценного участия в жизни общества лиц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этих и иных проблем в системе социальной поддержки населения связано с различными причинами. Объективно они обусловлены макроэкономической ситуацией, финансово-экономическими возможностями и приоритетами общегосударственного и регионального масштаба. Субъективно – с несовершенством механизма оказания социальной поддержки, относительно низким профессионализмом и недостаточной ответственностью социальных работников, несовершенством и относительно низким уровнем оплаты их труда.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таких условиях дальнейшее развитие системы социальной поддержки требует максимально возможного использования имеющихся для этого внешних и внутренних факторов.</w:t>
      </w:r>
    </w:p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основных внешних и внутренних факторов.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Работа по социальной защите и созданию равных возможностей участия в общественной жизни для инвалидов в ближайшей перспективе будет осуществляться в рамках реализации международных обязательств, принятых на себя Казахстаном в связи с подписанием </w:t>
      </w:r>
      <w:r>
        <w:rPr>
          <w:rFonts w:ascii="Times New Roman"/>
          <w:b w:val="false"/>
          <w:i w:val="false"/>
          <w:color w:val="000000"/>
          <w:sz w:val="28"/>
        </w:rPr>
        <w:t>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правах инвалидов и Факультативного протокола к ней. Предусматривается утверждение и реализация второго этапа (2014 – 2015 годы) Плана мероприятий по обеспечению прав и улучшению качества жизни инвалидов в Республике Казахстан на 2012 – 2018 годы. Одной из важнейших мероприятий Плана является проведение унификации действующего законодательства.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тоже время для текущей ситуации характерна недостаточная интеграция инвалидов в общество и в большей степени это вызвано ограниченностью доступа инвалидов к жилищно-коммунальной, социальной и рекреционной инфраструктуре. В такой ситуации акимам областей, гг. Астана, Алматы необходимо будет принять незамедлительные меры. Для повышения доступности окружающей среды на местном уровне планируется улучшение работы по приспособлению к особым потребностям инвалидов дорожной инфраструктуры; расширение перечня транспортных услуг предоставляемых инвалидам, имеющим затруднения в передвижении; разработка карты доступности объектов и другое.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период до 2017 года предусматривается продолжение реформирования системы предоставления специальных социальных услуг.</w:t>
      </w:r>
    </w:p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3. Стратегические направления, цели, задачи,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целевые индикаторы, мероприятия и показатели результатов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Раздел с изменениями, внесенными постановлением Правительства РК от 12.06.2014 </w:t>
      </w:r>
      <w:r>
        <w:rPr>
          <w:rFonts w:ascii="Times New Roman"/>
          <w:b w:val="false"/>
          <w:i w:val="false"/>
          <w:color w:val="ff0000"/>
          <w:sz w:val="28"/>
        </w:rPr>
        <w:t>№ 643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06"/>
        <w:gridCol w:w="1317"/>
        <w:gridCol w:w="1137"/>
        <w:gridCol w:w="1317"/>
        <w:gridCol w:w="1137"/>
        <w:gridCol w:w="1137"/>
        <w:gridCol w:w="1137"/>
        <w:gridCol w:w="937"/>
        <w:gridCol w:w="937"/>
        <w:gridCol w:w="1118"/>
      </w:tblGrid>
      <w:tr>
        <w:trPr>
          <w:trHeight w:val="19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Стратегическое направление 1. Содействие росту трудовых ресурсов</w:t>
            </w:r>
          </w:p>
        </w:tc>
      </w:tr>
      <w:tr>
        <w:trPr>
          <w:trHeight w:val="81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Цель 1.1. Стимулирование рождаемости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бюджетных программ, направленных на достижение данной цели 001, 003, 005, 008, 012,028, 033</w:t>
            </w:r>
          </w:p>
        </w:tc>
      </w:tr>
      <w:tr>
        <w:trPr>
          <w:trHeight w:val="255" w:hRule="atLeast"/>
        </w:trPr>
        <w:tc>
          <w:tcPr>
            <w:tcW w:w="3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Целевой индикатор</w:t>
            </w:r>
          </w:p>
        </w:tc>
        <w:tc>
          <w:tcPr>
            <w:tcW w:w="1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информации</w:t>
            </w:r>
          </w:p>
        </w:tc>
        <w:tc>
          <w:tcPr>
            <w:tcW w:w="1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ед-ца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г.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г.</w:t>
            </w:r>
          </w:p>
        </w:tc>
      </w:tr>
      <w:tr>
        <w:trPr>
          <w:trHeight w:val="90" w:hRule="atLeast"/>
        </w:trPr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230" w:hRule="atLeast"/>
        </w:trPr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Удельный вес детей до одного года, охваченных системой социальной поддержки, (по отношению к численности детей, рожденных в соответствующем году)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МТСЗН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статданные</w:t>
            </w:r>
          </w:p>
        </w:tc>
        <w:tc>
          <w:tcPr>
            <w:tcW w:w="1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79,6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79,7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81,8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83,2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85,8</w:t>
            </w:r>
          </w:p>
        </w:tc>
      </w:tr>
      <w:tr>
        <w:trPr>
          <w:trHeight w:val="645" w:hRule="atLeast"/>
        </w:trPr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Удельный вес детей до одного года, охваченных социальными выплатами из ГФСС (по отношению к численности детей, рожденных в соответствующем году)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МТСЗН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40,3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38,8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39,9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41,0</w:t>
            </w:r>
          </w:p>
        </w:tc>
      </w:tr>
      <w:tr>
        <w:trPr>
          <w:trHeight w:val="1230" w:hRule="atLeast"/>
        </w:trPr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Удельный вес детей в возрасте до 18 лет из малообеспеченных семей, охваченных системой социальной поддержки (по отношению к общей численности детей)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МТСЗН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статданные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11,4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10,5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11,9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Задача 1.1.1. Социальная поддержка семей с детьми</w:t>
            </w:r>
          </w:p>
        </w:tc>
      </w:tr>
      <w:tr>
        <w:trPr>
          <w:trHeight w:val="75" w:hRule="atLeast"/>
        </w:trPr>
        <w:tc>
          <w:tcPr>
            <w:tcW w:w="3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прямого результата</w:t>
            </w:r>
          </w:p>
        </w:tc>
        <w:tc>
          <w:tcPr>
            <w:tcW w:w="1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информации</w:t>
            </w:r>
          </w:p>
        </w:tc>
        <w:tc>
          <w:tcPr>
            <w:tcW w:w="1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ед-ца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г.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г.</w:t>
            </w:r>
          </w:p>
        </w:tc>
      </w:tr>
      <w:tr>
        <w:trPr>
          <w:trHeight w:val="75" w:hRule="atLeast"/>
        </w:trPr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40" w:hRule="atLeast"/>
        </w:trPr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Удельный вес получателей пособия на детей до 18 лет (ГДП) к предыдущему году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МТСЗН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% к предыдущему году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91,9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130*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1170" w:hRule="atLeast"/>
        </w:trPr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Средний размер социальных выплат по уходу за ребенком до одного года из ГФСС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МТСЗН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% к предыдущему году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110,8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 показателей прямых результатов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г.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г.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Развитие системы социальной поддержки материнства и детства на основе: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совершенствования законодательства по вопросам назначения и осуществления социальных выплат из ГФСС на случай потери дохода в связи с уходом за ребенком по достижению им возраста одного года;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разработки и внесения на рассмотрение Правительства РК предложений: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изменению и дополнению условий назначения социальных пособий семьям с детьми (переход к обусловленным выплатам).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Повышение размеров государственных пособий семьям, имеющим детей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Расширение охвата работающих женщин системой социального страхования (в связи с наступлением рисков потери дохода в связи с беременностью и родами и уходом за ребенком по достижению им возраста 1 года)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*В связи с пересмотром методики определения ПМ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75"/>
        <w:gridCol w:w="1551"/>
        <w:gridCol w:w="957"/>
        <w:gridCol w:w="957"/>
        <w:gridCol w:w="1162"/>
        <w:gridCol w:w="1100"/>
        <w:gridCol w:w="1018"/>
        <w:gridCol w:w="978"/>
        <w:gridCol w:w="1121"/>
        <w:gridCol w:w="1061"/>
      </w:tblGrid>
      <w:tr>
        <w:trPr>
          <w:trHeight w:val="7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Стратегическое направление 2. Содействие продуктивной занятости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Цель 2.1. Повышение уровня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бюджетных программ, направленных на достижение данной цели 001, 008, 012, 014, 015, 019, 028, 121, 128, 145</w:t>
            </w:r>
          </w:p>
        </w:tc>
      </w:tr>
      <w:tr>
        <w:trPr>
          <w:trHeight w:val="255" w:hRule="atLeast"/>
        </w:trPr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Целевой индикатор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информации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ед-ца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15" w:hRule="atLeast"/>
        </w:trPr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г.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г.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г.</w:t>
            </w:r>
          </w:p>
        </w:tc>
      </w:tr>
      <w:tr>
        <w:trPr>
          <w:trHeight w:val="90" w:hRule="atLeast"/>
        </w:trPr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75" w:hRule="atLeast"/>
        </w:trPr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Уровень безработицы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статданные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75" w:hRule="atLeast"/>
        </w:trPr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Уровень женской безработицы 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статданные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</w:t>
            </w:r>
          </w:p>
        </w:tc>
      </w:tr>
      <w:tr>
        <w:trPr>
          <w:trHeight w:val="75" w:hRule="atLeast"/>
        </w:trPr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Уровень молодежной безработицы 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статданные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</w:t>
            </w:r>
          </w:p>
        </w:tc>
      </w:tr>
      <w:tr>
        <w:trPr>
          <w:trHeight w:val="75" w:hRule="atLeast"/>
        </w:trPr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Позиция в Глобальном индексе конкурентоспособности (ГИК) по показателю «Участие женщин в рабочей силе» 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ВЭФ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рейтинге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Задача 2.1.1. Повышение качества трудовых ресурсов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75" w:hRule="atLeast"/>
        </w:trPr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прямого результата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информации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ед-ца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75" w:hRule="atLeast"/>
        </w:trPr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г.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г.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г.</w:t>
            </w:r>
          </w:p>
        </w:tc>
      </w:tr>
      <w:tr>
        <w:trPr>
          <w:trHeight w:val="75" w:hRule="atLeast"/>
        </w:trPr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75" w:hRule="atLeast"/>
        </w:trPr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Удельный вес лиц, охваченных переподготовкой и повышением квалификации, обучением основам предпринимательства из числа участников Дорожной карты занятости 2020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ДКЗ 2020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МТСЗН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20,7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21,7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22,2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22,7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23,2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23,7</w:t>
            </w:r>
          </w:p>
        </w:tc>
      </w:tr>
      <w:tr>
        <w:trPr>
          <w:trHeight w:val="75" w:hRule="atLeast"/>
        </w:trPr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Удельный вес лиц, направленных на профессиональное обучение (из числа обратившихся за содействием в органы занятости населения в рамках ПРТ)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МТСЗН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 показателей прямых результатов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реализации в плановом периоде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г.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г.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г.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Формирование общенациональной базы данных текущих вакансий и прогнозируемых рабочих мест 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Участие в разработке профессиональных стандартов 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Оказание государственной поддержки лицам, проходящим профессиональное обучение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ДКЗ 2020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региональных программ. 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Разработка ситуационного центра. 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2.1.2. Активизация безработного, самозанятого и малообеспеченного населения</w:t>
            </w:r>
          </w:p>
        </w:tc>
      </w:tr>
      <w:tr>
        <w:trPr>
          <w:trHeight w:val="75" w:hRule="atLeast"/>
        </w:trPr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прямого результата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информации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ед-ца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г.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г.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г.</w:t>
            </w:r>
          </w:p>
        </w:tc>
      </w:tr>
      <w:tr>
        <w:trPr>
          <w:trHeight w:val="75" w:hRule="atLeast"/>
        </w:trPr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Доля граждан, охваченных мероприятиями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ДКЗ 2020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из числа обратившихся по вопросам участия в ней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МТСЗН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91,8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92,0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92,2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92,4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92,6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92,8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93,0</w:t>
            </w:r>
          </w:p>
        </w:tc>
      </w:tr>
      <w:tr>
        <w:trPr>
          <w:trHeight w:val="405" w:hRule="atLeast"/>
        </w:trPr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Доля женщин, охваченных мероприятиями ДКЗ 2020, из числа обратившихся по вопросам участия в ней 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МТСЗН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45,5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46,0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46,5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47,0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45" w:hRule="atLeast"/>
        </w:trPr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Доля молодежи до 29 лет, охваченных мероприятиями ДКЗ 2020, из числа обратившихся по вопросам участия в ней 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МТСЗН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55,5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56,0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56,5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57,5</w:t>
            </w:r>
          </w:p>
        </w:tc>
      </w:tr>
      <w:tr>
        <w:trPr>
          <w:trHeight w:val="75" w:hRule="atLeast"/>
        </w:trPr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Доля продуктивно занятых в общем числе самостоятельно занятого населения 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МТСЗН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58,3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61,4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62,5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64,5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65,5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66,5</w:t>
            </w:r>
          </w:p>
        </w:tc>
      </w:tr>
      <w:tr>
        <w:trPr>
          <w:trHeight w:val="75" w:hRule="atLeast"/>
        </w:trPr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Количество занятых дистанционно на 100 работающих 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статданные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 показателей прямых результатов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реализации в плановом периоде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г.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г.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г.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Реализация основных направлений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ДКЗ 2020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обеспечение занятости за счет развития инфраструктуры и жилищно–коммунального хозяйства;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создание рабочих мест через развитие предпринимательства и развития опорных сел;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содействие в трудоустройстве через обучение и переселение в рамках потребностей работодателя.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Создание условий, поощряющих работодателей к активному привлечению к работе социально уязвимых слоев населения, прежде всего, людей с ограниченными возможностями, обеспечив их заработной платой.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7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Пропаганда и информирование населения о применении гибких и дистанционных форм занятости.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Разработка и реализация комплекса мер по содействию занятости матерей, ухаживающих за детьми, зарегистрированных в органах занятости.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Разработка механизма опережающего профессионального обучения работников, подлежащих высвобождению 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Задача 2.1.3. Содействие росту занятости </w:t>
            </w:r>
          </w:p>
        </w:tc>
      </w:tr>
      <w:tr>
        <w:trPr>
          <w:trHeight w:val="75" w:hRule="atLeast"/>
        </w:trPr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прямого результата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информации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ед-ца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75" w:hRule="atLeast"/>
        </w:trPr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г. 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г.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г.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г.</w:t>
            </w:r>
          </w:p>
        </w:tc>
      </w:tr>
      <w:tr>
        <w:trPr>
          <w:trHeight w:val="75" w:hRule="atLeast"/>
        </w:trPr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75" w:hRule="atLeast"/>
        </w:trPr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Из общего числа обратившихся за содействием, удельный вес трудоустроенных на постоянное место работы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ДКЗ 2020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и программ развития регионов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МТСЗН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56,2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57,5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58,5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59,2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59,5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 показателей прямых результатов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реализации в плановом периоде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г.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г.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г.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Формирование и актуализация Карты занятости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Обеспечить разработку пятилетних прогнозов развития рынка труда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Совершенствование законодательства и программных документов, направленных на обеспечение занятости населения. 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государственной поддержки лицам, направленным на социальные рабочие места, общественные работы, молодежную практику в рамках ДКЗ 2020 и программ развития регионов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Повышение информированности населения по вопросам занятости населения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69"/>
        <w:gridCol w:w="1169"/>
        <w:gridCol w:w="776"/>
        <w:gridCol w:w="1169"/>
        <w:gridCol w:w="1086"/>
        <w:gridCol w:w="901"/>
        <w:gridCol w:w="983"/>
        <w:gridCol w:w="880"/>
        <w:gridCol w:w="1004"/>
        <w:gridCol w:w="923"/>
      </w:tblGrid>
      <w:tr>
        <w:trPr>
          <w:trHeight w:val="7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Стратегическое направление 3. Реализация государственной политики в области миграции населения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Цель 3.1 Повышение эффективности управления и регулирования миграционных процессов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Коды бюджетных программ, направленных на достижение данной цели 001, 006, 014, 015, 027 </w:t>
            </w:r>
          </w:p>
        </w:tc>
      </w:tr>
      <w:tr>
        <w:trPr>
          <w:trHeight w:val="75" w:hRule="atLeast"/>
        </w:trPr>
        <w:tc>
          <w:tcPr>
            <w:tcW w:w="5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Целевой индикатор</w:t>
            </w:r>
          </w:p>
        </w:tc>
        <w:tc>
          <w:tcPr>
            <w:tcW w:w="1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информации</w:t>
            </w:r>
          </w:p>
        </w:tc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ед-ца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г.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г.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г.</w:t>
            </w:r>
          </w:p>
        </w:tc>
      </w:tr>
      <w:tr>
        <w:trPr>
          <w:trHeight w:val="75" w:hRule="atLeast"/>
        </w:trPr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75" w:hRule="atLeast"/>
        </w:trPr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Рост относительного сальдо миграции населения к предыдущему году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статданные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Задача 3.1.1 Регулирование миграционных процессов в сфере приема и адаптации оралманов</w:t>
            </w:r>
          </w:p>
        </w:tc>
      </w:tr>
      <w:tr>
        <w:trPr>
          <w:trHeight w:val="75" w:hRule="atLeast"/>
        </w:trPr>
        <w:tc>
          <w:tcPr>
            <w:tcW w:w="5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прямого результата</w:t>
            </w:r>
          </w:p>
        </w:tc>
        <w:tc>
          <w:tcPr>
            <w:tcW w:w="1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информации</w:t>
            </w:r>
          </w:p>
        </w:tc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ед-ца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г.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г.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г.</w:t>
            </w:r>
          </w:p>
        </w:tc>
      </w:tr>
      <w:tr>
        <w:trPr>
          <w:trHeight w:val="75" w:hRule="atLeast"/>
        </w:trPr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75" w:hRule="atLeast"/>
        </w:trPr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Удельный вес оралманов трудоустроенных (из числа обратившихся за содействием в органы занятости населения)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МТСЗН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63,8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 показателей прямых результатов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реализации в плановом периоде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г.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г.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г.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Совершенствование, при необходимости, базы данных о прибывших оралманах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Разработка комплекса стимулирующих мер по рациональному и оптимальному расселению, повышению квалификации, а также трудоустройству оралманов с учетом потребности в трудовых ресурсах, демографическому составу областей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Усиление взаимодействия и информационно-разъяснительная работа с казахскими диаспорами, соотечественниками в зарубежных странах, всемирной ассоциацией казахов, ассамблеей народа Казахстана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Внесение предложений по совершенствованию законодательства в части усиления регулирования вопросов этнической миграции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Задача 3.1.2. Регулирование направлений внутренней миграции</w:t>
            </w:r>
          </w:p>
        </w:tc>
      </w:tr>
      <w:tr>
        <w:trPr>
          <w:trHeight w:val="75" w:hRule="atLeast"/>
        </w:trPr>
        <w:tc>
          <w:tcPr>
            <w:tcW w:w="5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прямого результата</w:t>
            </w:r>
          </w:p>
        </w:tc>
        <w:tc>
          <w:tcPr>
            <w:tcW w:w="1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информации</w:t>
            </w:r>
          </w:p>
        </w:tc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ед-ца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г.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г.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г.</w:t>
            </w:r>
          </w:p>
        </w:tc>
      </w:tr>
      <w:tr>
        <w:trPr>
          <w:trHeight w:val="75" w:hRule="atLeast"/>
        </w:trPr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75" w:hRule="atLeast"/>
        </w:trPr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Удельный вес внутренних мигрантов к общему числу населения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стат. дан.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1,98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 показателей прямых результатов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реализации в плановом периоде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г.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г.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г.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Внесение предложений по разработке системы прогнозирования, планирования, регулирования и сокращения диспропорций в сфере внутренней миграции с учетом пространственно-территориального развития страны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 и мониторинг процессов миграции населения внутри страны с учетом социально-экономической депрессивности и экологической обстановки регионов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Внесение предложений по созданию системы адаптации внутренних мигрантов в городах (обучение, трудоустройство и другое)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Разработка предложений по решению проблемных вопросов в связи с высокой миграционной нагрузкой на крупные города и их пригороды 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Внесение предложений по совершенствованию законодательства по вопросам регулирования миграционных процессов внутри страны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Задача 3.1.3. Управление трудовой миграции</w:t>
            </w:r>
          </w:p>
        </w:tc>
      </w:tr>
      <w:tr>
        <w:trPr>
          <w:trHeight w:val="75" w:hRule="atLeast"/>
        </w:trPr>
        <w:tc>
          <w:tcPr>
            <w:tcW w:w="5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прямого результата</w:t>
            </w:r>
          </w:p>
        </w:tc>
        <w:tc>
          <w:tcPr>
            <w:tcW w:w="1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информации</w:t>
            </w:r>
          </w:p>
        </w:tc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ед-ца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4 г.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г.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г.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г.</w:t>
            </w:r>
          </w:p>
        </w:tc>
      </w:tr>
      <w:tr>
        <w:trPr>
          <w:trHeight w:val="75" w:hRule="atLeast"/>
        </w:trPr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Квота на привлечение иностранной рабочей силы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МТСЗН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75" w:hRule="atLeast"/>
        </w:trPr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Удельный вес квалифицированных специалистов в составе привлекаемой иностранной рабочей силы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МТСЗН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 показателей прямых результатов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реализации в плановом периоде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г.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г.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г.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Совершенствование законодательства о миграции населения в части управления трудовой миграцией. 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Разработка предложений по установлению квоты на привлечение иностранной рабочей силы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Контроль за выполнением работодателями особых условий привлечения иностранной рабочей силы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Создание системы учета и информационного сопровождения процессов трудовой миграции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53"/>
        <w:gridCol w:w="1013"/>
        <w:gridCol w:w="773"/>
        <w:gridCol w:w="933"/>
        <w:gridCol w:w="1053"/>
        <w:gridCol w:w="1013"/>
        <w:gridCol w:w="933"/>
        <w:gridCol w:w="933"/>
        <w:gridCol w:w="873"/>
        <w:gridCol w:w="1403"/>
      </w:tblGrid>
      <w:tr>
        <w:trPr>
          <w:trHeight w:val="7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Стратегическое направление 4. Обеспечение реализации трудовых прав граждан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Цель 4.1 Защита трудовых прав и улучшение условий безопасности и охраны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бюджетных программ, направленных на достижение данной цели 001, 007, 012, 013, 028</w:t>
            </w:r>
          </w:p>
        </w:tc>
      </w:tr>
      <w:tr>
        <w:trPr>
          <w:trHeight w:val="75" w:hRule="atLeast"/>
        </w:trPr>
        <w:tc>
          <w:tcPr>
            <w:tcW w:w="5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Целевой индикатор</w:t>
            </w:r>
          </w:p>
        </w:tc>
        <w:tc>
          <w:tcPr>
            <w:tcW w:w="1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инфор-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мации</w:t>
            </w:r>
          </w:p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ед-ца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г.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г.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г.</w:t>
            </w:r>
          </w:p>
        </w:tc>
      </w:tr>
      <w:tr>
        <w:trPr>
          <w:trHeight w:val="75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75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Позиция ГИК по показателю «Сотрудничество в отношениях работник-работодатель» </w:t>
            </w:r>
          </w:p>
        </w:tc>
        <w:tc>
          <w:tcPr>
            <w:tcW w:w="1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ВЭФ</w:t>
            </w:r>
          </w:p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рейтинге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75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Позиция ГИК по показателю «Гибкость определения заработной платы»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75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Позиция ГИК по показателю «Оплата и производительность»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75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Позиция ГИК по показателю «Практика найма и увольнения»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75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Позиция ГИК по показателю «Затраты, связанные с увольнением»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75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Позиция ГИК по показателю «Прозрачность принимаемых решений»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75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Позиция ГИК по показателю «Фаворитизм в решениях государственных служащих»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75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Позиция ГИК по показателю «Общественное доверие политикам»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75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Уровень производственного травматизма (коэффициент частоты несчастных случаев на 1000 чел.)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МТСЗН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0,46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0,45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Задача 4.1.1. Обеспечение безопасности и охраны труда</w:t>
            </w:r>
          </w:p>
        </w:tc>
      </w:tr>
      <w:tr>
        <w:trPr>
          <w:trHeight w:val="255" w:hRule="atLeast"/>
        </w:trPr>
        <w:tc>
          <w:tcPr>
            <w:tcW w:w="5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прямого результата</w:t>
            </w:r>
          </w:p>
        </w:tc>
        <w:tc>
          <w:tcPr>
            <w:tcW w:w="1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инфор-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мации</w:t>
            </w:r>
          </w:p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ед-ца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г.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г.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г.</w:t>
            </w:r>
          </w:p>
        </w:tc>
      </w:tr>
      <w:tr>
        <w:trPr>
          <w:trHeight w:val="90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90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Удельный вес лиц, занятых во вредных и опасных для здоровья условиях труда (из общей численности занятых)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 данные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20,9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20,7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20,7</w:t>
            </w:r>
          </w:p>
        </w:tc>
      </w:tr>
      <w:tr>
        <w:trPr>
          <w:trHeight w:val="90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Удельный вес женщин, занятых во вредных и опасных для здоровья условиях труда (из общей численности занятых)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 данные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12,9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12,9</w:t>
            </w:r>
          </w:p>
        </w:tc>
      </w:tr>
      <w:tr>
        <w:trPr>
          <w:trHeight w:val="90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Удельный вес крупных и средних предприятий, внедривших стандарты охраны и безопасности труда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МТСЗН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8,8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 показателей прямых результатов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реализации в плановом периоде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г.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г.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г.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Совершенствование мониторинга состояния безопасности и охраны труда в производственной сфере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Адаптация международных трудовых стандартов. Содействие их внедрению в отраслях экономики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Разработка и реализация (на трехсторонней основе) мер по сокращению численности работников, в т.ч. женщин, занятых во вредных и опасных условиях производства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Разработка методики раннего выявления групп риска и предупреждения профессиональных заболеваний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Реализация проекта по добровольному декларированию работодателями соответствия условий труда работников требованиям трудового законодательства.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Социальная поддержка лиц за вред, причиненный жизни и здоровью, возложенная судом на государство в случае прекращения деятельности юридического лица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Задача 4.1.2. Предупреждение и пресечение нарушений трудового законодательства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135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прямого результата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информации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ед-ца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135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г.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г.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г.</w:t>
            </w:r>
          </w:p>
        </w:tc>
      </w:tr>
      <w:tr>
        <w:trPr>
          <w:trHeight w:val="135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35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Удельный вес устраненных нарушений трудового законодательства, в % к общему количеству выявленных нарушений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МТСЗН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 показателей прямых результатов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реализации в плановом периоде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г.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г.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г.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Совершенствование системы оценки рисков.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Мониторинг задолженности по заработной плате, принятие мер по ее ликвидации и предупреждению образования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Формирование и выполнение совместного плана действий по искоренению наихудших форм детского труда на 2012 – 2014 годы, 2015 – 2017 годы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Повышение эффективности информационно-разъяснительной работы по соблюдению трудового законодательства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Реализация плана мероприятий по организации правового всеобуча граждан основам трудового законодательства в Республике Казахстан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Задача 4.1.3. Содействие развитию социального партнерства</w:t>
            </w:r>
          </w:p>
        </w:tc>
      </w:tr>
      <w:tr>
        <w:trPr>
          <w:trHeight w:val="75" w:hRule="atLeast"/>
        </w:trPr>
        <w:tc>
          <w:tcPr>
            <w:tcW w:w="5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прямого результата</w:t>
            </w:r>
          </w:p>
        </w:tc>
        <w:tc>
          <w:tcPr>
            <w:tcW w:w="1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инфор-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мации</w:t>
            </w:r>
          </w:p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ед-ца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г.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г.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г.</w:t>
            </w:r>
          </w:p>
        </w:tc>
      </w:tr>
      <w:tr>
        <w:trPr>
          <w:trHeight w:val="75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75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Удельный вес предприятий, охваченных системой коллективно-договорных отношений (среди крупных и средних предприятий)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МТСЗН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93,4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93,6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 показателей прямых результатов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реализации в плановом периоде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г.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г.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г.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Разработка и реализация «Программы по достойному труду в Республике Казахстан, направленной на регулирование трудовых отношений в соответствии с международными стандартами, содействия эффективной занятости, дальнейшего развития социального диалога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Стимулирование повышения корпоративной социальной ответственности.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Подписание Генерального соглашения между Правительством, объединениями работодателей и объединениями работников на 2012 – 2014 гг., 2015 – 2017 годы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Реализация мер по соблюдению прав и гарантий трудящихся в рамках Генерального соглашения между Правительством, объединениями работодателей и объединениями работников на 2012 – 2014 гг., 2015 – 2017 годы и республиканской акции «Заключите коллективный договор!»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Проведение системных организационных и информационных мероприятий для управления и разрешения конфликтных ситуаций в социально-трудовой сфере (реализация Комплексного плана по предупреждению социальной напряженности и разрешению социально-трудовых конфликтов)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Принятие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«О профессиональных союзах» (новая редакция)»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2"/>
        <w:gridCol w:w="1157"/>
        <w:gridCol w:w="795"/>
        <w:gridCol w:w="1137"/>
        <w:gridCol w:w="936"/>
        <w:gridCol w:w="936"/>
        <w:gridCol w:w="936"/>
        <w:gridCol w:w="937"/>
        <w:gridCol w:w="756"/>
        <w:gridCol w:w="1078"/>
      </w:tblGrid>
      <w:tr>
        <w:trPr>
          <w:trHeight w:val="15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Стратегическое направление 5. Содействие повышению благосостояния населения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Цель 5.1. Повышение уровня жизни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бюджетных программ, направленных на достижение данной цели 001, 002, 003, 004, 006, 008, 011, 018, 028, 033</w:t>
            </w:r>
          </w:p>
        </w:tc>
      </w:tr>
      <w:tr>
        <w:trPr>
          <w:trHeight w:val="255" w:hRule="atLeast"/>
        </w:trPr>
        <w:tc>
          <w:tcPr>
            <w:tcW w:w="5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Целевой индикатор</w:t>
            </w:r>
          </w:p>
        </w:tc>
        <w:tc>
          <w:tcPr>
            <w:tcW w:w="11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информации</w:t>
            </w:r>
          </w:p>
        </w:tc>
        <w:tc>
          <w:tcPr>
            <w:tcW w:w="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ед-ца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г.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г.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г.</w:t>
            </w:r>
          </w:p>
        </w:tc>
      </w:tr>
      <w:tr>
        <w:trPr>
          <w:trHeight w:val="90" w:hRule="atLeast"/>
        </w:trPr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90" w:hRule="atLeast"/>
        </w:trPr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Доля населения, с доходами ниже величины прожиточного минимума </w:t>
            </w:r>
          </w:p>
        </w:tc>
        <w:tc>
          <w:tcPr>
            <w:tcW w:w="11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дан.</w:t>
            </w:r>
          </w:p>
        </w:tc>
        <w:tc>
          <w:tcPr>
            <w:tcW w:w="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60" w:hRule="atLeast"/>
        </w:trPr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Совокупный коэффициент замещения дохода пенсионными выплатами без учета НП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43,1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41,2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42,3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43,5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44,1</w:t>
            </w:r>
          </w:p>
        </w:tc>
      </w:tr>
      <w:tr>
        <w:trPr>
          <w:trHeight w:val="135" w:hRule="atLeast"/>
        </w:trPr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Совокупный коэффициент замещения дохода пенсионными выплатами с учетом НП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45,9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44,5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46,7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46,4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48,5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49,7</w:t>
            </w:r>
          </w:p>
        </w:tc>
      </w:tr>
      <w:tr>
        <w:trPr>
          <w:trHeight w:val="135" w:hRule="atLeast"/>
        </w:trPr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Уровень удовлетворенности населения качеством оказания государственных услуг 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МТСЗН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85,88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85,96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86,01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86,13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86,22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86,31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Задача 5.1.1. Содействие росту заработной платы</w:t>
            </w:r>
          </w:p>
        </w:tc>
      </w:tr>
      <w:tr>
        <w:trPr>
          <w:trHeight w:val="75" w:hRule="atLeast"/>
        </w:trPr>
        <w:tc>
          <w:tcPr>
            <w:tcW w:w="5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прямого результата</w:t>
            </w:r>
          </w:p>
        </w:tc>
        <w:tc>
          <w:tcPr>
            <w:tcW w:w="11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информации</w:t>
            </w:r>
          </w:p>
        </w:tc>
        <w:tc>
          <w:tcPr>
            <w:tcW w:w="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ед-ца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г.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г.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г.</w:t>
            </w:r>
          </w:p>
        </w:tc>
      </w:tr>
      <w:tr>
        <w:trPr>
          <w:trHeight w:val="75" w:hRule="atLeast"/>
        </w:trPr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90" w:hRule="atLeast"/>
        </w:trPr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Динамика среднего размера заработной платы гражданских служащих (по отношению к предыдущему году)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статданные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 показателей прямых результатов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реализации в плановом периоде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г.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г.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г.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Разработка стандарта минимального размера заработной платы 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Разработка новой модели системы оплаты труда гражданских служащих 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Внесение изменений и дополнений в нормативно-правовые акты по вопросу оплаты труда гражданских служащих и внедрение новой системы оплаты труда 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Анализ результатов внедрения новой модели оплаты труда гражданских служащих, ее корректировка 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Задача 5.1.2. Обеспечение адекватности социального обеспечения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75" w:hRule="atLeast"/>
        </w:trPr>
        <w:tc>
          <w:tcPr>
            <w:tcW w:w="5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прямого результата</w:t>
            </w:r>
          </w:p>
        </w:tc>
        <w:tc>
          <w:tcPr>
            <w:tcW w:w="11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информации</w:t>
            </w:r>
          </w:p>
        </w:tc>
        <w:tc>
          <w:tcPr>
            <w:tcW w:w="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ед-ца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г.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г.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г.</w:t>
            </w:r>
          </w:p>
        </w:tc>
      </w:tr>
      <w:tr>
        <w:trPr>
          <w:trHeight w:val="315" w:hRule="atLeast"/>
        </w:trPr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75" w:hRule="atLeast"/>
        </w:trPr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Удельный вес в совокупной пенсии: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базовой пенсионной выплаты (из Центра)</w:t>
            </w:r>
          </w:p>
        </w:tc>
        <w:tc>
          <w:tcPr>
            <w:tcW w:w="11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МТСЗН</w:t>
            </w:r>
          </w:p>
        </w:tc>
        <w:tc>
          <w:tcPr>
            <w:tcW w:w="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21,1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20,7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20,3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19,8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18,6</w:t>
            </w:r>
          </w:p>
        </w:tc>
      </w:tr>
      <w:tr>
        <w:trPr>
          <w:trHeight w:val="75" w:hRule="atLeast"/>
        </w:trPr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солидарной пенсии (из Центра)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72,7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71,8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71,5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71,2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70,6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70,3</w:t>
            </w:r>
          </w:p>
        </w:tc>
      </w:tr>
      <w:tr>
        <w:trPr>
          <w:trHeight w:val="75" w:hRule="atLeast"/>
        </w:trPr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накопительной пенсии (из НПФ)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8,2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8,9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10,4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11,1</w:t>
            </w:r>
          </w:p>
        </w:tc>
      </w:tr>
      <w:tr>
        <w:trPr>
          <w:trHeight w:val="75" w:hRule="atLeast"/>
        </w:trPr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Доля экономически активного населения, охваченного НПС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данные МТСЗН </w:t>
            </w:r>
          </w:p>
        </w:tc>
        <w:tc>
          <w:tcPr>
            <w:tcW w:w="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64,1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64,4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64,8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65,5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66,5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67,0</w:t>
            </w:r>
          </w:p>
        </w:tc>
      </w:tr>
      <w:tr>
        <w:trPr>
          <w:trHeight w:val="75" w:hRule="atLeast"/>
        </w:trPr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Доля экономически активного населения, охваченного системой обязательного социального страхования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МТСЗН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70,3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70,5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70,6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70,9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71,2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 показателей прямых результатов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реализации в плановом периоде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г.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г.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г.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Разработка комплекса мер по дальнейшей модернизации системы пенсионного обеспечения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Повышение финансовой устойчивости АО «ГФСС» и АО «ГАК» 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Совершенствование администрирования системы обязательного социального страхования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Повышение информированности населения по вопросам НПС и системы социального страхования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Разработка и реализация социальной карты получателей пенсий и пособий 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Задача 5.1.3. Усиление адресности оказания социальной помощи</w:t>
            </w:r>
          </w:p>
        </w:tc>
      </w:tr>
      <w:tr>
        <w:trPr>
          <w:trHeight w:val="75" w:hRule="atLeast"/>
        </w:trPr>
        <w:tc>
          <w:tcPr>
            <w:tcW w:w="5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прямого результата</w:t>
            </w:r>
          </w:p>
        </w:tc>
        <w:tc>
          <w:tcPr>
            <w:tcW w:w="11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информации</w:t>
            </w:r>
          </w:p>
        </w:tc>
        <w:tc>
          <w:tcPr>
            <w:tcW w:w="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ед-ца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г.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г.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г.</w:t>
            </w:r>
          </w:p>
        </w:tc>
      </w:tr>
      <w:tr>
        <w:trPr>
          <w:trHeight w:val="75" w:hRule="atLeast"/>
        </w:trPr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Доля получателей государственных детских пособий (ГДП) в общей численности населения, проживающего ниже ПМ 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статданные, данные МТСЗН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92,6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86,6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85,2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61,5</w:t>
            </w:r>
          </w:p>
        </w:tc>
      </w:tr>
      <w:tr>
        <w:trPr>
          <w:trHeight w:val="75" w:hRule="atLeast"/>
        </w:trPr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Доля получателей АСП в общей численности населения, проживающего ниже ПМ 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статданные, данные МТСЗН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9,3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8,9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12,3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7,7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7,4</w:t>
            </w:r>
          </w:p>
        </w:tc>
      </w:tr>
      <w:tr>
        <w:trPr>
          <w:trHeight w:val="75" w:hRule="atLeast"/>
        </w:trPr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Удельный вес трудоспособного населения в составе получателей АСП 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МТСЗН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33,7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30, 0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</w:tr>
      <w:tr>
        <w:trPr>
          <w:trHeight w:val="75" w:hRule="atLeast"/>
        </w:trPr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Доля семей, охваченных обусловленными денежными выплатами из числа семей, проживающих ниже ПМ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статданные, данные МТСЗН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 показателей прямых результатов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реализации в плановом периоде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г.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г.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г.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Совершенствование величины прожиточного минимума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Пилотирование обусловленной социальной помощи для малообеспеченных семей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Совершенствование законодательства по вопросам социальной помощи для малообеспеченных семей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Х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 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52"/>
        <w:gridCol w:w="1057"/>
        <w:gridCol w:w="849"/>
        <w:gridCol w:w="1036"/>
        <w:gridCol w:w="1183"/>
        <w:gridCol w:w="1058"/>
        <w:gridCol w:w="1120"/>
        <w:gridCol w:w="1141"/>
        <w:gridCol w:w="1058"/>
        <w:gridCol w:w="1206"/>
      </w:tblGrid>
      <w:tr>
        <w:trPr>
          <w:trHeight w:val="19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Стратегическое направление 6. Формирование эффективной системы социальной поддержки уязвимых категорий населения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Цель 6.1. Повышение эффективности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бюджетных программ, направленных на достижение данной цели 001, 009, 010, 016, 017, 021, 028, 032</w:t>
            </w:r>
          </w:p>
        </w:tc>
      </w:tr>
      <w:tr>
        <w:trPr>
          <w:trHeight w:val="255" w:hRule="atLeast"/>
        </w:trPr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Целевой индикатор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информации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ед-ца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15" w:hRule="atLeast"/>
        </w:trPr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г.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г.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г.</w:t>
            </w:r>
          </w:p>
        </w:tc>
      </w:tr>
      <w:tr>
        <w:trPr>
          <w:trHeight w:val="90" w:hRule="atLeast"/>
        </w:trPr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90" w:hRule="atLeast"/>
        </w:trPr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Удельный вес лиц, охваченных оказанием специальных социальных услуг (в общей численности лиц, нуждающихся в их получении)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МТСЗН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93,4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93,8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93,9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96,9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97,1</w:t>
            </w:r>
          </w:p>
        </w:tc>
      </w:tr>
      <w:tr>
        <w:trPr>
          <w:trHeight w:val="90" w:hRule="atLeast"/>
        </w:trPr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Доля частично реабилитированных инвалидов (от численности переосвидетельствованных инвалидов)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МТСЗН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9,7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9,75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9,75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9,8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9,85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9,85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Задача 6.1.1. Развитие системы оказания специальных социальных услуг</w:t>
            </w:r>
          </w:p>
        </w:tc>
      </w:tr>
      <w:tr>
        <w:trPr>
          <w:trHeight w:val="75" w:hRule="atLeast"/>
        </w:trPr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прямого результата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информации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ед-ца изм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75" w:hRule="atLeast"/>
        </w:trPr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г.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г.</w:t>
            </w:r>
          </w:p>
        </w:tc>
      </w:tr>
      <w:tr>
        <w:trPr>
          <w:trHeight w:val="75" w:hRule="atLeast"/>
        </w:trPr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75" w:hRule="atLeast"/>
        </w:trPr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Доля лиц, охваченных специальными социальными услугами, предоставляемыми субъектами частного сектора (в том числе, неправительственными организациями)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МТСЗН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 показателей прямых результатов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реализации в плановом периоде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г.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г.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г.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Совершенствование нормативных правовых актов в области оказания специальных социальных услуг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Введение дополнительных видов специальных социальных услуг предоставляемых по решению местных представительных органов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Расширение размещения государственного заказа среди неправительственных организаций 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Повышение информированности населения по вопросам оказания специальных социальных услуг. 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Задача 6.1.2. Развитие системы реабилитации инвалидов</w:t>
            </w:r>
          </w:p>
        </w:tc>
      </w:tr>
      <w:tr>
        <w:trPr>
          <w:trHeight w:val="75" w:hRule="atLeast"/>
        </w:trPr>
        <w:tc>
          <w:tcPr>
            <w:tcW w:w="4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прямого результата</w:t>
            </w:r>
          </w:p>
        </w:tc>
        <w:tc>
          <w:tcPr>
            <w:tcW w:w="1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информации</w:t>
            </w:r>
          </w:p>
        </w:tc>
        <w:tc>
          <w:tcPr>
            <w:tcW w:w="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ед-ца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г.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г.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г.</w:t>
            </w:r>
          </w:p>
        </w:tc>
      </w:tr>
      <w:tr>
        <w:trPr>
          <w:trHeight w:val="75" w:hRule="atLeast"/>
        </w:trPr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75" w:hRule="atLeast"/>
        </w:trPr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Доля реализованной социальной части индивидуальных программ реабилитации инвалидов (из числа разработанных ИПР за отчетный период прошлого года)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МТСЗН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74,0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 показателей прямых результатов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реализации в плановом периоде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г.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г.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г.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Принятие и реализация плана мероприятий по обеспечению прав и улучшению качества жизни инвалидов в Республике Казахстан на 2012 – 2018 годы (поэтапные планы)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Внесение изменений и дополнений в некоторые законодательные акты Республики Казахстан в связи с предстоящей ратификацией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Конвенции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ООН о правах инвалидов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Разработка инновационных подходов к организации и проведению медико-социальной экспертизы и реабилитации инвалидов (с учетом положений МКФ).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Формирование условий для беспрепятственного доступа инвалидов и других маломобильных групп населения к объектам жизнеобеспечения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Совершенствование стандартов предоставления протезно-ортопедической и слухопротезной помощи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Мониторинг паспортизации объектов социальной и транспортной инфраструктуры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3.2. Соответствие стратегических направлений и целей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Министерства стратегическим целям государства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9"/>
        <w:gridCol w:w="8101"/>
      </w:tblGrid>
      <w:tr>
        <w:trPr>
          <w:trHeight w:val="465" w:hRule="atLeast"/>
        </w:trPr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Стратегические направления и цели государственного органа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стратегического и (или) программного документа</w:t>
            </w:r>
          </w:p>
        </w:tc>
      </w:tr>
      <w:tr>
        <w:trPr>
          <w:trHeight w:val="375" w:hRule="atLeast"/>
        </w:trPr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 1. Содействие росту трудовых ресурсов</w:t>
            </w:r>
          </w:p>
        </w:tc>
      </w:tr>
      <w:tr>
        <w:trPr>
          <w:trHeight w:val="30" w:hRule="atLeast"/>
        </w:trPr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1.1. Содействие росту рождаемости 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Стратегический план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до 2020 года, утвержденный Указом Президента Республики Казахстан от 1 февраля 2010 года № 922.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Главы государства народу Казахстана от 14 декабря 2012 года «Стратегия «Казахстан – 2050»: новый политический курс состоявшегося государства».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Стратегическое направление 2. Содействие продуктивной занятости</w:t>
            </w:r>
          </w:p>
        </w:tc>
      </w:tr>
      <w:tr>
        <w:trPr>
          <w:trHeight w:val="2175" w:hRule="atLeast"/>
        </w:trPr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2.1. Повышение уровня занятости населения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Стратегический план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до 2020 года, утвержденный Указом Президента Республики Казахстан от 1 февраля 2010 года № 922.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Главы государства народу Казахстана от 14 декабря 2012 года «Стратегия «Казахстан – 2050»: новый политический курс состоявшегося государства».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Дорожная карта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2020, утвержденная Постановлением Правительства Республики Казахстан от 19 июня 2013 года № 636.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Стратегическое направление 3. Реализация государственной политики в области миграции населения</w:t>
            </w:r>
          </w:p>
        </w:tc>
      </w:tr>
      <w:tr>
        <w:trPr>
          <w:trHeight w:val="30" w:hRule="atLeast"/>
        </w:trPr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3.1 Повышение эффективности управления и регулирования миграционных процессов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Стратегический план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до 2020 года, утвержденный Указом Президента Республики Казахстан от 1 февраля 2010 года № 922.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Стратегическое направление 4. Обеспечение реализации трудовых прав граждан</w:t>
            </w:r>
          </w:p>
        </w:tc>
      </w:tr>
      <w:tr>
        <w:trPr>
          <w:trHeight w:val="810" w:hRule="atLeast"/>
        </w:trPr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4.1 Защита трудовых прав и улучшение условий безопасности и охраны труда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Стратегический план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Республики Казахстан до 2020 года, утвержденный Указом Президента Республики Казахстан от 1 февраля 2010 года № 922.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Главы государства народу Казахстана от 14 декабря 2012 года «Стратегия «Казахстан – 2050»: новый политический курс состоявшегося государства».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Стратегическое направление 5. Содействие повышению благосостояния населения</w:t>
            </w:r>
          </w:p>
        </w:tc>
      </w:tr>
      <w:tr>
        <w:trPr>
          <w:trHeight w:val="570" w:hRule="atLeast"/>
        </w:trPr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5.1. Повышение уровня жизни населения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Стратегический план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Республики Казахстан до 2020 года, утвержденный Указом Президента Республики Казахстан от 1 февраля 2010 года № 922.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Главы государства народу Казахстана от 14 декабря 2012 года «Стратегия «Казахстан – 2050»: новый политический курс состоявшегося государства».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Стратегическое направление 6. Формирование эффективной системы социальной поддержки уязвимых категорий населения</w:t>
            </w:r>
          </w:p>
        </w:tc>
      </w:tr>
      <w:tr>
        <w:trPr>
          <w:trHeight w:val="270" w:hRule="atLeast"/>
        </w:trPr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6.1. Повышение эффективности социальной поддержки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Стратегический план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Республики Казахстан до 2020 года, утвержденный Указом Президента Республики Казахстан от 1 февраля 2010 года № 922.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Главы государства народу Казахстана от 14 декабря 2012 года «Стратегия «Казахстан – 2050»: новый политический курс состоявшегося государства».</w:t>
            </w:r>
          </w:p>
        </w:tc>
      </w:tr>
    </w:tbl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4. Развитие функциональных возможностей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9"/>
        <w:gridCol w:w="7420"/>
        <w:gridCol w:w="3301"/>
      </w:tblGrid>
      <w:tr>
        <w:trPr>
          <w:trHeight w:val="30" w:hRule="atLeast"/>
        </w:trPr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стратегического направления, цели и задачи государственного органа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реализации стратегического направления и цели государственного органа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реализации</w:t>
            </w:r>
          </w:p>
        </w:tc>
      </w:tr>
      <w:tr>
        <w:trPr>
          <w:trHeight w:val="30" w:hRule="atLeast"/>
        </w:trPr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направление 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росту трудовых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1.1. Содействие росту рождаемости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1.1.1.  Социальная поддержка семей с детьми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 Совершенствование, мониторинг и оценка стандартов оказания государственных услуг по социальной поддержке семей с детьми в соответствии с Реестром оказания государственных услуг, утверждаемым постановлением Правительства Республики Казахстан.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 Обеспечение доступности и повышение качества государственных услуг, предоставляемых в рамках социальной поддержки семей с детьми.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 Повышение квалификации работников территориальных подразделений МТСЗН, филиалов ГЦВП по специальным программам социальной поддержки семей с детьми на базе РГКП «Курсы повышения квалификации работников МТСЗН».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 Обеспечение функционирования АИС «Социальная помощь: АСП, ГДП» и ее интеграции с Единой информационной системой социально-трудовой сферы Министерства (далее – ЕИССТС). 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постоянной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постоянной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постоянной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постоянной основе</w:t>
            </w:r>
          </w:p>
        </w:tc>
      </w:tr>
      <w:tr>
        <w:trPr>
          <w:trHeight w:val="30" w:hRule="atLeast"/>
        </w:trPr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направление 2. Содействие продуктивной занятости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2.1. Повышение уровня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2.1.1.  Повышение качества трудовых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2.1.2. Активизация безработного, самозанятого и малообеспеченного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2.1.3. Содействие росту занятости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Совершенствование стандартов оказания государственных услуг по содействию занятости населения, социальной поддержке целевых групп населения в соответствии с Реестром оказания государственных услуг, утверждаемым постановлением Правительства Республики Казахстан.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 Расширение перечня, обеспечение доступности и повышение качества предоставляемых государственных услуг по вопросам занятости населения, в том числе в электронном виде.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Создание и функционирование базы данных текущих вакансий и перспективных рабочих мест на программной платформе АИС «Рынок труда».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Повышение квалификации работников Государственной инспекции труда (далее – ГИТ) по вопросам занятости населения, привлечения иностранной рабочей силы, в том числе по обмену положительным передовым опытом регионов на базе РГКП «Курсы повышения квалификации работников МТСЗН».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Обеспечение функционирования веб-портала «Работа – Молодежная биржа труда».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Координация проведения выездных мероприятий по обмену положительным опытом между регионами, по вопросам занятости населения. 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постоянной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постоянной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постоянной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 гг.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постоянной основе</w:t>
            </w:r>
          </w:p>
        </w:tc>
      </w:tr>
      <w:tr>
        <w:trPr>
          <w:trHeight w:val="30" w:hRule="atLeast"/>
        </w:trPr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 3 Реализация государственной политики в области миграции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3.1 Повышение эффективности управления и регулирования миграционных процессов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3.1.1 Регулирование миграционных процессов в сфере приема и адаптации оралманов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3.1.3. Управление трудовой миграции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Совершенствование стандартов оказания государственных услуг касательно оралманов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Повышение квалификации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вопросам миграции населения на базе РГКП «Курсы повышения квалификации работников МТСЗН»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Интеграция АИС «Оралманы» с единой информационной системой социально – трудовой сферы Министерства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постоянной основе</w:t>
            </w:r>
          </w:p>
        </w:tc>
      </w:tr>
      <w:tr>
        <w:trPr>
          <w:trHeight w:val="30" w:hRule="atLeast"/>
        </w:trPr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направление 4. Обеспечение реализации трудовых прав граждан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4.1. Защита трудовых прав и улучшение условий безопасности и охраны труда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4.1.1. Обеспечение безопасности и охраны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4.1.2. Предупреждение и пресечение нарушений трудового 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4.1.3. Содействие развитию социального партнерства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Повышение квалификации работников Государственной инспекции труда (далее – ГИТ) по трудовым вопросам, вопросам охраны и безопасности труда на базе РГКП «Курсы повышения квалификации работников МТСЗН»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 Обеспечение функционирования АИС «Охрана и безопасность труда» и ее интеграция с ЕИССТС 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постоянной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постоянной основе</w:t>
            </w:r>
          </w:p>
        </w:tc>
      </w:tr>
      <w:tr>
        <w:trPr>
          <w:trHeight w:val="30" w:hRule="atLeast"/>
        </w:trPr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направление 5.  Содействие повышению благосостояния 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5.1. Повышение уровня жизни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5.1.2. Обеспечение адекватности социального обеспечения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5.1.3. Усиление адресности оказания социальной помощи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 Совершенствование, мониторинг и оценка стандартов и регламентов оказания государственных услуг по назначению пенсионных и социальных выплат, оказанию социальной помощи в соответствии с Реестром оказания государственных услуг, утверждаемым постановлением Правительства 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 Обеспечение доступности и повышение качества государственных услуг по социальному обеспечению (в том числе в электронном виде).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 Автоматизация процессов назначения пенсионных и социальных выплат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 Повышение квалификации работников территориальных подразделений МТСЗН, филиалов ГЦВП, по вопросам назначения пенсионных и социальных выплат на базе РГКП «Курсы повышения квалификации работников МТСЗН»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 Обеспечение функционирования информационно-справочного центра «Контакт-центр», АИС «Социальная помощь: ГДП, АСП», «Е-собес» и их интеграция с ЕИССТС 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постоянной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постоянной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2014 гг.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постоянной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постоянной основе</w:t>
            </w:r>
          </w:p>
        </w:tc>
      </w:tr>
      <w:tr>
        <w:trPr>
          <w:trHeight w:val="30" w:hRule="atLeast"/>
        </w:trPr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 6. Формирование эффективной системы социальной поддержки уязвимых категорий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6.1.  Повышение эффективности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6.1.1. Развитие системы оказания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6.1.2. Развитие системы реабилитации инвалидов 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Совершенствование стандартов оказания государственных услуг по оформлению документов на предоставление специальных социальных услуг и компенсаторных технических средств в соответствии с Реестром оказания государственных услуг, утверждаемым постановлением Правительства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Повышение квалификации работников территориальных подразделений МТСЗН по вопросам оказания специальных социальных услуг и социальной поддержки инвалидов на базе РГКП «Курсы повышения квалификации работников МТСЗН»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Обеспечение функционирования АИС «Е-собес» и ее интеграция с ЕИССТС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постоянной основе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постоянной основе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постоянной основе</w:t>
            </w:r>
          </w:p>
        </w:tc>
      </w:tr>
      <w:tr>
        <w:trPr>
          <w:trHeight w:val="30" w:hRule="atLeast"/>
        </w:trPr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Применение информационно–коммуникационных технологий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Обеспечение информационной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Совершенствование ЕИССТС и интеграция с информационными системами заинтересованных государственных органов.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Поэтапное внедрение автоматизированной системы электронного назначения и выплаты пенсий и социальных пособий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Оказание консультационных услуг по вопросам государственной политики в социально-трудовой сфере информационно-справочным «Контакт – центром»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 Разработка и реализация Планов мероприятий по оптимизации бизнес-процессов, сокращению количества документов, требуемых от населения и автоматизации государственных услуг.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Повышение удельного веса государственных услуг, предоставляемых в электронном формате (в том числе частично автоматизированных), до 70 % от перечня услуг, оказываемых Министерством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 Обеспечение Казахстанского содержания при осуществлении государственных закупок ИКТ оборудования согласно конкурсной заявке (при его наличии) в IT-услугах.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Рассмотрение возможности использования “IT-аутсорсинга” для информационных систем Министерства.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постоянной основе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 – 2016г.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постоянной основе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20" w:hRule="atLeast"/>
        </w:trPr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качества услуг, предоставляемых организациями, подведомственными Министерству 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Обеспечение повышения квалификации работников территориальных департаментов комитета по контролю и социальной защите, филиалов ГЦВП по вопросам развития социально-трудовой сферы на базе РГКП «Курсы повышения квалификации работников МТСЗН».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Обеспечение социальных выплат из республиканского бюджета и автоматизация процессов назначения пенсионных и социальных выплат РГКП «Государственный центр по выплате пенсий Министерства труда и социальной защиты населения Республики Казахстан»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Совершенствование организационной структуры РГКП «Республиканский центр экспериментального протезирования»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Предоставление информационно-аналитических услуг по проблемам занятости, трудовому законодательству и социальной защите населения РГКП «Информационный аналитический центр»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постоянной основе</w:t>
            </w:r>
          </w:p>
        </w:tc>
      </w:tr>
      <w:tr>
        <w:trPr>
          <w:trHeight w:val="30" w:hRule="atLeast"/>
        </w:trPr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Кадровое обеспечение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Строгое соблюдение законодательства РК о государственной службе (в т.ч. принципа гендерного равенства) в отборе и расстановке кадров, управлении служебной карьерой.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Обеспечение трудовой и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Развитие кадрового потенциала: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обучение, повышение квалификации и переподготовка государственных служащих;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использования казахского и иностранного языков;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методов и форм оценки персонала;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стимулирование производительного труда;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использование возможностей ротации кадров, создание, подготовка и использование кадрового резерва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 Управление кадровой политикой подразделений Министерства и организаций, подведомственных МТСЗН 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постоянной основе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– 2015 гг.</w:t>
            </w:r>
          </w:p>
        </w:tc>
      </w:tr>
      <w:tr>
        <w:trPr>
          <w:trHeight w:val="30" w:hRule="atLeast"/>
        </w:trPr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обеспечение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Развитие материально-технической базы Министерства, его подразделений и подведомственных организаций в интересах обеспечения бесперебойной деятельности и оптимизации административных расходов.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Обеспечение требований, установленных законодательством к проведению процедур госзакупок (Своевременное опубликование на сайте утвержденного плана государственных закупок и соответствующих изменений и дополнений; объявление государственных закупок в соответствии с планом; заключение договоров согласно процедурам государственных закупок). 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постоянной основе</w:t>
            </w:r>
          </w:p>
        </w:tc>
      </w:tr>
      <w:tr>
        <w:trPr>
          <w:trHeight w:val="30" w:hRule="atLeast"/>
        </w:trPr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Финансовое обеспечение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Применение мер предупредительного контроля, своевременное выявление, анализ и оценка потенциальных рисков в финансовом обеспечении деятельности Министерства.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Усиление персональной ответственности руководителей структурных подразделений Министерства и подведомственных ему организаций за эффективное освоение бюджетных средств.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Управление финансами и активами на основе использования информационной системы Казначейства Республики Казахстан.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постоянной основе</w:t>
            </w:r>
          </w:p>
        </w:tc>
      </w:tr>
    </w:tbl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5. Межведомственное взаимодействие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12"/>
        <w:gridCol w:w="2651"/>
        <w:gridCol w:w="5817"/>
      </w:tblGrid>
      <w:tr>
        <w:trPr>
          <w:trHeight w:val="30" w:hRule="atLeast"/>
        </w:trPr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задач, для достижения которых требуется межведомственное взаимодействие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орган, с которым осуществляется межведомственное взаимодействие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Меры, осуществляемые государственными органами</w:t>
            </w:r>
          </w:p>
        </w:tc>
      </w:tr>
      <w:tr>
        <w:trPr>
          <w:trHeight w:val="30" w:hRule="atLeast"/>
        </w:trPr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Стратегическое направление 1. Содействие росту трудовых ресурсов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1.1. Содействие росту рождаемости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1.1.1. Социальная поддержка семей с детьми</w:t>
            </w:r>
          </w:p>
        </w:tc>
      </w:tr>
      <w:tr>
        <w:trPr>
          <w:trHeight w:val="30" w:hRule="atLeast"/>
        </w:trPr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Удельный вес детей в возрасте до 18 лет, охваченных системой социальной поддержки (по отношению к общей численности детей).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Удельный вес детей до одного года, охваченных системой социальной поддержки, (по отношению к численности детей, рожденных в соответствующем году).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Обеспечение своевременного назначения и выплаты пособий на детей до 18 лет из малообеспеченных семей.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Обеспечение функционирования АИС «Социальная помощь: АСП, ГДП».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Стратегическое направление 2. Содействие продуктивной занятости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2.1. Повышение уровня занятости населения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2.1.1. Повышение качества трудовых ресурсов</w:t>
            </w:r>
          </w:p>
        </w:tc>
      </w:tr>
      <w:tr>
        <w:trPr>
          <w:trHeight w:val="285" w:hRule="atLeast"/>
        </w:trPr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Удельный вес лиц, охваченных переподготовкой и повышением квалификации, обучением основам предпринимательства из числа участников Дорожной карты занятости 2020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ДКЗ 2020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Удельный вес лиц, направленных на профессиональное обучение из числа обратившихся за содействием в органы занятости населения.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Заинтересованные государственные органы, объединения работодателей МОН, МИО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профессиональных стандартов в соответствующей отрасли деятельности и их применение в обучении (в организациях образования и на предприятиях, занимающихся внутрифирменной подготовкой персонала).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Проводить анализ развития рынка труда с определением потребности в кадрах на основе Методики определения потребности отраслей экономики в кадрах в разрезе отраслей, специальностей и регионов. 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2.1.2. Активизация безработных, самозанятого и малообеспеченного населения</w:t>
            </w:r>
          </w:p>
        </w:tc>
      </w:tr>
      <w:tr>
        <w:trPr>
          <w:trHeight w:val="765" w:hRule="atLeast"/>
        </w:trPr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Доля граждан, охваченных мероприятиями ДКЗ 2020, из числа обратившихся по вопросам участия в ней.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Доля женщин, охваченных мероприятиями ДКЗ 2020, из числа обратившихся по вопросам участия в ней.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Доля молодежи до 29 лет, охваченных мероприятиями ДКЗ 2020, из числа обратившихся по вопросам участия в ней.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Доля продуктивно занятых в общем числе самостоятельно занятого населения.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 областей, городов Астаны и Алматы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 МСХ, АО «ФФПСХ», АО «ФРП «Даму»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МРР, акимы областей, городов Астаны и Алматы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информированности населения в вопросах государственной политики занятости: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научно-практических семинаров, заседаний круглого стола, встреч с населением, работодателями, частными агентствами занятости;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выступления в СМИ;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информационных материалов на веб-сайте МТСЗН Модернизация служб занятости местных исполнительных органов.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предусмотренных ДКЗ 2020 совместных мероприятий в рамках первого направления: «Обеспечение занятости за счет развития инфраструктуры и жилищно – коммунального хозяйства».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предусмотренных ДКЗ 2020 совместных мероприятий в рамках второго направления «Создание рабочих мест через развитие предпринимательства и развития опорных сел».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предусмотренных ДКЗ 2020 совместных мероприятий в рамках третьего направления «Содействие в трудоустройстве через обучение и переселение в рамках потребностей работодателя».</w:t>
            </w:r>
          </w:p>
        </w:tc>
      </w:tr>
      <w:tr>
        <w:trPr>
          <w:trHeight w:val="8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Стратегическое направление 3. Реализация государственной политики в области миграции населения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3.1 Повышение эффективности управления и регулирования миграционных процессов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3.1.1. Регулирование миграционных процессов в сфере приема и адаптации этнических казахов</w:t>
            </w:r>
          </w:p>
        </w:tc>
      </w:tr>
      <w:tr>
        <w:trPr>
          <w:trHeight w:val="1410" w:hRule="atLeast"/>
        </w:trPr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Удельный вес оралманов, трудоустроенных (из числа обратившихся за содействием в органы занятости населения).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МЭБП, МИД, акимы областей, г.г. Астана, Алматы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совместных предложений по совершенствованию законодательства в вопросах приема и адаптации этнических казахов.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3.1.2. Регулирование направлений внутренней миграции</w:t>
            </w:r>
          </w:p>
        </w:tc>
      </w:tr>
      <w:tr>
        <w:trPr>
          <w:trHeight w:val="990" w:hRule="atLeast"/>
        </w:trPr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Удельный вес внутренних мигрантов к общему числу населения.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МЭБП, АС, МВД, акимы областей, г.г. Астана, Алматы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совместных предложений по совершенствованию законодательства в вопросах регулирования направлений внутренней миграции.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3.1.3. Управление трудовой миграции</w:t>
            </w:r>
          </w:p>
        </w:tc>
      </w:tr>
      <w:tr>
        <w:trPr>
          <w:trHeight w:val="1410" w:hRule="atLeast"/>
        </w:trPr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Удельный вес квалифицированных специалистов в составе привлекаемой иностранной рабочей силы.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МЭБП, МНГ, МИНТ, МРР, МВД, акимы областей, г.г. Астана, Алматы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совместных предложений по совершенствованию законодательства в вопросах управления трудовой миграции.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Стратегическое направление 4. Обеспечение реализации трудовых прав граждан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4.1 Защита трудовых прав и улучшение условий безопасности и охраны труда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4.1.3. Содействие развитию социального партнерства</w:t>
            </w:r>
          </w:p>
        </w:tc>
      </w:tr>
      <w:tr>
        <w:trPr>
          <w:trHeight w:val="30" w:hRule="atLeast"/>
        </w:trPr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Удельный вес предприятий, охваченных системой коллективно-договорных отношений (среди крупных и средних предприятий).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Соцпартнеры, заинтересованные государственные органы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Реализация трехсторонних соглашений, «Программы по достойному труду в Республике Казахстан на 2013 – 2015 годы», а также улучшение показателей ГИК.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Стратегическое направление 5. Содействие повышению благосостояния населения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5.1. Повышение уровня жизни населения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5.1.1. Содействие росту заработной платы</w:t>
            </w:r>
          </w:p>
        </w:tc>
      </w:tr>
      <w:tr>
        <w:trPr>
          <w:trHeight w:val="30" w:hRule="atLeast"/>
        </w:trPr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Динамика среднего размера заработной платы гражданских служащих (по отношению к предыдущему году).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Заинтересованные государственные органы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внедрение новой модели оплаты труда: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должностей гражданских служащих по функциональным блокам;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введение новой сетки коэффициентов;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оптимизация систем доплат и надбавок;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системы стимулирующих выплат и надбавок, зависящих от конечных результатов.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5.1.2. Обеспечение адекватности социального обеспечения</w:t>
            </w:r>
          </w:p>
        </w:tc>
      </w:tr>
      <w:tr>
        <w:trPr>
          <w:trHeight w:val="30" w:hRule="atLeast"/>
        </w:trPr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Удельный вес в совокупной пенсии: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базовой пенсионной выплаты (из Центра);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солидарной пенсии (из Центра);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накопительной пенсии (из НПФ).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Доля экономически активного населения, охваченного НПС;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системой обязательного социального страхования.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банк РК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систем пенсионного обеспечения и социального страхования.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изменений в нормативные правовые акты по пенсионному обеспечению и социальному страхованию.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устойчивости НПС и системы социального страхования.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5.1.3. Усиление адресности оказания социальной помощи</w:t>
            </w:r>
          </w:p>
        </w:tc>
      </w:tr>
      <w:tr>
        <w:trPr>
          <w:trHeight w:val="30" w:hRule="atLeast"/>
        </w:trPr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Доля получателей государственных детских пособий (ГДП) в общей численности населения, проживающего ниже ПМ.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Доля получателей АСП в общей численности населения, проживающего ниже ПМ.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Удельный вес трудоспособного населения в составе получателей АСП.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Доля семей, охваченных обусловленными денежными выплатами из числа семей, проживающих ниже ПМ.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МИО, МРР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своевременного и целевого назначения и выплаты малообеспеченным семьям государственной адресной социальной помощи.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учета и мониторинга предоставления социальной помощи.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подготовке предложений по внедрению обусловленной социальной помощи для малообеспеченных семей.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АИС «Социальная помощь: АСП, ГДП», «Е-собес».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комплекса мер по регулированию продовольственного рынка с применением рыночных механизмов, направленных на стабилизацию цен на основные виды продуктов питания.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Стратегическое направление 6. Формирование эффективной системы социальной поддержки уязвимых категорий населения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6.1. Повышение эффективности социальной поддержки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6.1.1. Развитие системы оказания специальных социальных услуг</w:t>
            </w:r>
          </w:p>
        </w:tc>
      </w:tr>
      <w:tr>
        <w:trPr>
          <w:trHeight w:val="30" w:hRule="atLeast"/>
        </w:trPr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Доля лиц, охваченных специальными социальными услугами, предоставляемыми субъектами частного сектора (в том числе, неправительственными организациями).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МИО, НПО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инфраструктуры оказания специальных социальных услуг и охвата специальными социальными услугами лиц, попавших в трудную жизненную ситуацию.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АИС «Е-собес».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6.1.2. Развитие системы реабилитации инвалидов</w:t>
            </w:r>
          </w:p>
        </w:tc>
      </w:tr>
      <w:tr>
        <w:trPr>
          <w:trHeight w:val="30" w:hRule="atLeast"/>
        </w:trPr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Доля реализованной социальной части индивидуальных программ реабилитации инвалидов (из числа разработанных ИПР за отчетный период прошлого года).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Заинтересованные органы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Взаимодействие заинтересованных организаций в рамках Координационного совета по вопросам социальной защиты инвалидов.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индивидуальной программы реабилитации инвалида (профессиональная, социальная часть) в пределах компетенций государственных органов.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Полный охват инвалидов, обратившихся в органы занятости содействием в трудоустройстве, согласно индивидуальной программы реабилитации инвалида.</w:t>
            </w:r>
          </w:p>
        </w:tc>
      </w:tr>
    </w:tbl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6. Управление рисками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23"/>
        <w:gridCol w:w="3413"/>
        <w:gridCol w:w="5244"/>
      </w:tblGrid>
      <w:tr>
        <w:trPr>
          <w:trHeight w:val="510" w:hRule="atLeast"/>
        </w:trPr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возможного риска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последствия в случае непринятия мер по управлению рисками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управлению рисками</w:t>
            </w:r>
          </w:p>
        </w:tc>
      </w:tr>
      <w:tr>
        <w:trPr>
          <w:trHeight w:val="30" w:hRule="atLeast"/>
        </w:trPr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Внешние риски в социально-трудовой сфере </w:t>
            </w:r>
          </w:p>
        </w:tc>
      </w:tr>
      <w:tr>
        <w:trPr>
          <w:trHeight w:val="1980" w:hRule="atLeast"/>
        </w:trPr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Ухудшение экономической конъюнктуры вследствие долгосрочной рецессии мировой экономики.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Высвобождение рабочей силы на предприятиях с экспортной ориентацией.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Улучшение системы мониторинга и прогнозирования ситуации на рынке труда.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Меры по предотвращению высвобождения рабочей силы вследствие реструктуризации, сокращения объемов производства и банкротства.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Заключение двусторонних и многосторонних соглашений в области трудовой миграции.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риски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Стратегическое направление 1. Содействие росту трудовых ресурсов</w:t>
            </w:r>
          </w:p>
        </w:tc>
      </w:tr>
      <w:tr>
        <w:trPr>
          <w:trHeight w:val="30" w:hRule="atLeast"/>
        </w:trPr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Ухудшение положения семей с детьми вследствие ухудшения макроэкономической ситуации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доли семей с детьми, имеющих доходы ниже установленного прожиточного минимума и, как следствие, снижение рождаемости в стране.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Поэтапное повышение пособий семей с детьми.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Усиленние адресности оказания социальной помощи семьям с детьми.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Стратегическое направление 2. Содействие продуктивной занятости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0" w:hRule="atLeast"/>
        </w:trPr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Снижение спроса на рабочую силу и изменение структуры занятости вследствие экономической рецессии.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 безработицы.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Высвобождение рабочей силы вследствие реструктуризации, банкротства и приостановки предприятий.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Дисбаланс спроса и предложения на региональных рынках труда.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Низкий охват безработных и самозанятых граждан мероприятиями ДКЗ 2020.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Меры по сохранению рабочих мест и содействию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Совместно с МИО разработка и реализация карт занятости регионов для регулирования спроса и предложения на рынке труда.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Стратегическое направление 3. Реализация государственной политики в области миграции населения</w:t>
            </w:r>
          </w:p>
        </w:tc>
      </w:tr>
      <w:tr>
        <w:trPr>
          <w:trHeight w:val="30" w:hRule="atLeast"/>
        </w:trPr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Нарушение законодательства в сфере миграции населения.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Нелегальная трудовая миграция.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 конкуренции на рынке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труда. Нарушение интересов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казахстанских граждан и прав трудовых мигрантов.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Мониторинг миграции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предложений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совершенствованию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законодательной базы в вопросах миграции.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Стратегическое направление 4. Обеспечение реализации трудовых прав граждан</w:t>
            </w:r>
          </w:p>
        </w:tc>
      </w:tr>
      <w:tr>
        <w:trPr>
          <w:trHeight w:val="1035" w:hRule="atLeast"/>
        </w:trPr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Нарушения трудовых прав работников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Задолженность по заработной плате, несоблюдение режима труда и отдыха, дискриминация при приеме на работу, в оплате труда и т.д.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Охват средних и крупных предприятий системой коллективно-договорных отношений.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Усиление контроля ГИТ</w:t>
            </w:r>
          </w:p>
        </w:tc>
      </w:tr>
      <w:tr>
        <w:trPr>
          <w:trHeight w:val="1035" w:hRule="atLeast"/>
        </w:trPr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Нарушения в области безопасности и охраны труда, в том числе с использованием устаревшего оборудования, техники и технологий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Возникновение профессионального риска потери трудоспособности (несчастные случаи на производстве, профзаболевания).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 производственного травматизма и профессиональных заболеваний.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Внедрение системы управления рисками по обеспечению безопасных условий труда и международных стандартов охраны и безопасности труда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Стратегическое направление 5. Содействие повышению благосостояния населения</w:t>
            </w:r>
          </w:p>
        </w:tc>
      </w:tr>
      <w:tr>
        <w:trPr>
          <w:trHeight w:val="240" w:hRule="atLeast"/>
        </w:trPr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Несовершенство стандартов социального обеспечения.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Недостаточный охват населения НПС и системой обязательного социального страхования.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Низкий уровень пенсионного и социального обеспечения.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Неадекватность пенсионного и социального обеспечения.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Стимулирование участия населения в накопительной пенсионной системе и системе социального страхования.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Увеличение числа участников НПС через реализацию активных мер занятости</w:t>
            </w:r>
          </w:p>
        </w:tc>
      </w:tr>
      <w:tr>
        <w:trPr>
          <w:trHeight w:val="495" w:hRule="atLeast"/>
        </w:trPr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Высокий уровень инфляции.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покупательной способности пенсионных и социальных выплат;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 пенсионных накоплений в НПФ и активов ГФСС.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Поэтапное повышение размеров пенсий и государственных социальных пособий.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Повышение эффективности накопительной пенсионной системы за счет создания необходимых условий для выгодного размещения пенсионных активов и роста их доходности.</w:t>
            </w:r>
          </w:p>
        </w:tc>
      </w:tr>
      <w:tr>
        <w:trPr>
          <w:trHeight w:val="495" w:hRule="atLeast"/>
        </w:trPr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Несоответствие минимальных социальных стандартов международному уровню.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 бедности. Развитие иждивенчества.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Поэтапное повышение минимальных социальных стандартов с учетом стабильного экономического развития страны.</w:t>
            </w:r>
          </w:p>
        </w:tc>
      </w:tr>
      <w:tr>
        <w:trPr>
          <w:trHeight w:val="495" w:hRule="atLeast"/>
        </w:trPr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Неэффективность мер социальной помощи и поддержки.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Возникновение социальной напряженности.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Усиление адресности социальной помощи.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Стратегическое направление 6. Формирование эффективной системы социальной поддержки уязвимых категорий населения</w:t>
            </w:r>
          </w:p>
        </w:tc>
      </w:tr>
      <w:tr>
        <w:trPr>
          <w:trHeight w:val="30" w:hRule="atLeast"/>
        </w:trPr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Неразвитость альтернативных форм оказания специальных социальных услуг.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доступа к специальным социальным услугам.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Развитие альтернативных форм оказания специальных социальных услуг и расширение сети социальных служб.</w:t>
            </w:r>
          </w:p>
        </w:tc>
      </w:tr>
    </w:tbl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7. Бюджетные программы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Раздел с изменениями, внесенными постановлением Правительства РК от 12.06.2014 </w:t>
      </w:r>
      <w:r>
        <w:rPr>
          <w:rFonts w:ascii="Times New Roman"/>
          <w:b w:val="false"/>
          <w:i w:val="false"/>
          <w:color w:val="ff0000"/>
          <w:sz w:val="28"/>
        </w:rPr>
        <w:t>№ 643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4"/>
        <w:gridCol w:w="1501"/>
        <w:gridCol w:w="983"/>
        <w:gridCol w:w="1043"/>
        <w:gridCol w:w="1003"/>
        <w:gridCol w:w="1263"/>
        <w:gridCol w:w="1103"/>
        <w:gridCol w:w="1064"/>
        <w:gridCol w:w="1086"/>
      </w:tblGrid>
      <w:tr>
        <w:trPr>
          <w:trHeight w:val="480" w:hRule="atLeast"/>
        </w:trPr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программа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«Формирование государственной политики в области труда, занятости, социальной защиты и миграции населения»</w:t>
            </w:r>
          </w:p>
        </w:tc>
      </w:tr>
      <w:tr>
        <w:trPr>
          <w:trHeight w:val="1860" w:hRule="atLeast"/>
        </w:trPr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аппарата Министерства и его территориальных органов; обеспечение соблюдения конституционных гарантий в социально-трудовой сфере; реализация единой социальной политики; осуществление управления трудовой миграцией; государственный надзор за соблюдением трудового и социального законодательства; контроль качества оказания специальных социальных услуг; разработка и реализация целевых и международных программ в социально-трудовой сфере; создание единого информационного обеспечения в социально-трудовой сфере; проведение актуальных исследований в области труда, занятости, социальной защиты населения</w:t>
            </w:r>
          </w:p>
        </w:tc>
      </w:tr>
      <w:tr>
        <w:trPr>
          <w:trHeight w:val="375" w:hRule="atLeast"/>
        </w:trPr>
        <w:tc>
          <w:tcPr>
            <w:tcW w:w="4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мости от содер-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 вытекающих из них государственных услуг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мости от способа реали-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225" w:hRule="atLeast"/>
        </w:trPr>
        <w:tc>
          <w:tcPr>
            <w:tcW w:w="4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15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  <w:tc>
          <w:tcPr>
            <w:tcW w:w="10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прямого результата</w:t>
            </w:r>
          </w:p>
        </w:tc>
      </w:tr>
      <w:tr>
        <w:trPr>
          <w:trHeight w:val="450" w:hRule="atLeast"/>
        </w:trPr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стратегических документов Системы государственного планирования в рамках компетенции Министерства труда и социальной защиты населения Республики Казахстан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4*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4*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4*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разработанных нормативно-правовых актов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пересмотренных выпусков ЕТКС, КС и квалификационных характеристик должностей служащих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конкурса по социальной ответственности бизнеса «Парыз»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предприятий, охваченных системой коллективно-договорных отношений (среди крупных и средних предприятий)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92,2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83,0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разработанных стандартов оказываемых государственных услуг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сотрудников, прошедших обучение государственному и английскому языкам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проведенных исследований в области труда, занятости, социальной защиты населения и услуг в рамках государственного социального заказа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конечного результата</w:t>
            </w:r>
          </w:p>
        </w:tc>
      </w:tr>
      <w:tr>
        <w:trPr>
          <w:trHeight w:val="450" w:hRule="atLeast"/>
        </w:trPr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Эффективная реализация государственной политики в области труда, занятости, социальной защиты населения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Показатель качества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нормативной правовой базы системы социального обеспечения, повышение ответственности государственных органов, расширение доступности и повышение уровня государственных услуг, квалификации специалистов системы социального обеспечения.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профессионального уровня государственных служащих согласно требованиям профессиональной государственной службы в соответствии с современными экономическими условиями.</w:t>
            </w:r>
          </w:p>
        </w:tc>
      </w:tr>
      <w:tr>
        <w:trPr>
          <w:trHeight w:val="405" w:hRule="atLeast"/>
        </w:trPr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эффективности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Средние затраты на содержание одной единицы штатной численности 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2 271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3 083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3 077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3 138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объем затрат на единицу исследования и услуг в рамках государственного социального заказа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16 121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10 598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24 960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11 545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7 591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2 969 148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3 356 395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2 996 138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2 779 680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2 806 229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 учетом разработки Стратегического плана Министерства труда и социальной защиты населения Республики Казахстан в рамках уточнения бюджета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23"/>
        <w:gridCol w:w="960"/>
        <w:gridCol w:w="1083"/>
        <w:gridCol w:w="1058"/>
        <w:gridCol w:w="1358"/>
        <w:gridCol w:w="1078"/>
        <w:gridCol w:w="1018"/>
        <w:gridCol w:w="832"/>
        <w:gridCol w:w="1070"/>
      </w:tblGrid>
      <w:tr>
        <w:trPr>
          <w:trHeight w:val="585" w:hRule="atLeast"/>
        </w:trPr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 «Социальное обеспечение отдельных категорий граждан»</w:t>
            </w:r>
          </w:p>
        </w:tc>
      </w:tr>
      <w:tr>
        <w:trPr>
          <w:trHeight w:val="705" w:hRule="atLeast"/>
        </w:trPr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солидарных пенсий;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базовых пенсионных выплат;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надбавок к пенсиям граждан, пострадавших вследствие ядерных испытании на Семипалатинском испытательном ядерном полигоне;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 по государственной гарантии сохранности обязательных пенсионных взносов, обязательных профессиональных пенсионных взносов в единый накопительный пенсионный фонд;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обязательных пенсионных взносов получателям социальных выплат в случае потери дохода в связи с уходом за ребенком по достижении им возраста одного года;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базового пособия по инвалидности;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базового пособия по случаю потери кормильца;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базового пособия по возрасту;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пособия на погребение пенсионеров, участников и инвалидов ВОВ;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пособия на погребение получателей государственных базовых пособий и государственных специальных пособий;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специальных пособий</w:t>
            </w:r>
          </w:p>
        </w:tc>
      </w:tr>
      <w:tr>
        <w:trPr>
          <w:trHeight w:val="480" w:hRule="atLeast"/>
        </w:trPr>
        <w:tc>
          <w:tcPr>
            <w:tcW w:w="5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трансфертов и бюджетных субсидий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510" w:hRule="atLeast"/>
        </w:trPr>
        <w:tc>
          <w:tcPr>
            <w:tcW w:w="5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  <w:tc>
          <w:tcPr>
            <w:tcW w:w="1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прямого результата</w:t>
            </w:r>
          </w:p>
        </w:tc>
      </w:tr>
      <w:tr>
        <w:trPr>
          <w:trHeight w:val="405" w:hRule="atLeast"/>
        </w:trPr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Среднегодовая численность получателей: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4 344 231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4 453 887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4 845 493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4 645 193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4 730 741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базовой пенсионной выплаты 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1 780 752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1 838 910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1 904 229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1 926 778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1 969 925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солидарной пенсии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1 753 184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1 808 987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1 873 443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1 896 044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1 936 246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надбавок к пенсиям граждан, пострадавших вследствие ядерных испытаний на Семипалатинском испытательном ядерном полигоне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 обязательств по государственной гарантии сохранности обязательных пенсионных взносов и обязательных профессиональных пенсионных взносов в едином накопительном пенсионном фонде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106 718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81 975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117 469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125 651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135 556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базового пособия по инвалидности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469 685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478 634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485 980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483 516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485 147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базового пособия по случаю потери кормильца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185 232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179 406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172 123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181 841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181 980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базового пособия по возрасту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21 367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18 630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12 519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27 024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28 871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пособия на погребение пенсионеров, участников и инвалидов ВОВ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77 207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75 627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77 299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76 536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76 539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пособия на погребение получателей государственных социальных пособий и государственных специальных пособий 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15 986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15 247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18 969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19 798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20 631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специального пособия по списку № 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26 094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25 161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24 333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22 923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21 619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специального пособия по списку № 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14 718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13 284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11 594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10 720 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9 772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обязательных пенсионных взносов получателям социальных выплат в случае потери дохода в связи с уходом за ребенком по достижении им возраста одного года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147 520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151 954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154 222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конечного результата</w:t>
            </w:r>
          </w:p>
        </w:tc>
      </w:tr>
      <w:tr>
        <w:trPr>
          <w:trHeight w:val="255" w:hRule="atLeast"/>
        </w:trPr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пенсионерам и инвалидам, достигшим пенсионного возраста, базовой пенсионной выплаты в % от ПМ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своевременной выплаты назначенных пенсий и базовых пенсионных выплат, надбавок к пенсиям граждан, пострадавших вследствие ядерных испытаний на Семипалатинском испытательном ядерном полигоне, государственных базовых пособий по инвалидности, по случаю потери кормильца и по возрасту, государственных специальных пособий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своевременной выплаты пособий на погребение лицам, обратившимся и имеющим право на его получение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Показатель качества 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эффективности</w:t>
            </w:r>
          </w:p>
        </w:tc>
      </w:tr>
      <w:tr>
        <w:trPr>
          <w:trHeight w:val="255" w:hRule="atLeast"/>
        </w:trPr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Размер базовой пенсионной выплаты 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9 330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10 682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11 430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Средний размер солидарных пенсий 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30 045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32 386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36 145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38 329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41 755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государственных базовых пособий: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по инвалидности от общего заболевания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группа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23 717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25 378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28 352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29 055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31 088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группа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18 485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19 780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22 163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22 646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24 231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группа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12 905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13 808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15 574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15 809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16 916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по случаю потери кормильца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1 иждивенце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11 510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12 316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13 777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15 087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2 иждивенцах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19 880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21 272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23 760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24 355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26 059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3 иждивенцах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24 589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26 311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29 550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30 123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32 231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4 иждивенцах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26 158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27 990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31 347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32 046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34 289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5 иждивенцах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27 031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28 923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32 345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33 114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35 431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6 и более иждивенцах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28 077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30 043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33 743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34 396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36 803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в) по возрасту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9 330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10 682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11 430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пособия на погребение участников и инвалидов ВОВ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56 630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60 585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67 784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69 370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74 235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Размер пособия на погребение пенсионеров, получателей государственных базовых пособий и государственных специальных пособий 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24 270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25 965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29 077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31 815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государственного специального пособия по списку № 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17 446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17 838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19 089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государственного специального пособия по списку № 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12 944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13 848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15 520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15 856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16968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974 083 479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1 076 767 304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1 245 957 339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1 326 377 047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1 463 440 993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85"/>
        <w:gridCol w:w="967"/>
        <w:gridCol w:w="1043"/>
        <w:gridCol w:w="1043"/>
        <w:gridCol w:w="1143"/>
        <w:gridCol w:w="1083"/>
        <w:gridCol w:w="963"/>
        <w:gridCol w:w="1119"/>
        <w:gridCol w:w="1034"/>
      </w:tblGrid>
      <w:tr>
        <w:trPr>
          <w:trHeight w:val="405" w:hRule="atLeast"/>
        </w:trPr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программа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 «Специальные государственные пособия»</w:t>
            </w:r>
          </w:p>
        </w:tc>
      </w:tr>
      <w:tr>
        <w:trPr>
          <w:trHeight w:val="570" w:hRule="atLeast"/>
        </w:trPr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дополнительной материальной поддержки отдельным категориям граждан в виде выплат специальных государственных пособий</w:t>
            </w:r>
          </w:p>
        </w:tc>
      </w:tr>
      <w:tr>
        <w:trPr>
          <w:trHeight w:val="210" w:hRule="atLeast"/>
        </w:trPr>
        <w:tc>
          <w:tcPr>
            <w:tcW w:w="5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трансфертов и бюджетных субсидий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75" w:hRule="atLeast"/>
        </w:trPr>
        <w:tc>
          <w:tcPr>
            <w:tcW w:w="5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  <w:tc>
          <w:tcPr>
            <w:tcW w:w="10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прямого результата</w:t>
            </w:r>
          </w:p>
        </w:tc>
      </w:tr>
      <w:tr>
        <w:trPr>
          <w:trHeight w:val="315" w:hRule="atLeast"/>
        </w:trPr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Среднегодовая численность получателей специальных государственных пособий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1 291 320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1 297 963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1 313 633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1 296 819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1 297 844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конечного результата</w:t>
            </w:r>
          </w:p>
        </w:tc>
      </w:tr>
      <w:tr>
        <w:trPr>
          <w:trHeight w:val="315" w:hRule="atLeast"/>
        </w:trPr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своевременной выплаты назначенных специальных государственных пособий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Показатель качества 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эффективности</w:t>
            </w:r>
          </w:p>
        </w:tc>
      </w:tr>
      <w:tr>
        <w:trPr>
          <w:trHeight w:val="315" w:hRule="atLeast"/>
        </w:trPr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Отношение размера специальных государственных пособий к величине непродовольственной части ПМ: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инвалиды 1 и 2 группы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инвалиды 3 группы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дети-инвалиды до 16 лет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многодетные матери, награжденные подвесками «Алтын алқа» и «Күміс алқа» и многодетные семьи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75 610 203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80 549 228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89 333 938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90 264 820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96 103 428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58"/>
        <w:gridCol w:w="1187"/>
        <w:gridCol w:w="1364"/>
        <w:gridCol w:w="1165"/>
        <w:gridCol w:w="1098"/>
        <w:gridCol w:w="1010"/>
        <w:gridCol w:w="1099"/>
        <w:gridCol w:w="988"/>
        <w:gridCol w:w="1011"/>
      </w:tblGrid>
      <w:tr>
        <w:trPr>
          <w:trHeight w:val="405" w:hRule="atLeast"/>
        </w:trPr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программа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 «Единовременные государственные денежные компенсации отдельным категориям граждан»</w:t>
            </w:r>
          </w:p>
        </w:tc>
      </w:tr>
      <w:tr>
        <w:trPr>
          <w:trHeight w:val="795" w:hRule="atLeast"/>
        </w:trPr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государством обязательств прошлых лет по выплате единовременных государственных денежных компенсаций: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пострадавшим вследствие ядерных испытаний на Семипалатинском испытательном ядерном полигоне;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реабилитированным гражданам, признанным жертвами массовых политических репрессий</w:t>
            </w:r>
          </w:p>
        </w:tc>
      </w:tr>
      <w:tr>
        <w:trPr>
          <w:trHeight w:val="255" w:hRule="atLeast"/>
        </w:trPr>
        <w:tc>
          <w:tcPr>
            <w:tcW w:w="50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трансфертов и бюджетных субсидий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225" w:hRule="atLeast"/>
        </w:trPr>
        <w:tc>
          <w:tcPr>
            <w:tcW w:w="50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1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  <w:tc>
          <w:tcPr>
            <w:tcW w:w="1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прямого результата</w:t>
            </w:r>
          </w:p>
        </w:tc>
      </w:tr>
      <w:tr>
        <w:trPr>
          <w:trHeight w:val="360" w:hRule="atLeast"/>
        </w:trPr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пострадавших граждан вследствие ядерных испытаний на Семипалатинском испытательном ядерном полигоне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4 493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3 727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2 790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2 526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2 290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Среднегодовая численность реабилитированных граждан 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конечного результата</w:t>
            </w:r>
          </w:p>
        </w:tc>
      </w:tr>
      <w:tr>
        <w:trPr>
          <w:trHeight w:val="360" w:hRule="atLeast"/>
        </w:trPr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задолженности по выплате компенсаций обратившихся граждан из числа населения, пострадавших вследствие ядерного испытания на СИЯП 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Компенсирование материального и морального вреда обратившихся граждан из числа граждан-жертв массовых политических репрессий 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Показатель качества 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эффективности</w:t>
            </w:r>
          </w:p>
        </w:tc>
      </w:tr>
      <w:tr>
        <w:trPr>
          <w:trHeight w:val="360" w:hRule="atLeast"/>
        </w:trPr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размер единовременной денежной компенсации пострадавших граждан вследствие ядерных испытаний на Семипалатинском испытательном ядерном полигоне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18 764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25 021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17 282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16 755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15 624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размер единовременной денежной компенсации реабилитированным гражданам-жертвам массовых политических репрессий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95 177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94 382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69 739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78 316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84 500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86 796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80 689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51 426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45 298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38 651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7"/>
        <w:gridCol w:w="1185"/>
        <w:gridCol w:w="1283"/>
        <w:gridCol w:w="1343"/>
        <w:gridCol w:w="1204"/>
        <w:gridCol w:w="1044"/>
        <w:gridCol w:w="1024"/>
        <w:gridCol w:w="947"/>
        <w:gridCol w:w="1013"/>
      </w:tblGrid>
      <w:tr>
        <w:trPr>
          <w:trHeight w:val="450" w:hRule="atLeast"/>
        </w:trPr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программа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 «Государственные пособия семьям, имеющим детей»</w:t>
            </w:r>
          </w:p>
        </w:tc>
      </w:tr>
      <w:tr>
        <w:trPr>
          <w:trHeight w:val="480" w:hRule="atLeast"/>
        </w:trPr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семей, имеющих детей в виде выплат: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единовременного пособия на рождение ребенка;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пособия по уходу за ребенком до одного года;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пособия родителям, опекунам, воспитывающим детей – инвалидов.</w:t>
            </w:r>
          </w:p>
        </w:tc>
      </w:tr>
      <w:tr>
        <w:trPr>
          <w:trHeight w:val="150" w:hRule="atLeast"/>
        </w:trPr>
        <w:tc>
          <w:tcPr>
            <w:tcW w:w="4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трансфертов и бюджетных субсидий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420" w:hRule="atLeast"/>
        </w:trPr>
        <w:tc>
          <w:tcPr>
            <w:tcW w:w="4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  <w:tc>
          <w:tcPr>
            <w:tcW w:w="1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прямого результата</w:t>
            </w:r>
          </w:p>
        </w:tc>
      </w:tr>
      <w:tr>
        <w:trPr>
          <w:trHeight w:val="225" w:hRule="atLeast"/>
        </w:trPr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Среднегодовая численность получателей государственных пособий: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587 793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603 839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615 266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616 265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622 654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рождение ребенка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381 178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385 143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386 874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390 107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391 455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уходу за ребенком до одного года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147 881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157 065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162 761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159 683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162 292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родителей, опекунов, воспитывающих детей – инвалидов 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58 734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61 631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65 631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66 474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68 907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конечного результата</w:t>
            </w:r>
          </w:p>
        </w:tc>
      </w:tr>
      <w:tr>
        <w:trPr>
          <w:trHeight w:val="225" w:hRule="atLeast"/>
        </w:trPr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своевременной выплаты назначенных государственных пособий в связи с рождением ребенка и по уходу за ребенком до одного года, государственного пособия родителям, опекунам, воспитывающим детей – инвалидов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Показатель качества 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эффективности</w:t>
            </w:r>
          </w:p>
        </w:tc>
      </w:tr>
      <w:tr>
        <w:trPr>
          <w:trHeight w:val="225" w:hRule="atLeast"/>
        </w:trPr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Размер единовременного пособия на рождение ребенка: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1, 2, 3 ребенка 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48 540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51 930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58 172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59 460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63 630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4-го и более ребенка в семье 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80 900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86 550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96 953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99 100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106 050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Средний размер пособия по уходу за ребенком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13 867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14 626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16 384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17 820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19 061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Размер пособия родителям, опекунам, воспитывающим детей-инвалидов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18 660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20 965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21 364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22 859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57 383 792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64 308 502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73 333 744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78 810 962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85 715 061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87"/>
        <w:gridCol w:w="1063"/>
        <w:gridCol w:w="1262"/>
        <w:gridCol w:w="1080"/>
        <w:gridCol w:w="1325"/>
        <w:gridCol w:w="997"/>
        <w:gridCol w:w="1063"/>
        <w:gridCol w:w="1085"/>
        <w:gridCol w:w="1218"/>
      </w:tblGrid>
      <w:tr>
        <w:trPr>
          <w:trHeight w:val="420" w:hRule="atLeast"/>
        </w:trPr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программа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 «Оказание социальной помощи оралманам»</w:t>
            </w:r>
          </w:p>
        </w:tc>
      </w:tr>
      <w:tr>
        <w:trPr>
          <w:trHeight w:val="690" w:hRule="atLeast"/>
        </w:trPr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единовременного пособия семьям оралманов, возмещение расходов по проезду к постоянному месту жительства и провозу имущества (в том числе скота), выделение средств для приобретения жилья</w:t>
            </w:r>
          </w:p>
        </w:tc>
      </w:tr>
      <w:tr>
        <w:trPr>
          <w:trHeight w:val="420" w:hRule="atLeast"/>
        </w:trPr>
        <w:tc>
          <w:tcPr>
            <w:tcW w:w="4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трансфертов и бюджетных субсидий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405" w:hRule="atLeast"/>
        </w:trPr>
        <w:tc>
          <w:tcPr>
            <w:tcW w:w="4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1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  <w:tc>
          <w:tcPr>
            <w:tcW w:w="1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прямого результата</w:t>
            </w:r>
          </w:p>
        </w:tc>
      </w:tr>
      <w:tr>
        <w:trPr>
          <w:trHeight w:val="615" w:hRule="atLeast"/>
        </w:trPr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оралманов, обратившихся за выплатой единовременных пособий и компенсаций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семей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конечного результата</w:t>
            </w:r>
          </w:p>
        </w:tc>
      </w:tr>
      <w:tr>
        <w:trPr>
          <w:trHeight w:val="615" w:hRule="atLeast"/>
        </w:trPr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Полный охват выплатой единовременных пособий и компенсаций обратившихся оралманов и членов их семей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Показатель качества 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Показатель эффективности </w:t>
            </w:r>
          </w:p>
        </w:tc>
      </w:tr>
      <w:tr>
        <w:trPr>
          <w:trHeight w:val="375" w:hRule="atLeast"/>
        </w:trPr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Средний размер единовременного пособия семьям оралманов 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203 069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202 251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тг.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1 300 000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155 329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87"/>
        <w:gridCol w:w="1102"/>
        <w:gridCol w:w="1191"/>
        <w:gridCol w:w="1302"/>
        <w:gridCol w:w="1346"/>
        <w:gridCol w:w="1102"/>
        <w:gridCol w:w="947"/>
        <w:gridCol w:w="902"/>
        <w:gridCol w:w="1081"/>
      </w:tblGrid>
      <w:tr>
        <w:trPr>
          <w:trHeight w:val="405" w:hRule="atLeast"/>
        </w:trPr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программа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 «Прикладные научные исследования»</w:t>
            </w:r>
          </w:p>
        </w:tc>
      </w:tr>
      <w:tr>
        <w:trPr>
          <w:trHeight w:val="600" w:hRule="atLeast"/>
        </w:trPr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научно-исследовательских работ в области безопасности и охраны труда, рынка труда</w:t>
            </w:r>
          </w:p>
        </w:tc>
      </w:tr>
      <w:tr>
        <w:trPr>
          <w:trHeight w:val="285" w:hRule="atLeast"/>
        </w:trPr>
        <w:tc>
          <w:tcPr>
            <w:tcW w:w="4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 вытекающих из них государственных услуг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405" w:hRule="atLeast"/>
        </w:trPr>
        <w:tc>
          <w:tcPr>
            <w:tcW w:w="4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1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  <w:tc>
          <w:tcPr>
            <w:tcW w:w="1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прямого результата</w:t>
            </w:r>
          </w:p>
        </w:tc>
      </w:tr>
      <w:tr>
        <w:trPr>
          <w:trHeight w:val="420" w:hRule="atLeast"/>
        </w:trPr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тематических заданий научно-исследовательских работ, в том числе: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охраны и безопасности труда, управления и методов воздействия на условия труда и профессиональные риски;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разработки экономических расчетов (нормативов) от производственного травматизма и профзаболеваний в различных отраслях экономики Республики Казахстан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конечного результата</w:t>
            </w:r>
          </w:p>
        </w:tc>
      </w:tr>
      <w:tr>
        <w:trPr>
          <w:trHeight w:val="420" w:hRule="atLeast"/>
        </w:trPr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предприятий, на которых внедрены результаты научно-исследовательских работ, в том числе по отраслям: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нефтегазовая 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горнорудная промышленность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лесная 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строительная 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энергетика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угольная промышленность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геология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железнодорожный транспорт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автомобильный транспорт 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учреждения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строительных материалов и пластиковых изделий, керамики, фарфора и фаянсовых изделий и стекольное производство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обрабатывающая промышленность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связь 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машиностроение и приборостроение 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атомная энергетика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качества</w:t>
            </w:r>
          </w:p>
        </w:tc>
      </w:tr>
      <w:tr>
        <w:trPr>
          <w:trHeight w:val="855" w:hRule="atLeast"/>
        </w:trPr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Методологическое и нормативное обеспечение (разработанные методические рекомендации, методики, стандарты, нормативы и нормы)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эффективности</w:t>
            </w:r>
          </w:p>
        </w:tc>
      </w:tr>
      <w:tr>
        <w:trPr>
          <w:trHeight w:val="585" w:hRule="atLeast"/>
        </w:trPr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 доли работников, занятых в неудовлетворительных, вредных условиях труда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размер стоимости одного тематического задания научно-исследовательских работ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11 899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12 200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13 168,2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71 395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73 197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79 009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7"/>
        <w:gridCol w:w="1283"/>
        <w:gridCol w:w="1183"/>
        <w:gridCol w:w="1095"/>
        <w:gridCol w:w="953"/>
        <w:gridCol w:w="1153"/>
        <w:gridCol w:w="1045"/>
        <w:gridCol w:w="1087"/>
        <w:gridCol w:w="1154"/>
      </w:tblGrid>
      <w:tr>
        <w:trPr>
          <w:trHeight w:val="555" w:hRule="atLeast"/>
        </w:trPr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«Услуги по информационно-аналитическому обеспечению по базе занятости и бедности»</w:t>
            </w:r>
          </w:p>
        </w:tc>
      </w:tr>
      <w:tr>
        <w:trPr>
          <w:trHeight w:val="705" w:hRule="atLeast"/>
        </w:trPr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 ведение общереспубликанской базы данных по вопросам занятости и обработка информации по бедности</w:t>
            </w:r>
          </w:p>
        </w:tc>
      </w:tr>
      <w:tr>
        <w:trPr>
          <w:trHeight w:val="690" w:hRule="atLeast"/>
        </w:trPr>
        <w:tc>
          <w:tcPr>
            <w:tcW w:w="50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 вытекающих из них государственных услуг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405" w:hRule="atLeast"/>
        </w:trPr>
        <w:tc>
          <w:tcPr>
            <w:tcW w:w="50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  <w:tc>
          <w:tcPr>
            <w:tcW w:w="1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прямого результата</w:t>
            </w:r>
          </w:p>
        </w:tc>
      </w:tr>
      <w:tr>
        <w:trPr>
          <w:trHeight w:val="390" w:hRule="atLeast"/>
        </w:trPr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обрабатываемой информации, в том числе: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ед.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8 664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12 608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10 415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9 495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базе занятости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ед.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5 475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базе бедности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ед.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2 548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1 920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прочая информация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ед.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3 176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3 020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2 115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конечного результата</w:t>
            </w:r>
          </w:p>
        </w:tc>
      </w:tr>
      <w:tr>
        <w:trPr>
          <w:trHeight w:val="570" w:hRule="atLeast"/>
        </w:trPr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Своевременное представление отчетности в Министерство и выполнение возложенных функций 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качества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эффективности</w:t>
            </w:r>
          </w:p>
        </w:tc>
      </w:tr>
      <w:tr>
        <w:trPr>
          <w:trHeight w:val="630" w:hRule="atLeast"/>
        </w:trPr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одной единицы обрабатываемой информации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16,5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26,92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27,00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27,00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142 912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245 855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282 693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281 131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256 386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2"/>
        <w:gridCol w:w="917"/>
        <w:gridCol w:w="1078"/>
        <w:gridCol w:w="1364"/>
        <w:gridCol w:w="1221"/>
        <w:gridCol w:w="1041"/>
        <w:gridCol w:w="1041"/>
        <w:gridCol w:w="1107"/>
        <w:gridCol w:w="1239"/>
      </w:tblGrid>
      <w:tr>
        <w:trPr>
          <w:trHeight w:val="855" w:hRule="atLeast"/>
        </w:trPr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программа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«Целевые трансферты на развитие областным бюджетам, бюджетам городов Астаны и Алматы на строительство и реконструкцию объектов социального обеспечения»</w:t>
            </w:r>
          </w:p>
        </w:tc>
      </w:tr>
      <w:tr>
        <w:trPr>
          <w:trHeight w:val="450" w:hRule="atLeast"/>
        </w:trPr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</w:tr>
      <w:tr>
        <w:trPr>
          <w:trHeight w:val="555" w:hRule="atLeast"/>
        </w:trPr>
        <w:tc>
          <w:tcPr>
            <w:tcW w:w="4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трансфертов и бюджетных субсидий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</w:tr>
      <w:tr>
        <w:trPr>
          <w:trHeight w:val="465" w:hRule="atLeast"/>
        </w:trPr>
        <w:tc>
          <w:tcPr>
            <w:tcW w:w="4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  <w:tc>
          <w:tcPr>
            <w:tcW w:w="1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прямого результата</w:t>
            </w:r>
          </w:p>
        </w:tc>
      </w:tr>
      <w:tr>
        <w:trPr>
          <w:trHeight w:val="720" w:hRule="atLeast"/>
        </w:trPr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объектов строительства и реконструкции объектов социального обеспечения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конечного результата</w:t>
            </w:r>
          </w:p>
        </w:tc>
      </w:tr>
      <w:tr>
        <w:trPr>
          <w:trHeight w:val="705" w:hRule="atLeast"/>
        </w:trPr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Своевременный ввод в эксплуатацию объектов строительства и реконструкции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Показатель качества </w:t>
            </w:r>
          </w:p>
        </w:tc>
      </w:tr>
      <w:tr>
        <w:trPr>
          <w:trHeight w:val="480" w:hRule="atLeast"/>
        </w:trPr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строительным нормам и правилам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эффективности</w:t>
            </w:r>
          </w:p>
        </w:tc>
      </w:tr>
      <w:tr>
        <w:trPr>
          <w:trHeight w:val="450" w:hRule="atLeast"/>
        </w:trPr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1 020 274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1 976 788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1 179 000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41"/>
        <w:gridCol w:w="980"/>
        <w:gridCol w:w="1248"/>
        <w:gridCol w:w="1128"/>
        <w:gridCol w:w="1090"/>
        <w:gridCol w:w="892"/>
        <w:gridCol w:w="1200"/>
        <w:gridCol w:w="1090"/>
        <w:gridCol w:w="1311"/>
      </w:tblGrid>
      <w:tr>
        <w:trPr>
          <w:trHeight w:val="690" w:hRule="atLeast"/>
        </w:trPr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программа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 «Целевые текущие трансферты областным бюджетам, бюджетам городов Астаны и Алматы на предоставление специальных социальных услуг»</w:t>
            </w:r>
          </w:p>
        </w:tc>
      </w:tr>
      <w:tr>
        <w:trPr>
          <w:trHeight w:val="1560" w:hRule="atLeast"/>
        </w:trPr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специальных социальных услуг лицам, проживающим в медико-социальных учреждениях, центрах социальной адаптации для лиц без определенного места жительства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негосударственном секторе на оказание специальных социальных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сети отделений дневного пребывания в медико-социальных учреждениях</w:t>
            </w:r>
          </w:p>
        </w:tc>
      </w:tr>
      <w:tr>
        <w:trPr>
          <w:trHeight w:val="420" w:hRule="atLeast"/>
        </w:trPr>
        <w:tc>
          <w:tcPr>
            <w:tcW w:w="5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трансфертов и бюджетных субсидий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405" w:hRule="atLeast"/>
        </w:trPr>
        <w:tc>
          <w:tcPr>
            <w:tcW w:w="5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  <w:tc>
          <w:tcPr>
            <w:tcW w:w="1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прямого результата</w:t>
            </w:r>
          </w:p>
        </w:tc>
      </w:tr>
      <w:tr>
        <w:trPr>
          <w:trHeight w:val="225" w:hRule="atLeast"/>
        </w:trPr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граждан, охваченных специальными социальными услугами в: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37 236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38 357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медико-социальных учреждениях для детей с нарушением опорно-двигательного аппарата*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медико-социальных учреждениях общего типа*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7 307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7 233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отделениях социальной помощи на дому для престарелых, инвалидов, в том числе детей-инвалидов*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23 515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25 792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центрах социальной адаптации для лиц без определенного места жительства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6 076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граждан, охваченных специальными социальными услугами в неправительственном секторе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2 704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3 437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граждан, обслуженных в отделениях дневного пребывания в медико-социальных учреждениях*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1 118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конечного результата</w:t>
            </w:r>
          </w:p>
        </w:tc>
      </w:tr>
      <w:tr>
        <w:trPr>
          <w:trHeight w:val="720" w:hRule="atLeast"/>
        </w:trPr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Своевременное предоставление специальных социальных услуг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качества</w:t>
            </w:r>
          </w:p>
        </w:tc>
      </w:tr>
      <w:tr>
        <w:trPr>
          <w:trHeight w:val="360" w:hRule="atLeast"/>
        </w:trPr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стандартам оказания специальных социальных услуг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эффективности</w:t>
            </w:r>
          </w:p>
        </w:tc>
      </w:tr>
      <w:tr>
        <w:trPr>
          <w:trHeight w:val="360" w:hRule="atLeast"/>
        </w:trPr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услуги на одного человека в день за счет целевых трансфертов: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медико-социальных учреждениях для детей с нарушением опорно-двигательного аппарата*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661,9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медико-социальных учреждениях общего типа*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215,1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отделениях социальной помощи на дому для престарелых, инвалидов, в том числе детей-инвалидов*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148,2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центрах социальной адаптации для лиц без определенного места жительства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услуг неправительственными организациями на одного человека в день за счет целевых трансфертов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941,9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40" w:hRule="atLeast"/>
        </w:trPr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услуг на одного человека в день за счет целевых трансфертов в отделениях дневного пребывания в медико-социальных учреждениях*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1 406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2 109 347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2 267 944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переданы в МИО трансфертами общего характера с 2014 года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19"/>
        <w:gridCol w:w="966"/>
        <w:gridCol w:w="1121"/>
        <w:gridCol w:w="1341"/>
        <w:gridCol w:w="1156"/>
        <w:gridCol w:w="1156"/>
        <w:gridCol w:w="1077"/>
        <w:gridCol w:w="942"/>
        <w:gridCol w:w="1202"/>
      </w:tblGrid>
      <w:tr>
        <w:trPr>
          <w:trHeight w:val="420" w:hRule="atLeast"/>
        </w:trPr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программа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«Услуги по обеспечению выплаты пенсий и пособий»</w:t>
            </w:r>
          </w:p>
        </w:tc>
      </w:tr>
      <w:tr>
        <w:trPr>
          <w:trHeight w:val="420" w:hRule="atLeast"/>
        </w:trPr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своевременной и полной выплаты пенсий и пособий</w:t>
            </w:r>
          </w:p>
        </w:tc>
      </w:tr>
      <w:tr>
        <w:trPr>
          <w:trHeight w:val="210" w:hRule="atLeast"/>
        </w:trPr>
        <w:tc>
          <w:tcPr>
            <w:tcW w:w="50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 вытекающих из них государственных услуг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75" w:hRule="atLeast"/>
        </w:trPr>
        <w:tc>
          <w:tcPr>
            <w:tcW w:w="50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  <w:tc>
          <w:tcPr>
            <w:tcW w:w="1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прямого результата</w:t>
            </w:r>
          </w:p>
        </w:tc>
      </w:tr>
      <w:tr>
        <w:trPr>
          <w:trHeight w:val="315" w:hRule="atLeast"/>
        </w:trPr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оказанных государственных услуг лицам, имеющим право на получение социальных выплат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6 710 220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6 762 158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7 151 947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6 891 600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6 987 692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конечного результата</w:t>
            </w:r>
          </w:p>
        </w:tc>
      </w:tr>
      <w:tr>
        <w:trPr>
          <w:trHeight w:val="315" w:hRule="atLeast"/>
        </w:trPr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своевременности: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 пенсий и пособий;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переводов обязательных пенсионных взносов и пенсионных накоплений в НПФ;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отчислений в ГФСС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Показатель качества </w:t>
            </w:r>
          </w:p>
        </w:tc>
      </w:tr>
      <w:tr>
        <w:trPr>
          <w:trHeight w:val="315" w:hRule="atLeast"/>
        </w:trPr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назначения и выплат пенсий и пособий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электронных макетов дел получателей пособий от общей численности макетов дел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эффективности</w:t>
            </w:r>
          </w:p>
        </w:tc>
      </w:tr>
      <w:tr>
        <w:trPr>
          <w:trHeight w:val="315" w:hRule="atLeast"/>
        </w:trPr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Удельный вес административных затрат ГЦВП в общем объеме обслуживаемых финансовых потоков 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0,80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0,96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0,79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18 613 709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18 377 833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21 083 216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22 728 339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24 166 507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98"/>
        <w:gridCol w:w="916"/>
        <w:gridCol w:w="1290"/>
        <w:gridCol w:w="1158"/>
        <w:gridCol w:w="1051"/>
        <w:gridCol w:w="1011"/>
        <w:gridCol w:w="1159"/>
        <w:gridCol w:w="983"/>
        <w:gridCol w:w="1314"/>
      </w:tblGrid>
      <w:tr>
        <w:trPr>
          <w:trHeight w:val="570" w:hRule="atLeast"/>
        </w:trPr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программа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 «Возмещение за вред, причиненный жизни и здоровью, возложенное судом на государство в случае прекращения деятельности юридического лица»</w:t>
            </w:r>
          </w:p>
        </w:tc>
      </w:tr>
      <w:tr>
        <w:trPr>
          <w:trHeight w:val="540" w:hRule="atLeast"/>
        </w:trPr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обязательств государства по возмещению вреда потерпевшим, в случае прекращения деятельности юридического лица</w:t>
            </w:r>
          </w:p>
        </w:tc>
      </w:tr>
      <w:tr>
        <w:trPr>
          <w:trHeight w:val="270" w:hRule="atLeast"/>
        </w:trPr>
        <w:tc>
          <w:tcPr>
            <w:tcW w:w="5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трансфертов и бюджетных субсидий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270" w:hRule="atLeast"/>
        </w:trPr>
        <w:tc>
          <w:tcPr>
            <w:tcW w:w="5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  <w:tc>
          <w:tcPr>
            <w:tcW w:w="1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прямого результата</w:t>
            </w:r>
          </w:p>
        </w:tc>
      </w:tr>
      <w:tr>
        <w:trPr>
          <w:trHeight w:val="420" w:hRule="atLeast"/>
        </w:trPr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судебных исков, по которым осуществлена выплата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исп. лист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95" w:hRule="atLeast"/>
        </w:trPr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Среднегодовая численность получателей выплат за вред, причиненный жизни и здоровью, возложенных судом на государство, в случае прекращения деятельности юридического лица гражданам, достигшим 70-летнего возраста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1 112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конечного результата</w:t>
            </w:r>
          </w:p>
        </w:tc>
      </w:tr>
      <w:tr>
        <w:trPr>
          <w:trHeight w:val="825" w:hRule="atLeast"/>
        </w:trPr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обязательств государства по возмещению вреда потерпевшим, в случае прекращения деятельности юридического лица.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Показатель качества </w:t>
            </w:r>
          </w:p>
        </w:tc>
      </w:tr>
      <w:tr>
        <w:trPr>
          <w:trHeight w:val="285" w:hRule="atLeast"/>
        </w:trPr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Своевременное исполнение судебных решений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эффективности</w:t>
            </w:r>
          </w:p>
        </w:tc>
      </w:tr>
      <w:tr>
        <w:trPr>
          <w:trHeight w:val="255" w:hRule="atLeast"/>
        </w:trPr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одной выплаты: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вред, причиненный жизни и здоровью, возложенный судом на государство</w:t>
            </w:r>
          </w:p>
        </w:tc>
        <w:tc>
          <w:tcPr>
            <w:tcW w:w="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531,4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1 628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1 667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вред, причиненный жизни и здоровью, возложенный судом на государство, в случае прекращения деятельности юридического лица гражданам, достигшим 70-летнего возраста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21,6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24,6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250 428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301 152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372 127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386 133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427 602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65"/>
        <w:gridCol w:w="1050"/>
        <w:gridCol w:w="1183"/>
        <w:gridCol w:w="1271"/>
        <w:gridCol w:w="1095"/>
        <w:gridCol w:w="985"/>
        <w:gridCol w:w="1117"/>
        <w:gridCol w:w="897"/>
        <w:gridCol w:w="1317"/>
      </w:tblGrid>
      <w:tr>
        <w:trPr>
          <w:trHeight w:val="450" w:hRule="atLeast"/>
        </w:trPr>
        <w:tc>
          <w:tcPr>
            <w:tcW w:w="5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программа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 «Капитальные расходы Министерства труда и социальной защиты населения Республики Казахстан»</w:t>
            </w:r>
          </w:p>
        </w:tc>
      </w:tr>
      <w:tr>
        <w:trPr>
          <w:trHeight w:val="705" w:hRule="atLeast"/>
        </w:trPr>
        <w:tc>
          <w:tcPr>
            <w:tcW w:w="5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и информационно-техническое обеспечение центрального аппарата и территориальных органов Министерства</w:t>
            </w:r>
          </w:p>
        </w:tc>
      </w:tr>
      <w:tr>
        <w:trPr>
          <w:trHeight w:val="420" w:hRule="atLeast"/>
        </w:trPr>
        <w:tc>
          <w:tcPr>
            <w:tcW w:w="5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капитальных расходов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450" w:hRule="atLeast"/>
        </w:trPr>
        <w:tc>
          <w:tcPr>
            <w:tcW w:w="5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1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  <w:tc>
          <w:tcPr>
            <w:tcW w:w="1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5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прямого результата</w:t>
            </w:r>
          </w:p>
        </w:tc>
      </w:tr>
      <w:tr>
        <w:trPr>
          <w:trHeight w:val="825" w:hRule="atLeast"/>
        </w:trPr>
        <w:tc>
          <w:tcPr>
            <w:tcW w:w="5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приобретенной вычислительной и информационной техники, бытовой техники, оргтехники, медицинского и прочего оборудования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1 836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5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приобретенной офисной мебели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5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приобретенных нематериальных активов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учреждений, которым необходимо провести капитальный ремонт здания, помещений и сооружений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конечного результата</w:t>
            </w:r>
          </w:p>
        </w:tc>
      </w:tr>
      <w:tr>
        <w:trPr>
          <w:trHeight w:val="525" w:hRule="atLeast"/>
        </w:trPr>
        <w:tc>
          <w:tcPr>
            <w:tcW w:w="5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оснащения государственного органа в области труда, занятости, социальной защиты населения: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материально-технического;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5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информационно-технического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5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Своевременное завершение запланированного объема работ по капитальному ремонту в зданиях, помещениях и сооружениях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Показатель качества </w:t>
            </w:r>
          </w:p>
        </w:tc>
      </w:tr>
      <w:tr>
        <w:trPr>
          <w:trHeight w:val="645" w:hRule="atLeast"/>
        </w:trPr>
        <w:tc>
          <w:tcPr>
            <w:tcW w:w="5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 работ, проведенных согласно строительным нормам и правилам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эффективности</w:t>
            </w:r>
          </w:p>
        </w:tc>
      </w:tr>
      <w:tr>
        <w:trPr>
          <w:trHeight w:val="660" w:hRule="atLeast"/>
        </w:trPr>
        <w:tc>
          <w:tcPr>
            <w:tcW w:w="5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парка вычислительной техники и серверного оборудования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5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затрат на капитальный ремонт зданий, помещений и сооружений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34,5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40,8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5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243 154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386 831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123 641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44 901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78"/>
        <w:gridCol w:w="1184"/>
        <w:gridCol w:w="1095"/>
        <w:gridCol w:w="1140"/>
        <w:gridCol w:w="974"/>
        <w:gridCol w:w="1074"/>
        <w:gridCol w:w="1034"/>
        <w:gridCol w:w="985"/>
        <w:gridCol w:w="1296"/>
      </w:tblGrid>
      <w:tr>
        <w:trPr>
          <w:trHeight w:val="540" w:hRule="atLeast"/>
        </w:trPr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программа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«Капитальные расходы организаций социальной защиты на республиканском уровне» </w:t>
            </w:r>
          </w:p>
        </w:tc>
      </w:tr>
      <w:tr>
        <w:trPr>
          <w:trHeight w:val="690" w:hRule="atLeast"/>
        </w:trPr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и информационно-техническое обеспечение подведомственных организаций Министерства труда и социальной защиты населения Республики Казахстан</w:t>
            </w:r>
          </w:p>
        </w:tc>
      </w:tr>
      <w:tr>
        <w:trPr>
          <w:trHeight w:val="405" w:hRule="atLeast"/>
        </w:trPr>
        <w:tc>
          <w:tcPr>
            <w:tcW w:w="5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капитальных расходов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420" w:hRule="atLeast"/>
        </w:trPr>
        <w:tc>
          <w:tcPr>
            <w:tcW w:w="5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1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прямого результата</w:t>
            </w:r>
          </w:p>
        </w:tc>
      </w:tr>
      <w:tr>
        <w:trPr>
          <w:trHeight w:val="690" w:hRule="atLeast"/>
        </w:trPr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приобретенной вычислительной, информационной техники и прочего оборудования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1 644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1 066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1 330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приобретенной офисной мебели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1 197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приобретенных нематериальных активов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разработанной проектно-сметной документации на капитальный ремонт зданий, помещений и сооружений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конечного результата</w:t>
            </w:r>
          </w:p>
        </w:tc>
      </w:tr>
      <w:tr>
        <w:trPr>
          <w:trHeight w:val="840" w:hRule="atLeast"/>
        </w:trPr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оснащения государственного органа в области труда, занятости, социальной защиты и миграции населения: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материально-технического;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информационно-технического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Своевременное завершение работ по составлению проектно-сметной документации по капитальному ремонту в зданиях, помещениях и сооружениях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Показатель качества 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эффективности</w:t>
            </w:r>
          </w:p>
        </w:tc>
      </w:tr>
      <w:tr>
        <w:trPr>
          <w:trHeight w:val="690" w:hRule="atLeast"/>
        </w:trPr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парка вычислительной техники и серверного оборудования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548 789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754 792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503 688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359 591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334 477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80"/>
        <w:gridCol w:w="1209"/>
        <w:gridCol w:w="1076"/>
        <w:gridCol w:w="1032"/>
        <w:gridCol w:w="1165"/>
        <w:gridCol w:w="1120"/>
        <w:gridCol w:w="1076"/>
        <w:gridCol w:w="966"/>
        <w:gridCol w:w="1056"/>
      </w:tblGrid>
      <w:tr>
        <w:trPr>
          <w:trHeight w:val="690" w:hRule="atLeast"/>
        </w:trPr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программа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 «Услуги по методологическому обеспечению оказания инвалидам протезно-ортопедической помощи»</w:t>
            </w:r>
          </w:p>
        </w:tc>
      </w:tr>
      <w:tr>
        <w:trPr>
          <w:trHeight w:val="855" w:hRule="atLeast"/>
        </w:trPr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технической документации на новые виды изделий для протезно-ортопедических предприятий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опытно-экспериментальных работ по протезированию инвалидов со сложными, особо сложными и атипичными формами увечья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выявлению слабослышащих и тугоухих лиц, оказание им консультационной помощи</w:t>
            </w:r>
          </w:p>
        </w:tc>
      </w:tr>
      <w:tr>
        <w:trPr>
          <w:trHeight w:val="660" w:hRule="atLeast"/>
        </w:trPr>
        <w:tc>
          <w:tcPr>
            <w:tcW w:w="5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 вытекающих из них государственных услуг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270" w:hRule="atLeast"/>
        </w:trPr>
        <w:tc>
          <w:tcPr>
            <w:tcW w:w="5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1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  <w:tc>
          <w:tcPr>
            <w:tcW w:w="1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прямого результата</w:t>
            </w:r>
          </w:p>
        </w:tc>
      </w:tr>
      <w:tr>
        <w:trPr>
          <w:trHeight w:val="705" w:hRule="atLeast"/>
        </w:trPr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Протезирование инвалидов с особо сложными и атипичными видами увечья, а также первичное протезирование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Разработка стандартов в области протезостроения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Разработка технологических процессов на новые виды протезно-ортопедических изделий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Разработка технологических процессов на комплектующие изделия к протезам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Разработка новых видов протезно-ортопедических изделий для сложного и атипичного протезирования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Количество разработок и испытаний комплектующих изделий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Количество методических рекомендаций по протезированию, протезостроения и ортопедии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Разработка, испытание и внедрение протезно-ортопедических изделий, изготавливаемых по новейшим технологиям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Разработка методических рекомендаций по оказанию сурдологической помощи населению Республики Казахстан, слухопротезной помощи инвалидам, в том числе детям, проведению слухоречевой реабилитации инвалидам с нарушением слуха, в том числе инвалидам до и после кохлеарной имплантации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Выявление слабослышащих и тугоухих лиц, оказание консультационной помощи населению в городах Астане, Алматы и Южно-Казахстанской области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7911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конечного результата</w:t>
            </w:r>
          </w:p>
        </w:tc>
      </w:tr>
      <w:tr>
        <w:trPr>
          <w:trHeight w:val="705" w:hRule="atLeast"/>
        </w:trPr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обеспеченности инвалидов протезно-ортопедической помощью к общему числу инвалидов, нуждающихся в протезировании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регистра лиц с нарушением слуха в городах Астане, Алматы и Южно-Казахстанской области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реабилитационного потенциала инвалидов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Показатель качества 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эффективности</w:t>
            </w:r>
          </w:p>
        </w:tc>
      </w:tr>
      <w:tr>
        <w:trPr>
          <w:trHeight w:val="195" w:hRule="atLeast"/>
        </w:trPr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Методологическое обеспечение в области протезирования и протезостроения 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Методологическая обеспеченность регионов в области слухопротезирования и слухоречевой реабилитации Республики Казахстан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33 932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87 314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85"/>
        <w:gridCol w:w="1293"/>
        <w:gridCol w:w="1139"/>
        <w:gridCol w:w="1205"/>
        <w:gridCol w:w="1051"/>
        <w:gridCol w:w="963"/>
        <w:gridCol w:w="1073"/>
        <w:gridCol w:w="985"/>
        <w:gridCol w:w="986"/>
      </w:tblGrid>
      <w:tr>
        <w:trPr>
          <w:trHeight w:val="840" w:hRule="atLeast"/>
        </w:trPr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программа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«Совершенствование системы социальной защиты лиц с ограниченными возможностями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Конвенции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ООН о правах инвалидов и развитие системы предоставления специальных социальных услуг»</w:t>
            </w:r>
          </w:p>
        </w:tc>
      </w:tr>
      <w:tr>
        <w:trPr>
          <w:trHeight w:val="705" w:hRule="atLeast"/>
        </w:trPr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Совершенствование системы социальной защиты лиц с ограниченными возможностями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Конвенции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ООН о правах инвалидов и развитие системы предоставления специальных социальных услуг</w:t>
            </w:r>
          </w:p>
        </w:tc>
      </w:tr>
      <w:tr>
        <w:trPr>
          <w:trHeight w:val="705" w:hRule="atLeast"/>
        </w:trPr>
        <w:tc>
          <w:tcPr>
            <w:tcW w:w="5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 вытекающих из них государственных услуг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555" w:hRule="atLeast"/>
        </w:trPr>
        <w:tc>
          <w:tcPr>
            <w:tcW w:w="5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  <w:tc>
          <w:tcPr>
            <w:tcW w:w="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прямого результата</w:t>
            </w:r>
          </w:p>
        </w:tc>
      </w:tr>
      <w:tr>
        <w:trPr>
          <w:trHeight w:val="390" w:hRule="atLeast"/>
        </w:trPr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научно-практических исследований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35" w:hRule="atLeast"/>
        </w:trPr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Семинары, круглые столы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600" w:hRule="atLeast"/>
        </w:trPr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телевизионных передач, статей, тематических публикаций и обучающих материалов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конечного результата</w:t>
            </w:r>
          </w:p>
        </w:tc>
      </w:tr>
      <w:tr>
        <w:trPr>
          <w:trHeight w:val="70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национального плана действий на долгосрочную перспективу по обеспечению прав и улучшению качества жизни людей с ограниченными возможностями</w:t>
            </w:r>
          </w:p>
        </w:tc>
      </w:tr>
      <w:tr>
        <w:trPr>
          <w:trHeight w:val="435" w:hRule="atLeast"/>
        </w:trPr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Показатель качества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05" w:hRule="atLeast"/>
        </w:trPr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эффективности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705" w:hRule="atLeast"/>
        </w:trPr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46"/>
        <w:gridCol w:w="1172"/>
        <w:gridCol w:w="1194"/>
        <w:gridCol w:w="1214"/>
        <w:gridCol w:w="1154"/>
        <w:gridCol w:w="1014"/>
        <w:gridCol w:w="955"/>
        <w:gridCol w:w="998"/>
        <w:gridCol w:w="933"/>
      </w:tblGrid>
      <w:tr>
        <w:trPr>
          <w:trHeight w:val="705" w:hRule="atLeast"/>
        </w:trPr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программа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«Кредитование областных бюджетов на содействие развитию предпринимательства на селе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карты занятости 2020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</w:t>
            </w:r>
          </w:p>
        </w:tc>
      </w:tr>
      <w:tr>
        <w:trPr>
          <w:trHeight w:val="705" w:hRule="atLeast"/>
        </w:trPr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областным бюджетам на содействие развитию предпринимательства на селе в рамках Дорожной карты занятости 2020</w:t>
            </w:r>
          </w:p>
        </w:tc>
      </w:tr>
      <w:tr>
        <w:trPr>
          <w:trHeight w:val="390" w:hRule="atLeast"/>
        </w:trPr>
        <w:tc>
          <w:tcPr>
            <w:tcW w:w="5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</w:tr>
      <w:tr>
        <w:trPr>
          <w:trHeight w:val="570" w:hRule="atLeast"/>
        </w:trPr>
        <w:tc>
          <w:tcPr>
            <w:tcW w:w="5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1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525" w:hRule="atLeast"/>
        </w:trPr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прямого результата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выданных микрокредитов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ед.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6,6 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12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14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конечного результата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Охват участников Дорожной карты занятости, обратившихся за микрокредитованием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Показатель качества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Максимальное выделение средств микрокредитной линии в пределах средств, предусмотренных республиканским бюджетом на соответствующий год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эффективности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размер микрокредита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2 096,2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1 698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2 108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1 740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12 368 305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23 939 403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20 634 238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23 926 357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25 601 202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23"/>
        <w:gridCol w:w="1098"/>
        <w:gridCol w:w="1209"/>
        <w:gridCol w:w="1143"/>
        <w:gridCol w:w="1209"/>
        <w:gridCol w:w="943"/>
        <w:gridCol w:w="988"/>
        <w:gridCol w:w="988"/>
        <w:gridCol w:w="879"/>
      </w:tblGrid>
      <w:tr>
        <w:trPr>
          <w:trHeight w:val="690" w:hRule="atLeast"/>
        </w:trPr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программа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 «Совершенствование системы социальной защиты населения в соответствии с международными стандартами»</w:t>
            </w:r>
          </w:p>
        </w:tc>
      </w:tr>
      <w:tr>
        <w:trPr>
          <w:trHeight w:val="405" w:hRule="atLeast"/>
        </w:trPr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системы социальной защиты населения в соответствии с международными стандартами</w:t>
            </w:r>
          </w:p>
        </w:tc>
      </w:tr>
      <w:tr>
        <w:trPr>
          <w:trHeight w:val="585" w:hRule="atLeast"/>
        </w:trPr>
        <w:tc>
          <w:tcPr>
            <w:tcW w:w="5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 вытекающих из них государственных услуг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405" w:hRule="atLeast"/>
        </w:trPr>
        <w:tc>
          <w:tcPr>
            <w:tcW w:w="5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1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75" w:hRule="atLeast"/>
        </w:trPr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прямого результата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научно-практических исследований 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Семинары, круглые столы 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телевизионных передач, статей, тематических публикаций и обучающих материалов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конечного результата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Поэтапная реализация проекта «Совершенствование системы социальной защиты населения в соответствии с международными стандартами»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Показатель качества 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эффективности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27 473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42 843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32 195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49"/>
        <w:gridCol w:w="1042"/>
        <w:gridCol w:w="1085"/>
        <w:gridCol w:w="1300"/>
        <w:gridCol w:w="1004"/>
        <w:gridCol w:w="982"/>
        <w:gridCol w:w="917"/>
        <w:gridCol w:w="957"/>
        <w:gridCol w:w="1044"/>
      </w:tblGrid>
      <w:tr>
        <w:trPr>
          <w:trHeight w:val="555" w:hRule="atLeast"/>
        </w:trPr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программа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 «Переселение на историческую родину и первичная адаптация оралманов»</w:t>
            </w:r>
          </w:p>
        </w:tc>
      </w:tr>
      <w:tr>
        <w:trPr>
          <w:trHeight w:val="420" w:hRule="atLeast"/>
        </w:trPr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условий для интеграции оралманов в новые общественные условия</w:t>
            </w:r>
          </w:p>
        </w:tc>
      </w:tr>
      <w:tr>
        <w:trPr>
          <w:trHeight w:val="555" w:hRule="atLeast"/>
        </w:trPr>
        <w:tc>
          <w:tcPr>
            <w:tcW w:w="5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 вытекающих из них государственных услуг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555" w:hRule="atLeast"/>
        </w:trPr>
        <w:tc>
          <w:tcPr>
            <w:tcW w:w="5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  <w:tc>
          <w:tcPr>
            <w:tcW w:w="1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90" w:hRule="atLeast"/>
        </w:trPr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прямого результата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 оралманов, охваченных услугами первичной адаптации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конечного результата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 оралманов, охваченных профессиональной подготовкой и переподготовкой Центрами адаптации и интеграции оралманов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Показатель качества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эффективности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оказание адаптационных услуг на одного оралмана в год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90,5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40 621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25"/>
        <w:gridCol w:w="1175"/>
        <w:gridCol w:w="1088"/>
        <w:gridCol w:w="1176"/>
        <w:gridCol w:w="1022"/>
        <w:gridCol w:w="1022"/>
        <w:gridCol w:w="979"/>
        <w:gridCol w:w="825"/>
        <w:gridCol w:w="1068"/>
      </w:tblGrid>
      <w:tr>
        <w:trPr>
          <w:trHeight w:val="540" w:hRule="atLeast"/>
        </w:trPr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программа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 «Услуги по повышению квалификации кадров социально-трудовой сферы»</w:t>
            </w:r>
          </w:p>
        </w:tc>
      </w:tr>
      <w:tr>
        <w:trPr>
          <w:trHeight w:val="720" w:hRule="atLeast"/>
        </w:trPr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услуг по повышению квалификации работников территориальных органов в социально-трудовой сфере </w:t>
            </w:r>
          </w:p>
        </w:tc>
      </w:tr>
      <w:tr>
        <w:trPr>
          <w:trHeight w:val="705" w:hRule="atLeast"/>
        </w:trPr>
        <w:tc>
          <w:tcPr>
            <w:tcW w:w="5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 вытекающих из них государственных услуг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75" w:hRule="atLeast"/>
        </w:trPr>
        <w:tc>
          <w:tcPr>
            <w:tcW w:w="5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  <w:tc>
          <w:tcPr>
            <w:tcW w:w="1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525" w:hRule="atLeast"/>
        </w:trPr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Показатель прямого результата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работников, прошедших повышение квалификации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конечного результата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условий для повышения квалификации кадров социально-трудовой сферы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Показатель качества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эффективности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обучения одного работника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57 439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54 740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44611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46963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49480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16 075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16 422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30 559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32 170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33 894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93"/>
        <w:gridCol w:w="3443"/>
        <w:gridCol w:w="1033"/>
        <w:gridCol w:w="1033"/>
        <w:gridCol w:w="1033"/>
        <w:gridCol w:w="1033"/>
        <w:gridCol w:w="1033"/>
        <w:gridCol w:w="1033"/>
        <w:gridCol w:w="1033"/>
        <w:gridCol w:w="1033"/>
      </w:tblGrid>
      <w:tr>
        <w:trPr>
          <w:trHeight w:val="54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программа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 «Целевые текущие трансферты областным бюджетам, бюджетам городов Астаны и Алматы на выплату государственной адресной социальной помощи»</w:t>
            </w:r>
          </w:p>
        </w:tc>
      </w:tr>
      <w:tr>
        <w:trPr>
          <w:trHeight w:val="30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лиц (семей) с доходами ниже черты бедности </w:t>
            </w:r>
          </w:p>
        </w:tc>
      </w:tr>
      <w:tr>
        <w:trPr>
          <w:trHeight w:val="570" w:hRule="atLeast"/>
        </w:trPr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трансфертов и бюджетных субсидий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прямого результата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получателей адресной социальной помощи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60 тыс.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Своевременное перечисление целевых текущих трансфертов областным бюджетам, бюджетам городов Астаны и Алматы на выплату государственной адресной социальной помощи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Своевременное предоставление адресной социальной помощи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1 513 182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73"/>
        <w:gridCol w:w="6"/>
        <w:gridCol w:w="993"/>
        <w:gridCol w:w="833"/>
        <w:gridCol w:w="2327"/>
        <w:gridCol w:w="2003"/>
        <w:gridCol w:w="1033"/>
        <w:gridCol w:w="1033"/>
        <w:gridCol w:w="1033"/>
        <w:gridCol w:w="1033"/>
        <w:gridCol w:w="1033"/>
      </w:tblGrid>
      <w:tr>
        <w:trPr>
          <w:trHeight w:val="54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программа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 «Целевые текущие трансферты областным бюджетам, бюджетам городов Астаны и Алматы на выплату государственных пособий на детей до 18 лет»</w:t>
            </w:r>
          </w:p>
        </w:tc>
      </w:tr>
      <w:tr>
        <w:trPr>
          <w:trHeight w:val="60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семей, имеющих детей до 18 лет, с доходами ниже стоимости продовольственной корзины </w:t>
            </w:r>
          </w:p>
        </w:tc>
      </w:tr>
      <w:tr>
        <w:trPr>
          <w:trHeight w:val="570" w:hRule="atLeast"/>
        </w:trPr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трансфертов и бюджетных субсидий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прямого результата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получателей государственных пособий на детей до 18 лет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500 тыс.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Своевременное перечисление целевых текущих трансфертов областным бюджетам, бюджетам городов Астаны и Алматы на выплату государственной адресной социальной помощи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Своевременное предоставление государственных пособий на детей до 18 лет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645 158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80"/>
        <w:gridCol w:w="1197"/>
        <w:gridCol w:w="1046"/>
        <w:gridCol w:w="1219"/>
        <w:gridCol w:w="1198"/>
        <w:gridCol w:w="847"/>
        <w:gridCol w:w="1000"/>
        <w:gridCol w:w="803"/>
        <w:gridCol w:w="1090"/>
      </w:tblGrid>
      <w:tr>
        <w:trPr>
          <w:trHeight w:val="840" w:hRule="atLeast"/>
        </w:trPr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программа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 «Развитие автоматизированной информационной системы Государственного центра по выплате пенсий и Единой информационной системы социально-трудовой сферы»</w:t>
            </w:r>
          </w:p>
        </w:tc>
      </w:tr>
      <w:tr>
        <w:trPr>
          <w:trHeight w:val="825" w:hRule="atLeast"/>
        </w:trPr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автоматизированной информационной системы ГЦВП и Единой информационной системы социально-трудовой сферы с оказанием услуг в рамках реализации</w:t>
            </w:r>
          </w:p>
        </w:tc>
      </w:tr>
      <w:tr>
        <w:trPr>
          <w:trHeight w:val="195" w:hRule="atLeast"/>
        </w:trPr>
        <w:tc>
          <w:tcPr>
            <w:tcW w:w="5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бюджетных инвестиций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</w:tr>
      <w:tr>
        <w:trPr>
          <w:trHeight w:val="270" w:hRule="atLeast"/>
        </w:trPr>
        <w:tc>
          <w:tcPr>
            <w:tcW w:w="5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1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  <w:tc>
          <w:tcPr>
            <w:tcW w:w="1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60" w:hRule="atLeast"/>
        </w:trPr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Показатель прямого результата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реализованных интеграций с сервисами ИС ГО в рамках оптимизации бизнес-процессов оказания государственных услуг и перевода их в электронный формат посредством портала электронного правительства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услуг, введенных в опытную эксплуатацию через реализацию функционала интеграции взаимодействия АИС ГЦВП, ЕИССТС и ИИС ЦОН в части приема – передачи документов между ГО и ЦОН в электронном формате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конечного результата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электронных государственных услуг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3*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электронных услуг автоматизированных посредством ПЭП, введенных в опытную эксплуатацию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Показатель качества 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эффективности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оказания государственной услуги для назначения государственной выплаты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156 000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75 000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37 796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24"/>
        <w:gridCol w:w="1334"/>
        <w:gridCol w:w="1052"/>
        <w:gridCol w:w="1118"/>
        <w:gridCol w:w="1247"/>
        <w:gridCol w:w="1031"/>
        <w:gridCol w:w="945"/>
        <w:gridCol w:w="731"/>
        <w:gridCol w:w="1098"/>
      </w:tblGrid>
      <w:tr>
        <w:trPr>
          <w:trHeight w:val="840" w:hRule="atLeast"/>
        </w:trPr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программа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 «Целевые текущие трансферты областному бюджету Восточно-Казахстанской области на содержание вновь вводимых объектов социального обеспечения»</w:t>
            </w:r>
          </w:p>
        </w:tc>
      </w:tr>
      <w:tr>
        <w:trPr>
          <w:trHeight w:val="540" w:hRule="atLeast"/>
        </w:trPr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социального обеспечения</w:t>
            </w:r>
          </w:p>
        </w:tc>
      </w:tr>
      <w:tr>
        <w:trPr>
          <w:trHeight w:val="570" w:hRule="atLeast"/>
        </w:trPr>
        <w:tc>
          <w:tcPr>
            <w:tcW w:w="5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трансфертов и бюджетных субсидий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420" w:hRule="atLeast"/>
        </w:trPr>
        <w:tc>
          <w:tcPr>
            <w:tcW w:w="5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13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  <w:tc>
          <w:tcPr>
            <w:tcW w:w="1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540" w:hRule="atLeast"/>
        </w:trPr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90" w:hRule="atLeast"/>
        </w:trPr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соуиального обеспечения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90" w:hRule="atLeast"/>
        </w:trPr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конечного результат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90" w:hRule="atLeast"/>
        </w:trPr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Своевременное перечисление целевых текущих трансфертов из республиканского бюджета областному бюджету Восточно-Казахстанской области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Показатель качества 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эффективности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71 319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73"/>
        <w:gridCol w:w="1053"/>
        <w:gridCol w:w="1053"/>
        <w:gridCol w:w="1075"/>
        <w:gridCol w:w="1186"/>
        <w:gridCol w:w="1297"/>
        <w:gridCol w:w="1142"/>
        <w:gridCol w:w="768"/>
        <w:gridCol w:w="1033"/>
      </w:tblGrid>
      <w:tr>
        <w:trPr>
          <w:trHeight w:val="690" w:hRule="atLeast"/>
        </w:trPr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программа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 «Оказание протезно-ортопедической и сурдологической помощи на республиканском уровне»</w:t>
            </w:r>
          </w:p>
        </w:tc>
      </w:tr>
      <w:tr>
        <w:trPr>
          <w:trHeight w:val="435" w:hRule="atLeast"/>
        </w:trPr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Методологическое обеспечение по оказанию инвалидам протезно-ортопедической помощи, в том числе предоставление протезно-ортопедической помощи;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выявлению cлабослышащих и тугоухих лиц, оказание консультативной помощи по регионам страны;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слухоречевая адаптация детей с нарушением слуха после кохлеарной имплантации.</w:t>
            </w:r>
          </w:p>
        </w:tc>
      </w:tr>
      <w:tr>
        <w:trPr>
          <w:trHeight w:val="660" w:hRule="atLeast"/>
        </w:trPr>
        <w:tc>
          <w:tcPr>
            <w:tcW w:w="5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 вытекающих из них государственных услуг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270" w:hRule="atLeast"/>
        </w:trPr>
        <w:tc>
          <w:tcPr>
            <w:tcW w:w="5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35" w:hRule="atLeast"/>
        </w:trPr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прямого результата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Протезирование инвалидов с особо сложными и атипичными видами увечья, а также первичное протезирование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Разработка стандартов в области протезостроения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Разработка технологических процессов на новые виды протезно-ортопедических изделий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Количество методических рекомендаций по протезированию, протезостроения и ортопедии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Разработка, испытание и внедрение протезно-ортопедических изделий, изготавливаемых по новейшим технологиям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Выявление слабослышащих и тугоухих лиц, оказание консультационной помощи населению Мангистауской, Атырауской, Северо-Казахстанской, Кызылординской и Павлодарской областей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12538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Выявление слабослышащих и тугоухих лиц, оказание консультационной помощи населению Восточно-Казахстанской, Костанайской, Актюбинской и Жамбылской областей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Выявление слабослышащих и тугоухих лиц, оказание консультационной помощи населению Акмолинской, Алматинской, Западно-Казахстанской и Карагандинской областей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Количество детей-инвалидов с нарушением слуха после кохлеарной имплантации, которым будет оказана слухоречевая реабилитация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конечного результата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обеспеченности инвалидов протезно-ортопедической помощью к общему числу инвалидов, нуждающихся в протезировании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95,5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регистра лиц с нарушением слуха в Мангистауской, Атырауской, Северо-Казахстанской, Кызылординской, Павлодарской областях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регистра лиц с нарушением слуха в Восточно-Казахстанской, Костанайской, Актюбинской и Жамбылской областях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регистра лиц с нарушением слуха в Акмолинской, Алматинской, Западно-Казахстанской и Карагандинской областях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охвата слухоречевой реабилитацией детей-инвалидов с нарушением слуха после кохлеарной имплантации, из числа обратившихся за реабилитацией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Показатель качества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эффективности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Методологическое обеспечение в области протезирования и протезостроения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173 127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172 076 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175 470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51"/>
        <w:gridCol w:w="1202"/>
        <w:gridCol w:w="1026"/>
        <w:gridCol w:w="1026"/>
        <w:gridCol w:w="1270"/>
        <w:gridCol w:w="1110"/>
        <w:gridCol w:w="1051"/>
        <w:gridCol w:w="916"/>
        <w:gridCol w:w="1028"/>
      </w:tblGrid>
      <w:tr>
        <w:trPr>
          <w:trHeight w:val="705" w:hRule="atLeast"/>
        </w:trPr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программа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 «Целевые текущие трансферты областным бюджетам, бюджетам городов Астаны и Алматы на оказание социальной защиты и помощи населению</w:t>
            </w:r>
          </w:p>
        </w:tc>
      </w:tr>
      <w:tr>
        <w:trPr>
          <w:trHeight w:val="1110" w:hRule="atLeast"/>
        </w:trPr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Введение стандартов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обусловленной денежной помощи по проекту «Өрлеу» </w:t>
            </w:r>
          </w:p>
        </w:tc>
      </w:tr>
      <w:tr>
        <w:trPr>
          <w:trHeight w:val="405" w:hRule="atLeast"/>
        </w:trPr>
        <w:tc>
          <w:tcPr>
            <w:tcW w:w="5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трансфертов и бюджетных субсидий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405" w:hRule="atLeast"/>
        </w:trPr>
        <w:tc>
          <w:tcPr>
            <w:tcW w:w="5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1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  <w:tc>
          <w:tcPr>
            <w:tcW w:w="1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50" w:hRule="atLeast"/>
        </w:trPr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Показатель прямого результата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Доступность инфраструктуры: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дорожные знаки и указатели;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10 026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10 026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пешеходные переходы со звуковыми и световыми устройствами;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субтитрование новостных лент на телевизионных каналах;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специальные службы «Инватакси» 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65" w:hRule="atLeast"/>
        </w:trPr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граждан, охваченных специальными социальными услугами в центрах социальной адаптации для лиц без определенного места 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граждан, охваченных специальными социальными услугами в неправительственном секторе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3 420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3 420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3 420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семей охваченных обусловленными денежными выплатами из числа семей получателей АСП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семей охваченных обусловленными денежными выплатами из числа семей получателей ГДП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конечного результата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Своевременное обеспечение доступа к объектам инфраструктуры 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Своевременное предоставление специальных социальных услуг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Охват малообеспеченных семей обусловленными денежными выплатами из числа обратившихся за выплатами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Показатель качества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стандартам оказания специальных социальных услуг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эффективности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услуги на одного человека в день за счет целевых трансфертов в центрах социальной адаптации для лиц без определенного места жительства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услуг неправительственными организациями на одного человека в день за счет целевых трансфертов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1 904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1 904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1 904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доли получателей ОДП вовлеченных в активные формы занятости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3 463 140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3 831 386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2 216 282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6"/>
        <w:gridCol w:w="1010"/>
        <w:gridCol w:w="1262"/>
        <w:gridCol w:w="1263"/>
        <w:gridCol w:w="1268"/>
        <w:gridCol w:w="1268"/>
        <w:gridCol w:w="1269"/>
        <w:gridCol w:w="1061"/>
        <w:gridCol w:w="1013"/>
      </w:tblGrid>
      <w:tr>
        <w:trPr>
          <w:trHeight w:val="555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программа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059 «Строительство и реконструкция объектов социального обеспечения»</w:t>
            </w:r>
          </w:p>
        </w:tc>
      </w:tr>
      <w:tr>
        <w:trPr>
          <w:trHeight w:val="975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проектно-сметной документации на строительство здания Республиканского государственного казенного предприятия «Республиканский центр коррекции слуха Министерства труда и социальной защиты населения Республики Казахстан» </w:t>
            </w:r>
          </w:p>
        </w:tc>
      </w:tr>
      <w:tr>
        <w:trPr>
          <w:trHeight w:val="195" w:hRule="atLeast"/>
        </w:trPr>
        <w:tc>
          <w:tcPr>
            <w:tcW w:w="4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бюджетных инвестиций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</w:tr>
      <w:tr>
        <w:trPr>
          <w:trHeight w:val="270" w:hRule="atLeast"/>
        </w:trPr>
        <w:tc>
          <w:tcPr>
            <w:tcW w:w="4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1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</w:p>
        </w:tc>
        <w:tc>
          <w:tcPr>
            <w:tcW w:w="1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6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прямого результата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проектно-сметной документации на строительство здания Республиканского государственного казенного предприятия «Республиканский центр коррекции слуха Министерства труда и социальной защиты населения Республики Казахстан», проведение государственной экспертизы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Своевременное завершение работ по составлению проектно-сметной документации на строительство здания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1"/>
        <w:gridCol w:w="1178"/>
        <w:gridCol w:w="1042"/>
        <w:gridCol w:w="1082"/>
        <w:gridCol w:w="1262"/>
        <w:gridCol w:w="1182"/>
        <w:gridCol w:w="983"/>
        <w:gridCol w:w="894"/>
        <w:gridCol w:w="1026"/>
      </w:tblGrid>
      <w:tr>
        <w:trPr>
          <w:trHeight w:val="555" w:hRule="atLeast"/>
        </w:trPr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программа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«Реализация мероприятий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карты занятости 2020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</w:t>
            </w:r>
          </w:p>
        </w:tc>
      </w:tr>
      <w:tr>
        <w:trPr>
          <w:trHeight w:val="705" w:hRule="atLeast"/>
        </w:trPr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за счет развития инфраструктуры и жилищно–коммунального хозяйства;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рабочих мест через развитие предпринимательства и развития опорных сел;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в трудоустройстве через обучение и переселение в рамках потребностей работодателя</w:t>
            </w:r>
          </w:p>
        </w:tc>
      </w:tr>
      <w:tr>
        <w:trPr>
          <w:trHeight w:val="420" w:hRule="atLeast"/>
        </w:trPr>
        <w:tc>
          <w:tcPr>
            <w:tcW w:w="5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трансфертов и бюджетных субсидий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распределяемая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165" w:hRule="atLeast"/>
        </w:trPr>
        <w:tc>
          <w:tcPr>
            <w:tcW w:w="5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  <w:tc>
          <w:tcPr>
            <w:tcW w:w="1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510" w:hRule="atLeast"/>
        </w:trPr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Показатель прямого результата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Количество участников по направлениям: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и содействие в трудоустройстве;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115 623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84 235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59 919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48 226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38 777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рабочих мест через развитие предпринимательства и опорных сел;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10 993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12 151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11 350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14 714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мобильности трудовых ресурсов в рамках потребности работодателя;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3 281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за счет развития инфраструктуры и жилищно-коммунального хозяйства.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23 234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21 852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19 276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27 586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Количество гражданских служащих центров занятости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1 980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1 980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конечного результата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Охват участников,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карты занятости 2020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Своевременное оказание услуг участникам Дорожной карты занятости 2020, обратившимся в Центры занятости 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Показатель качества 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эффективности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45 278 878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78 956 038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77 108 739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70 625 573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70 137 201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75"/>
        <w:gridCol w:w="1056"/>
        <w:gridCol w:w="1186"/>
        <w:gridCol w:w="1016"/>
        <w:gridCol w:w="1251"/>
        <w:gridCol w:w="1121"/>
        <w:gridCol w:w="969"/>
        <w:gridCol w:w="948"/>
        <w:gridCol w:w="1058"/>
      </w:tblGrid>
      <w:tr>
        <w:trPr>
          <w:trHeight w:val="435" w:hRule="atLeast"/>
        </w:trPr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программа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«Разработка профессиональных стандартов»</w:t>
            </w:r>
          </w:p>
        </w:tc>
      </w:tr>
      <w:tr>
        <w:trPr>
          <w:trHeight w:val="420" w:hRule="atLeast"/>
        </w:trPr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профессиональных стандартов</w:t>
            </w:r>
          </w:p>
        </w:tc>
      </w:tr>
      <w:tr>
        <w:trPr>
          <w:trHeight w:val="540" w:hRule="atLeast"/>
        </w:trPr>
        <w:tc>
          <w:tcPr>
            <w:tcW w:w="5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 вытекающих из них государственных услуг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распределяемая 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270" w:hRule="atLeast"/>
        </w:trPr>
        <w:tc>
          <w:tcPr>
            <w:tcW w:w="5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1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  <w:tc>
          <w:tcPr>
            <w:tcW w:w="10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25" w:hRule="atLeast"/>
        </w:trPr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прямого результата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профессиональных стандартов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конечного результата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разработанных профессиональных стандартов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Показатель качества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Методологическое и нормативное обеспечение (разработанные методические рекомендации, методики, стандарты, нормативы и нормы)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эффективности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Средний размер стоимости одного профессионального стандарта 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1026,2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1125,2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180 611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134 400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252 054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Свод бюджетных расходов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Подраздел с изменениями, внесенными постановлением Правительства РК от 12.06.2014 </w:t>
      </w:r>
      <w:r>
        <w:rPr>
          <w:rFonts w:ascii="Times New Roman"/>
          <w:b w:val="false"/>
          <w:i w:val="false"/>
          <w:color w:val="ff0000"/>
          <w:sz w:val="28"/>
        </w:rPr>
        <w:t>№ 643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3125"/>
        <w:gridCol w:w="1141"/>
        <w:gridCol w:w="1318"/>
        <w:gridCol w:w="1538"/>
        <w:gridCol w:w="1338"/>
        <w:gridCol w:w="1338"/>
        <w:gridCol w:w="1159"/>
        <w:gridCol w:w="1121"/>
        <w:gridCol w:w="972"/>
      </w:tblGrid>
      <w:tr>
        <w:trPr>
          <w:trHeight w:val="42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11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  <w:tc>
          <w:tcPr>
            <w:tcW w:w="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бюджетных расходов: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1 192 321 587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1 353 011 410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1 539 086 493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1 620 922 175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1 771 498 284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Текущие бюджетные программы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1 178 777 008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1 327 020 219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1 517 217 459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1 596 995 818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1 745 897 082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государственной политики в области труда, занятости, социальной защиты и миграции населения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2 969 148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3 356 395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2 996 138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2 779 680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2 806 229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отдельных категорий граждан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974 083 479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1 076 767 304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1 245 957 339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1 326 377 047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1 463 440 993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Специальные государственные пособия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75 610 203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80 549 228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89 333 938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90 264 820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96 103 428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Единовременные государственные денежные компенсации отдельным категориям граждан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86 796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80 689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51 426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45 298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38 651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семьям, имеющим детей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57 383 792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64 308 502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73 333 744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78 810 962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85 715 061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оралманам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155 329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научные исследования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71 395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73 197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79 009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информационно-аналитическому обеспечению по базе занятости и бедности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142 912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245 855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282 693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281 131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256 386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областным бюджетам, бюджетам городов Астаны и Алматы на предоставление специальных социальных услуг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2 109 347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2 267 944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выплаты пенсий и пособий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18 613 709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18 377 833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21 083 216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22 728 339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24 166 507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за вред, причиненный жизни и здоровью, возложенное судом на государство в случае прекращения деятельности юридического лица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250 428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301 152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372 127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386 133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427 602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Министерства труда и социальной защиты населения РК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243 154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386 831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123 641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44 901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организаций социальной защиты на республиканском уровне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548 789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754 792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503 688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359 591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334 477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методологическому обеспечению оказания инвалидам протезно-ортопедической помощи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87 314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Совершенствование системы социальной защиты лиц с ограниченными возможностями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Конвенции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ООН о правах инвалидов и развитие системы предоставления специальных социальных услуг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системы социальной защиты населения в соответствии с международными стандартами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42 843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32 195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Переселение на историческую родину и первичная адаптация оралманов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40 621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повышению квалификации кадров социально-трудовой сферы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16 422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30 559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32 170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33 894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 бюджетам городов Астана и Алматы на выплату государственной адресной социальной помощи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1 513 182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 бюджетам городов Астаны и Алматы на выплату государственных пособий на детей до 18 лет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645 158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областному бюджету Восточно-Казахстанской области на содержание вновь вводимых объектов социального обеспечения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71 319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протезно-ортопедической и сурдологической помощи на республиканском уровне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173 127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172 076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175 470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 бюджетам городов Астаны и Алматы на оказание социальной защиты и помощи населению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3 463 140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3 831 386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2 216 282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мероприятий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карты занятости 2020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45 278 878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78 956 038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77 108 739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70 625 573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70 137 201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профессиональных стандартов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180 611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134 400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252 054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Бюджетные программы развития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13 544 579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25 991 191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21 869 034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23 926 357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25 601 202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8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строительство и реконструкцию объектов социального обеспечения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1 020 274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1 976 788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1 179 000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8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областных бюджетов на содействие развитию предпринимательства на селе в рамках Дорожной карты занятости 2020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12 368 305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23 939 403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20 634 238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23 926 357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25 601 202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автоматизированной информационной системы Государственного центра по выплате пенсий и Единой информационной системы социально-трудовой сферы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75 000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37 796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059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* услуги Министерства труда и социальной защиты населения Республики Казахстан.</w:t>
      </w:r>
    </w:p>
    <w:bookmarkEnd w:id="4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