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52954" w14:textId="9d529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Стратегическом плане Министерства труда и социальной защиты населения Республики Казахстан на 2014 - 2018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2013 года № 1595. Утратило силу постановлением Правительства Республики Казахстан от 11 марта 2015 года № 122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11.03.2015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2014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Стратегический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труда и социальной защиты населения Республики Казахстан на 2014 – 2018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2014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С. Ахметов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2013 года № 1595 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Стратегический план</w:t>
      </w:r>
      <w:r>
        <w:br/>
      </w:r>
      <w:r>
        <w:rPr>
          <w:rFonts w:ascii="Times New Roman"/>
          <w:b/>
          <w:i w:val="false"/>
          <w:color w:val="000000"/>
        </w:rPr>
        <w:t>
Министерства труда и социальной защиты населения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на 2014 – 2018 годы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Миссия и видение 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Миссия</w:t>
      </w:r>
      <w:r>
        <w:rPr>
          <w:rFonts w:ascii="Times New Roman"/>
          <w:b w:val="false"/>
          <w:i w:val="false"/>
          <w:color w:val="000000"/>
          <w:sz w:val="28"/>
        </w:rPr>
        <w:t>: Защита трудовых прав, содействие продуктивной занятости и росту благосостояния населения.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Видение</w:t>
      </w:r>
      <w:r>
        <w:rPr>
          <w:rFonts w:ascii="Times New Roman"/>
          <w:b w:val="false"/>
          <w:i w:val="false"/>
          <w:color w:val="000000"/>
          <w:sz w:val="28"/>
        </w:rPr>
        <w:t>: Повышение уровня и качества жизни на основе расширения доступности продуктивной занятости, повышения уровня социального обеспечения, развития и оптимизации системы социальной поддержки населения.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Анализ текущей ситуации и тенденции развития</w:t>
      </w:r>
      <w:r>
        <w:br/>
      </w:r>
      <w:r>
        <w:rPr>
          <w:rFonts w:ascii="Times New Roman"/>
          <w:b/>
          <w:i w:val="false"/>
          <w:color w:val="000000"/>
        </w:rPr>
        <w:t>
соответствующих отраслей (сфер) деятельности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Стратегическое направление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Содействие росту трудовых ресурсов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Стратегическим планом развития Республики Казахстан до 2020 года качественный рост экономики будет основан на модернизации физической инфраструктуры, развитии человеческих ресурсов и укреплении институциональной базы, способствующих форсированному индустриально-инновационному развитию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данной проблемы зависит от улучшения демографической ситуации и обеспечения устойчивого роста численности населения. Для достижения предусмотренного Стратегическим планом развития Республики Казахстан до 2020 роста численности населения на 10 % необходимо обеспечить дальнейший рост рождаемости, увеличение общей продолжительности жизни и положительное сальдо миграции.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данных проблем предполагает координацию деятельности и организацию взаимодействия центральных и местных органов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труда и социальной защиты населения Республики Казахстан (далее – Министерство), являясь одним из звеньев в системе управления демографическими процессами, призвано содействовать созданию благоприятных условий для повышения рождаемости улучшения положения семей с детьми.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 деятельности Министерства по содействию росту рождаемости определены с учетом ее современного состояния.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параметры развития регулируемой сферы деятельности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истекший период отмечено увеличение численности населения: на 1 января 2013 года она составила 16,9 млн. человек, превысив уровень 1999 года на 1,9 млн.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Рост населения был обеспечен, главным образом, за счет роста рождаемости. В последние пять лет среднегодовое количество рожденных детей превысило 367,1 тыс.; коэффициент рождаемости в 2008 – 2012 годы составил 22,5 в среднем.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Рисунок 1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Динамика рождаемости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(общий коэффициент рождаемости на 1000 человек)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994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994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Положительно изменилась возрастная структура населения. На начало 2013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доля граждан трудоспособного возраста увеличилась с 49,6 % (2003 г.) до 62,7 %;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доля детей до 18 лет приближается к одной трети населения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улучшение демографической ситуации определенное влияние оказало развитие системы социальной поддержки семей с детьми. Начиная с 2003 года, поэтапно введены широко распространенные в международной практике: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единовременные государственные пособия на рождение ребенка в размерах от 30 месячного расчетного показателя (далее – МРП) (на рождение первого, второго и третьего ребенка) до 50 МРП (на рождение четвертого и последующих детей), выплачиваемые семьям из республиканского бюджета вне зависимости от дохода;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пособие по уходу за ребенком до 1 года. Неработающим матерям, оно выплачивается из республиканского бюджета вне зависимости от дохода в размере от 5,5 до 8,5 МРП (в зависимости от количества рожденных и воспитываемых в семье детей). Работающие матери получают социальные выплаты из АО «Государственный фонд социального страхования» в размере 40 % от их застрахованного дохода за последние 24 месяца до даты рождения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пособие родителям, опекунам, воспитывающим детей-инвалидов (введено с 2010 года) в размере минимальной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пособие на детей до 18 лет, назначаемое и выплачиваемое малообеспеченным семьям, доходы которых ниже продовольственной корзины, из местного бюджета в размере одного МРП.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2010 года изменены условия награждения многодетных матерей подвесками «Алтын алқа» и «Күміс алқа» и увеличены размеры выплачиваемого им специального государственного пособия (с 3,9 до 6 МРП).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период функционирования новой системы поддержки материнства и детства: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количество семей, получающих пособие на рождение ребенка, увеличилось с 157,5 тыс. (в 2003 году) до 381,2 тыс. (более чем в 2 раза);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удельный вес семей, имеющих четырех и более детей – с 7 % в 2003 году, до 9,2 % в 2012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2008 года введено обязательное социальное страхование на случай потери дохода в связи с беременностью и родами для работающих женщин. При наступлении данного риска работающая женщина получает социальную выплату в размере 100 % от застрахованного дохода за последние 12 месяцев до наступления риска за период, указанный в листе временной нетрудоспособности по беременности и родам. Источником финансирования данных выплат определен Государственный фонд социального страхования.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тем, работодатель оплачивает часть отпуска по беременности и родам, отпуск работникам, усыновившим (удочерившим) новорожденного ребенка (детей), с сохранением средней заработной платы, если это предусмотрено условиями трудового и (или) коллективного договора, актом работодателя, за вычетом суммы социальной выплаты по беременности и родам из Государственного фонда социального страхования.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международной практике подобные выплаты осуществляются и в других странах. При этом источники финансирования могут быть различными, если в России – это Фонд социального страхования, то, к примеру, в Великобритании – это Правительство и работодатель, в Германии – Фонд медицинского страхования и работодатель.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основных проблем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Однако, на фоне положительных изменений, наблюдавшихся в последние годы, в демографической сфере имеют место и отдельные проблемы.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Относительно низкая плотность населения страны (5,7 человек на один квадратный километр) ограничивает возможности регионального развития и остается одним из факторов, влияющих на социально-экономическую стабильность.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Развитие тенденции старения населения. В перспективе (до 2020 года) прогнозируется увеличение доли населения старше трудоспособного возраста за счет лиц рожденных в послевоенное время (в период «бума рождаемости»). Тенденция старения населения сохранится и в последующие годы. По расчетам Агентства Республики Казахстан по статистике, доля пожилых людей к 2030 году увеличится до 11,1 – 11,3 %, к 2050 году – до 14,7 – 15 %.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Старение населения будет иметь весьма разнообразные последствия для экономического роста, сбережений и инвестиций, предложения рабочей силы и занятости, программ пенсионного обеспечения, здравоохранения и социального обслуживания, налогообложения, структуры семьи и жизненных укладов.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Дефицит трудовых ресурсов на национальном рынке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Размеры детских и семейных пособий относительно невелики, что препятствует созданию равных стартовых возможностей развития детей.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основных внешних и внутренних факторов развития регулируемой сферы деятельности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сложившейся, таким образом, ситуации для обеспечения роста трудовых ресурсов будет продолжена реализация мер, направленных на усиление государственной поддержки семей, имеющих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Предусматривается: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повышение размеров (индексация) пособий на рождение ребенка, по уходу за ребенком по достижению им одного года и специальных государственных пособий для многодетных матерей;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внедрение в пилотном режиме механизмов «обусловленной социальной помощи» и обеспечению доступа семей к социальным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развитие системы индивидуального сопровождения и обслуживания семей и детей, находящихся в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свою очередь на изменение динамики трудовых ресурсов оказывают влияние и миграционные потоки. Стабильная ситуация на рынке труда, рост благосостояния населения создает предпосылки к положительному сальдо миграции в стране.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долгосрочной перспективе немаловажное влияние будут оказывать мировые тенденции глобального развития, одной из которых является снижение численности экономически активного населения. В мире во многих странах прогнозируется сокращение численности населения в трудоспособном возрасте и, как следствие, снижение численности экономически активного населения, что приведет к сокращению предложения трудовых ресурсов и обострит ситуацию на рынке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дальнейшем предусматривается продолжить совершенствование системы поддержки материнства и детства в целях создания благоприятных условий для повышения рождаемости и улучшения положения семей с детьми.</w:t>
      </w:r>
    </w:p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Стратегическое направление 2.</w:t>
      </w:r>
      <w:r>
        <w:br/>
      </w:r>
      <w:r>
        <w:rPr>
          <w:rFonts w:ascii="Times New Roman"/>
          <w:b/>
          <w:i w:val="false"/>
          <w:color w:val="000000"/>
        </w:rPr>
        <w:t xml:space="preserve">
Содействие продуктивной занятости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Осуществляя социальную модернизацию в политике занятости – деятельность Министерства будет направлена на повышение трудовой мотивации и всемерное содействие продуктивной занятости, с одной стороны, и удовлетворение потребностей экономики в высококвалифицированной рабочей силе – с другой.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Планируемое развитие системы управления социальными рисками в сфере занятости является отражением реалий, проблем и тенденций, сложившихся в данной сфере к настоящему времени.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параметры развития сферы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Рынок труда и занятость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ходе социально-экономических преобразований в стране создан динамично развивающийся рынок труда, устойчиво повышается экономическая активность и уровень занятости населения. Уровень экономической активности населения повысился с 68,6 % в 1991 году до 72 % – в третьем квартале 2013 года, численность занятого населения увеличилась с 7,7 млн. человек до 8,6 млн. человек. При этом преобладает занятость на предприятиях частной формы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Уровень безработицы снизился более чем в 2 раза – с 12,8 % в 2000 году до 5,3 % в 2012 году (в России – 5,3 %, Великобритании – 7,7 %, США – 7,8 %, Италии – 11,1 %, Испании – 26 % – по данным АС РК за 9 месяцев 2012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Численность безработного населения составила 474,8 тыс. человек, что в 2 раза меньше по отношению к 2000 году.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Динамика рынка труда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747000" cy="307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47000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Складывающая в последние годы стабильная положительная ситуация на рынке труда обуславливается также и реализацией своевременных антикризисных мер. Это, прежде всего – реализация Дорожных карт занятости (2009, 2010 годов). В 2011 году новая стратегия занятости получила свое развитие. По поручению Главы государства была разработана </w:t>
      </w:r>
      <w:r>
        <w:rPr>
          <w:rFonts w:ascii="Times New Roman"/>
          <w:b w:val="false"/>
          <w:i w:val="false"/>
          <w:color w:val="000000"/>
          <w:sz w:val="28"/>
        </w:rPr>
        <w:t>Программа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(далее – Программа), нацеленная на повышение доходов населения, путем содействия устойчивой и продуктивной занятости, которая начала свой старт с 1 июля 2011 года и была преобразована в Дорожную карту занятости 2020 (далее – Программа).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2011 – 2013 годы на реализацию Программы выделено 200 млрд. тенге. Это позволило вовлечь в Программу около двухсот пятидесяти тысяч человек, из которых более половины ранее безработных, 30 % самостоятельно занятых. Оставшаяся часть подписавших контракт участников малообеспеченные (5,8 %) и наемные работники (0,7 %).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Трудоустроено 233,8 тыс. человек. Более 108 тыс. участников Программы направлено на обучение, по завершению которого трудоустроены порядка 80 %. На социальные рабочие места было трудоустроено 66,9 тыс. представителей целевых групп населения, временной работой в рамках молодежной практики было обеспечено 46,8 тыс. выпускников.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счет полученных в рамках Программы микрокредитов, собственное дело на селе открыли более 11 тыс. человек и расширили бизнес свыше 5 тысяч, в результате на дополнительно созданные места трудоустроено еще 12 217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населенные пункты с высоким экономическим потенциалом переселены около 11,3 тысяч человек. 80 % из числа переселившихся трудоспособных граждан получили постоянную работу.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 1485 проектов, были созданы 26,4 тыс. рабочих мест, на которые были привлечены 15 тыс. участников Программы.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основных проблем.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Вместе с тем, развитие национального рынка труда сталкивается с определенными проблемами и трудностями.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Национальный рынок труда не сбалансирован. Сохраняется безработица, особенно высок ее уровень среди молодежи. При наличии безработицы на предприятиях и в организациях сохраняются не заполненные рабочие места (вакансии). Не удовлетворяется спрос на работников массовых рабочих профессий, а также высококвалифицированных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Неформальный сектор экономики продолжает занимать значительную часть экономически активного населения, лишенного социальной защиты. Более 37 % работающего населения являются непродуктивно занятыми.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Качество трудовых ресурсов не отвечает потребностям инновационной экономики (примерно треть занятого населения не имеют профессионального образования).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основных внешних и внутренних факторов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долгосрочной перспективе немаловажное влияние на состояние национального рынка труда будут оказывать мировые тенденции глобального развития, такие как урбанизация и научно-технический прогресс.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процессе быстрой урбанизации, происходит усиление интеграционных и глобализационных процессов, усиливается трудовая миграция населения. В целом, ожидается новая волна технологических изменений, усиливающая роль инноваций в социально-экономическом развитии. Происходит переход от добывающей и традиционной обрабатывающей промышленности к работе в сфере услуг и в наукоемких отраслях, что ведет к сокращению количества рабочих мест, требующих средней квалификации.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воздействием внешних факторов будет использован имеющейся потенциал выработанных стратегий. Дальнейшее совершенствование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будет предусматривать: введение института профориентации как среди старших классов общеобразовательных школ, так и среди претендентов на участие в Программе; усовершенствование механизмов поддержки предпринимательства на селе через содействие комплексному развитию опорных сел; поэтапную модернизацию центров занятости по примеру деятельности рекрутинговых компаний и широкое привлечение неправительственных организаций и частных агентств занятости к обучению и трудоустройству граждан; внедрение системы прогнозирования рынка труда; а также совершенствование системы мониторинга реализации программы и др.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Устойчивое развитие экономики, стабильная и продуктивная занятость создадут прочную основу для роста благосостояния населения.</w:t>
      </w:r>
    </w:p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Стратегическое направление 3.</w:t>
      </w:r>
      <w:r>
        <w:br/>
      </w:r>
      <w:r>
        <w:rPr>
          <w:rFonts w:ascii="Times New Roman"/>
          <w:b/>
          <w:i w:val="false"/>
          <w:color w:val="000000"/>
        </w:rPr>
        <w:t>
Реализация государственной политики в области</w:t>
      </w:r>
      <w:r>
        <w:br/>
      </w:r>
      <w:r>
        <w:rPr>
          <w:rFonts w:ascii="Times New Roman"/>
          <w:b/>
          <w:i w:val="false"/>
          <w:color w:val="000000"/>
        </w:rPr>
        <w:t>
миграции населения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оценкам Международной организации по миграции Казахстан относится к странам мира, где наблюдаются наиболее сильные миграционные процессы. Масштабы миграционных процессов, их влияние на социально-экономическую ситуацию в Казахстане будут нарастать.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Социально-экономические проблемы народонаселения и в частности миграции стоят в ряду основных вопросов всех высокоразвитых государств. Такие страны как США, Канада, Австралия и ряд европейских государств в настоящий период проводят особую селективную иммиграционную политику в отношении прибывающих иностранных граждан. Наряду с этим, ряд стран, в первую очередь, Германия, Израиль и Польша в целях сохранения национальной идентичности и самобытности своих государств проводят специфическую этно-историческую миграционную политику.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параметры развития сферы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время миграционная ситуация в республике характеризуется: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интенсивной внутренней миграцией. В Казахстане в течение последних лет сохраняется высокий показатель межрегиональной миграции и направления миграционных потоков. С 2006 по 2012 годы в процессы межрегиональной миграции было вовлечено более 1,5 млн. человек. Ее составляющими является миграция населения из сельских населенных пунктов в регионы с более высоким уровнем жизни и развитой инфраструктурой, из экологически неблагополучных регионов в регионы с лучшей экологической средой.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2012 году наибольший отток населения, преимущественно в трудоспособном возрасте, приходится на Южно-Казахстанскую, Жамбылскую, Восточно-Казахстанскую, Северо-Казахстанскую и Кызылординскую области. Основными регионами притока населения являются города Астана, Алматы, Алматинская и Мангистауская область;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снижением количества иностранной рабочей силы (далее – ИРС). В целях защиты внутреннего рынка труда на 2013 год установлена квота на привлечение иностранной рабочей силы – 1,2 % к экономически активному населению республики, в которой привлечены 25,2 тысяч иностранной рабочей силы или 5,9 % от числа наемных работников (в сравнении с 2008 годом число привлекаемых иностранных работников уменьшилась с 54204 до 25235 человек).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доля высококвалифицированной ИРС на 1 декабря 2013 года увеличилась до 74,4 % (для сравнения: в 2008 году – 47,9 %).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Работодателями, в рамках выполнения особых условий, возлагаемых при выдаче разрешений, за 11 месяцев 2013 года создано для казахстанских граждан – 18 437 дополнительных рабочих мест, свыше 22 тыс. человек прошли обучение, 287 иностранных специалистов заменено казахстанскими кадрами;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стабильной динамикой прибывающих ежегодно этнических казахов. За годы независимости на историческую родину прибыло свыше 250 тысяч семей или более 930 тыс. этнических казахов.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основных проблем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Миграционным процессам присущ ряд проблем, для решения которых необходимо усиление управления миграционной политикой.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Снижение миграционного прироста населения: сальдо миграции в 2012 году составило (– 1428).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Стихийное развитие процессов внутренней миграции, миграция из сельских регионов в города остается преобладающей формой межобластного территориального размещения.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Увеличение напряженности из-за неравномерного расселения иммигрантов по территории страны, медленная интеграция этнических казахов на исторической родине.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Незаконная миграция, увеличение иммиграции из стран с напряженным миграционным потенциалом.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основных внешних и внутренних факторов.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Внешние и внутренние объективные факторы, оказывающие влияние на миграционные процессы, можно условно разделить на три группы: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неуправляемые, постоянно действующие факторы – преимущественно климатические, географические, геологические и экологические факторы;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временные факторы, которые могут регулироваться косвенным воздействием – факторы, которые могут быть изменены постепенно. Это уровень освоенности территорий, в т.ч. создание производственной и социальной инфраструктуры; половой, возрастной, этнический состав населения. Немаловажным фактором влияния выступает и состав населения по продолжительности проживания;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регулируемые переменные факторы – увеличение заработной платы, установление или отмена определенных льгот, кадровая политика, изменения в национальной политике и так далее.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связи, на данном этапе развития Казахстана, необходимо создание комплексной системы регулирования миграционных потоков, с учетом всех внешних и внутренних факторов миграции.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создание равных условий жизнеобеспечения во всех регионах страны, особенно в сельской местности, обеспечение продуктивной занятости населения, создание достаточного числа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тоже время глобализация экономики, политическая нестабильность и сложная социально-экономическая ситуация в сопредельных странах, неэффективные механизмы регулирования и контроля за миграционными потоками могут привести к росту неуправляемой миграции, давлению на внутренний рынок труда. Это давление будет ощущаться в условиях свободного перемещения рабочей силы в рамках единого экономического пространства, предстоящего вступления Казахстана во Всемирную торговую организацию в ближайшей перспективе.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 предусматривается усиление мер по увеличению доли привлекаемой квалифицированной иностранной рабочей силы.</w:t>
      </w:r>
    </w:p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Стратегическое направление 4.</w:t>
      </w:r>
      <w:r>
        <w:br/>
      </w:r>
      <w:r>
        <w:rPr>
          <w:rFonts w:ascii="Times New Roman"/>
          <w:b/>
          <w:i w:val="false"/>
          <w:color w:val="000000"/>
        </w:rPr>
        <w:t>
Обеспечение реализации трудовых прав граждан.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Осуществляя социальную модернизацию в политике регулировании трудовых отношений – деятельность Министерства будет направлена на улучшение условий труда, сочетание социальной защищенности с экономической эффективностью, обеспечение стабильности на основе повышения переговорного потенциала и предупреждения трудовых конфликтов.</w:t>
      </w:r>
    </w:p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параметры развития сферы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 поручений Главы государства в 2013 году проведена работа по обновлению трудового законодательства, и ряд законопроектов внесен на рассмотрение в Парламент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развития и повышения эффективности социального диалога разработан проект нового Закона Республики Казахстан «О профессиональных союзах», который направлен на повышение роли профессиональных организаций в представлении и защите интересов работников, предупреждении и разрешении трудовых споров и конфликтов (проект был обсужден с социальными партнерами на уровне республики и в регионах);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целях предупреждения рисков нарушения трудовых прав внесен законопроект, предусматривающий внесение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государственном контроле и надзоре в Республике Казахстан». Согласно законопроекту вводится новая форма государственного контроля в виде посещения и право государственной инспекции труда, без предварительной регистрации в соответствующих органах, осуществлять внеплановые проверки по соблюдению требований в области безопасности и охраны труда в случае возникновения угрозы жизни и здоровью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нормы по закреплению ответственности лиц за умышленное провоцирование трудовой конфликтности, принуждение к забастовке, несвоевременную выплату зарплаты, невыполнение коллективных договоров и другие правонарушения вошли в проекты новых Уголовного, Административного кодексов.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декабре 2012 года Правительством принят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организации правового всеобуча граждан основам трудового законодательства в Республике Казахстан на 2013 – 2015 годы. В результате его реализации в 2013 году правовым всеобучем были охвачены свыше 80 тысяч работников из 1895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Порядка 105 тыс. экземпляров специально разработанных справочников направлены в регионы для распространения в трудовых коллективах и для проведения обучения.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Наблюдается положительная динамика сокращения просроченной задолженности по заработной плате за последние три года (в 4 раза).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предприятиях страны внедрено 1266 международных и национальных стандартов по безопасности и охраны труда. Как следствие, в 2013 году снизился уровень производственного травматизма (на 1 января 2014 года на производстве пострадало 1 997 человек, в аналогичном периоде 2012 года – 2189 человек).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частоты несчастных случаев со смертельным исходом на 1000 работающих в последние годы в Республике Казахстан составил около 0,09, что ниже, чем аналогичный показатель в Российской Федерации (0,124), но в тоже время превышает соответствующий показатель в странах Евросоюза, таких как Дания (0,03), Швеция (0,03) или Норвегия (0,06).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2012 году коэффициент частоты несчастных случаев на 1000 работающих составил 0,45 (в том числе со смертельным исходом 0,06), на уровне аналогичного показателя в Кыргызстане (0,5), в Таджикистане (0,3), в то же время превышает показатель в России (3,92).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основных проблем.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Развитие трудовых отношений сталкивается с определенными проблемами и трудностями. Сохраняются нарушения трудового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сферы трудовых отношений характерен относительно низкий переговорный потенциал, что влечет риск возникновения трудовых конфликтов. В 2013 году по республике было зарегистрировано 28 акций протеста, преимущественно вызванные несвоевременной выплатой заработной платы и требованиями повышения ее размеров. На 1 января 2014 года сумма задолженности по заработной плате по республике составляла 738 млн. тенге. Сохраняется достаточно высокий по международным меркам уровень производственного травматизма и профессиональных заболеваний.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основных внешних и внутренних факторов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Управление развитием трудовых отношений в перспективе будет осуществляться в соответствии с нормами </w:t>
      </w:r>
      <w:r>
        <w:rPr>
          <w:rFonts w:ascii="Times New Roman"/>
          <w:b w:val="false"/>
          <w:i w:val="false"/>
          <w:color w:val="000000"/>
          <w:sz w:val="28"/>
        </w:rPr>
        <w:t>Трудового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интересах сбалансированности интересов основных субъектов трудовых отношений и реализации их конституционных прав. Предполагается дальнейшее повышение роли социального диалога и рост социальной ответственности бизнеса.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Работа государственных инспекций по труду будет осуществляться в условиях необходимого снижения барьеров для бизнеса. Основное внимание в системе оценки рисков предстоит уделить профилактике правонарушений, рисков несчастных случаев на производстве, устранению имеющих место нарушений и недостатков.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Предусматривается разработка новой стратегии безопасности и охраны труда, направленной на концептуальное изменение идеологии системы управления охраной труда, включающей переход от компенсационной, затратной модели управления охраной труда к современной системе управления профессиональными рисками.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внедрено добровольное декларирование соответствия условий труда одновременно с ужесточением ответственности работодателя за нарушение трудового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Внешней средой для разработки и реализации государственной политики управления трудовыми отношениями остается глобализация экономики, развитие интеграционных процессов в рамках СНГ, ЕврАзЭС, формирование единого таможенного пространства.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учетом рекомендаций международных социальных институтов в целях сопоставимости будет продолжена работа над приближением национальных стандартов трудовых отношений к стандартам развитых стран.</w:t>
      </w:r>
    </w:p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Стратегическое направление 5.</w:t>
      </w:r>
      <w:r>
        <w:br/>
      </w:r>
      <w:r>
        <w:rPr>
          <w:rFonts w:ascii="Times New Roman"/>
          <w:b/>
          <w:i w:val="false"/>
          <w:color w:val="000000"/>
        </w:rPr>
        <w:t xml:space="preserve">
Содействие повышению благосостояния населения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Осуществляя социальную модернизацию в социальном обеспечении – деятельность Министерства будет направлена на сочетание государственных гарантий с личной ответственностью граждан и работодателей за социальное обеспечение и адекватность размеров социальных выплат при наступлении основных социальных рисков, а также на предупреждение иждивенчества и активизацию трудового потенциала малообеспеченных граждан, сохранивших трудоспособность.</w:t>
      </w:r>
    </w:p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параметры развития сферы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Основная часть доходов населения формируется за счет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последние пять лет минимальный размер заработной платы увеличился в 1,4 раза (с 13 470 в 2009 году до 18 660 тенге в 2013 году). По размеру минимальной заработной платы на 1 января 2013 года среди стран СНГ Казахстан занимает 4 место после России, Беларуси, Украины.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Среднемесячная заработная плата одного работника по видам экономической деятельности в целом по стране – выросла в 1,7 раза и в 2013 году (на 1 декабря) составила 106 092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Посланиями Президента Республики Казахстан заработная плата работников бюджетной сферы в 2006 – 2007 гг. была повышена на 32 и 30 %, соответственно. Кроме того, в 2009 году и с 1 апреля 2010 года уровень заработной платы работников бюджетной сферы был увеличен на 25 %, а с 1 июля 2011 года - на 30 % и на 1 декабря 2013 года в среднем составляет 74 027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Подготовлен и обсуждается с представителями государственных органов и профсоюзов проект новой модели системы оплаты труда гражданских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восьми отраслях промышленности (горно-металлургической, машиностроительной, угольной, нефтегазовой, строительной, химической, электроэнергетической, железнодорожной) утверждены и применяются повышающие отраслевые коэффициенты для расчета минимального стандарта оплаты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Второе место в составе доходов населения занимают социальные пособия.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Казахстане функционирует соответствующая принципам рыночной экономики многоуровневая модель системы социального обеспечения, предусматривающая распределение ответственности за социальное обеспечение между государством, работодателем и работником.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социального обеспечения являются постоянно обновляемые минимальные социальные стандарты. В сравнении с 2009 г.: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прожиточный минимум увеличился с 13717 до 18660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минимальные размеры пенсий с учетом базовой пенсионной выплаты – более чем в 1,8 раза (с 15362 до 28396 тенге).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поручениями Главы государства, основными положениями социальной программы Народной платформы партии «Нұр Отан» и программой действий Правительства в 2009 – 2010 годах пенсионные выплаты ежегодно повышались на 25 %, с 2011 года – на 30 %; социальные выплаты в 2010 году – на 9 %, в 2011 г. – на 7 %. С 1 января 2012 года ежегодно повышаются размеры пенсионных выплат на 9 % (с опережением уровня инфляции на 2 %).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учетом этих повышений и выплат из накопительных пенсионных фондов средние размеры совокупных пенсионных выплат на 1 ноября 2013 года составили 45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мировой практике одним из критериев качества организации пенсионного обеспечения является адекватность размеров пенсий доходам, получаемым в период трудовой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Системное повышение размера пенсионных выплат позволило повысить жизненный уровень пожилых граждан и обеспечить один из наиболее высоких уровней пенсионного обеспечения среди стран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Совокупный коэффициент замещения дохода за счет базовой и солидарной пенсионной выплат достиг в 2013 году 41,2 %, что превышает минимальные нормы МОТ (не менее 40 %).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замещения в межстрановом сопоставлении выглядит следующим образом: в среднем по странам организации экономического сотрудничества и развития (ОЭСР) — 56 – 57 %; в странах ЕС — около 50 %; в среднем по выборке формирующихся рынков, входящих в ОЭСР — 52 %; в Российской Федерации – 35 %.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Расширяется участие работников в накопительной пенсионной системе (далее – НПС) и системе обязательного социального страхования. Количество индивидуальных пенсионных счетов вкладчиков на 1 ноября 2013 года составило 8,7 млн., количество участников системы обязательного социального страхования достигло – 6,3 млн.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время, в зависимости от финансово – экономических возможностей государства, начата поэтапная реализация поручений Главы государства озвученных в Обращении к народу Казахстана от 7 июня 2013 года по вопросам дальнейшего развития пенсионной системы. Создан единый накопительный пенсионный фонд, осуществляется перевод пенсионных активов и накоплений граждан в ЕНПФ в полном объеме. При этом сохраняются и обязательства государства по гарантии сохранности пенсионных накоплений в размере фактически внесенных взносов с учетом уровня инфляции.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Казахстане функционирует система социальной помощи, которая охватывает малообеспеченные слои населения. Она выступает в форме социальных выплат (специальные государственные пособия, адресная социальная помощь, государственные пособия детям до 18 лет из малообеспеченных семей, жилищная помощь и другое).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Системой адресной социальной помощи и поддержки в настоящее время охвачено более одного миллиона казахстанцев.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Уровень бедности в стране снижается – доля населения с доходами ниже величины прожиточного минимума в третьем квартале 2013 года составила 3,1 % против 10,5 % аналогичного периода 2009 года. Уровень бедности в Казахстане в сравнении со странами СНГ низкий, к примеру, в Белоруссии уровень бедности по итогам 2012 г. составил 6,3 %, на Украине – 7,8 %, в России – 11,0 %.</w:t>
      </w:r>
    </w:p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основных проблем.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Несмотря на принимаемые меры, уровень жизни в Республике Казахстан отстает от уровня наиболее развитых стран.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оплате труда сохраняется региональная и отраслевая дифференциация, заработная плата работников бюджетной сферы значительно отстает от ее уровня по экономике в целом. Несовершенны стандарты минимальной заработной платы. Нарушена зависимость оплаты труда от ее результатов – темпы роста заработной платы опережают темпы роста производительности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системе социального обеспечения основной проблемой остается неадекватность социальных выплат прежним доходам и растущему уровню жизни в стране. Также отмечается недостаточный охват населения накопительной пенсионной системой.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следствие – в стране сохраняется бедность. Ей подвержены, в первую очередь, многодетные семьи и сельские жители. В категории бедных находятся и трудоспособные граждане, причиной этому является не только недостаточный для самореализации доход, но и отсутствие достаточных стимулов к труду (активных мер содействия занятости).</w:t>
      </w:r>
    </w:p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основных внешних и внутренних факторов.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Устойчивая макроэкономическая ситуация, возможность использования преимуществ, связанных с международным сотрудничеством, совершенствование системы управления социальными рисками остаются той средой, в рамках которой предстоит ответить на основные вызовы времени и обеспечить неуклонный рост благосостояния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доходах населения сохранится особое значение заработной 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социальным партнерам необходимо включать вопросы оплаты труда в систему коллективно-договорных отношений; расширить практику установления минимального стандарта оплаты труда; обеспечить зависимость заработной платы от производительности труда и конечных результатов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в перспективе предстоит дополнительно отработать и внедрить новую модель системы оплаты труда гражданских 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Важным фактором усиления финансовой устойчивости системы социального обеспечения и социального страхования системы является обновление социального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Начата поэтапная реализация поручений Главы государства озвученных в Обращении к народу Казахстана от 7 июня 2013 года по вопросам дальнейшего развития пенсионной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увеличения пенсионных накоплений граждан с 2014 года вводятся: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обязательные профессиональные пенсионные взносы в размере 5 % от фонда оплаты труда (за счет работодателей) для лиц, занятых во вредных условиях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субсидирование пенсионных взносов для работающих женщин в период их нахождения в отпусках по рождению и уходу за детьми.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Далее предусматривается введение 5 % обязательных пенсионных взносов за счет работодателей и поэтапное повышение обязательных профессиональных пенсионных взносов до 10 %; выработка мер, направленных на повышение инвестиционной доходности пенсионных активов граждан, расширение охвата граждан пенсионной системой за счет введения стимулирующих мер и повышения привлекательности всей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данных факторов должна стать основой работы Министерства по повышению благосостояния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Экономическая стабилизация и переход к индустриально-инновационному развитию расширят возможности использования экономического роста для решения важнейших социальных проблем и, в первую очередь, для преодоления бедности.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учетом результатов реализации в 2014 – 2015 гг. пилотного проекта предусматривается внедрить новые формы обусловленной денежной помощи. Механизмом усиления трудовой мотивации и вовлечения на рынок труда трудоспособных малообеспеченных категорий населения станет контрактная система, предусматривающая оказание активной поддержки при условии обязательного участия в программах профессиональной подготовки и переподготовки, поиска работы и трудоустройства.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Комплексное решение вопросов расширения доступности продуктивной занятости и снижения бедности позволит сузить круг лиц, нуждающихся в социальной помощи и поддержке, и усилить ее адресный характер.</w:t>
      </w:r>
    </w:p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Стратегическое направление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Формирование эффективной системы социальной поддержки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уязвимых категорий населения.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параметры развития сферы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Республике Казахстан так же, как и в любой другой стране, определенная часть населения – лица пожилого возраста, инвалиды и иные представители целевых групп населения нуждаются в особой социальной поддержке. Она выступает в форме оказания специальных социальных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организации социальной поддержки повышается роль и расширяются полномочия местных органов государственного управления. Развивается партнерство с представителями гражданского общества, растет благотворительность.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смягчения бедности и повышения качества жизни активно используется предоставление специальных социальных услуг.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специальных социальных услугах» принимаются меры по повышению качества социального обслуживания лиц, оказавшихся в трудной жизненной ситуации. В настоящее время специальные социальные услуги получают около 80 тыс. граждан (инвалиды, лица пожилого возраста).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осуществляемой модернизации системы социального обслуживания внедрены стандарты оказания специальных социальных услуг, определен перечень гарантированного объема и расширены формы оказания специальных социальных услуг. На базе действующих медико-социальных учреждений в 13 регионах страны открыто 29 отделений дневного пребывания с охватом около 3 тысяч детей, имеющих инвалидность. К оказанию необходимых социальных услуг широко привлекаются неправительственные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Особое внимание в оказании социальной поддержки уделяется лицам с ограниченными возможностями.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социальной защите инвалидов в Республике Казахстан», на государственном уровне разработаны комплексные меры по медицинской, социальной и профессиональной реабилитации инвалидов. Оказание бесплатной гарантированной медицинской помощи, повышение качества социальных услуг, обеспечение доступности образования, информации, свободный выбор рода деятельности с учетом состояния здоровья, профессиональная подготовка и переподготовка, восстановление трудоспособности и содействие в трудоустройстве направлены на создание равных возможностей участия инвалидов в жизни 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приверженность к поэтапной имплементации международных стандартов в области прав инвалидов, Казахстан подписал в 2008 году </w:t>
      </w:r>
      <w:r>
        <w:rPr>
          <w:rFonts w:ascii="Times New Roman"/>
          <w:b w:val="false"/>
          <w:i w:val="false"/>
          <w:color w:val="000000"/>
          <w:sz w:val="28"/>
        </w:rPr>
        <w:t>Конвенцию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правах инвалидов и Факультативный протокол к ней. В рамках подготовки к ее ратификации поэтапно реализуется План мероприятий по обеспечению и улучшению качества жизни инвалидов на 2012 – 2018 годы, направленный на обеспечение доступной среды, создание необходимых условий для восстановления жизненных функций.</w:t>
      </w:r>
    </w:p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основных проблем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Важнейшими проблемами, требующими решения в системе социальной поддержки населения, остаются: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недостаточный охват нуждающегося населения социальной поддержкой;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недостаточная эффективность реабилитационных услуг, предоставляемых лицам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недостаточное развитие альтернативных форм социального обслуживания и конкурентной среды на рынке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недостаточные возможности полноценного участия в жизни общества лиц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этих и иных проблем в системе социальной поддержки населения связано с различными причинами. Объективно они обусловлены макроэкономической ситуацией, финансово-экономическими возможностями и приоритетами общегосударственного и регионального масштаба. Субъективно – с несовершенством механизма оказания социальной поддержки, относительно низким профессионализмом и недостаточной ответственностью социальных работников, несовершенством и относительно низким уровнем оплаты их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таких условиях дальнейшее развитие системы социальной поддержки требует максимально возможного использования имеющихся для этого внешних и внутренних факторов.</w:t>
      </w:r>
    </w:p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основных внешних и внутренних факторов.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Работа по социальной защите и созданию равных возможностей участия в общественной жизни для инвалидов в ближайшей перспективе будет осуществляться в рамках реализации международных обязательств, принятых на себя Казахстаном в связи с подписанием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правах инвалидов и Факультативного протокола к ней. Предусматривается утверждение и реализация второго этапа (2014 – 2015 годы) Плана мероприятий по обеспечению прав и улучшению качества жизни инвалидов в Республике Казахстан на 2012 – 2018 годы. Одной из важнейших мероприятий Плана является проведение унификации действующего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тоже время для текущей ситуации характерна недостаточная интеграция инвалидов в общество и в большей степени это вызвано ограниченностью доступа инвалидов к жилищно-коммунальной, социальной и рекреционной инфраструктуре. В такой ситуации акимам областей, гг. Астана, Алматы необходимо будет принять незамедлительные меры. Для повышения доступности окружающей среды на местном уровне планируется улучшение работы по приспособлению к особым потребностям инвалидов дорожной инфраструктуры; расширение перечня транспортных услуг предоставляемых инвалидам, имеющим затруднения в передвижении; разработка карты доступности объектов и другое.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период до 2017 года предусматривается продолжение реформирования системы предоставления специальных социальных услуг.</w:t>
      </w:r>
    </w:p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3. Стратегические направления, цели, задачи,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целевые индикаторы, мероприятия и показатели результатов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с изменениями, внесенными постановлением Правительства РК от 12.06.2014 </w:t>
      </w:r>
      <w:r>
        <w:rPr>
          <w:rFonts w:ascii="Times New Roman"/>
          <w:b w:val="false"/>
          <w:i w:val="false"/>
          <w:color w:val="ff0000"/>
          <w:sz w:val="28"/>
        </w:rPr>
        <w:t>№ 643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6"/>
        <w:gridCol w:w="1317"/>
        <w:gridCol w:w="1137"/>
        <w:gridCol w:w="1317"/>
        <w:gridCol w:w="1137"/>
        <w:gridCol w:w="1137"/>
        <w:gridCol w:w="1137"/>
        <w:gridCol w:w="937"/>
        <w:gridCol w:w="937"/>
        <w:gridCol w:w="1118"/>
      </w:tblGrid>
      <w:tr>
        <w:trPr>
          <w:trHeight w:val="19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Стратегическое направление 1. Содействие росту трудовых ресурсов</w:t>
            </w:r>
          </w:p>
        </w:tc>
      </w:tr>
      <w:tr>
        <w:trPr>
          <w:trHeight w:val="81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 1.1. Стимулирование рождаемости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бюджетных программ, направленных на достижение данной цели 001, 003, 005, 008, 012,028, 033</w:t>
            </w:r>
          </w:p>
        </w:tc>
      </w:tr>
      <w:tr>
        <w:trPr>
          <w:trHeight w:val="255" w:hRule="atLeast"/>
        </w:trPr>
        <w:tc>
          <w:tcPr>
            <w:tcW w:w="3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</w:t>
            </w:r>
          </w:p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1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г.</w:t>
            </w:r>
          </w:p>
        </w:tc>
      </w:tr>
      <w:tr>
        <w:trPr>
          <w:trHeight w:val="90" w:hRule="atLeast"/>
        </w:trPr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30" w:hRule="atLeast"/>
        </w:trPr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Удельный вес детей до одного года, охваченных системой социальной поддержки, (по отношению к численности детей, рожденных в соответствующем году)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МТСЗН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статданные</w:t>
            </w:r>
          </w:p>
        </w:tc>
        <w:tc>
          <w:tcPr>
            <w:tcW w:w="1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79,7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85,8</w:t>
            </w:r>
          </w:p>
        </w:tc>
      </w:tr>
      <w:tr>
        <w:trPr>
          <w:trHeight w:val="645" w:hRule="atLeast"/>
        </w:trPr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Удельный вес детей до одного года, охваченных социальными выплатами из ГФСС (по отношению к численности детей, рожденных в соответствующем году)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МТСЗН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38,8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1230" w:hRule="atLeast"/>
        </w:trPr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Удельный вес детей в возрасте до 18 лет из малообеспеченных семей, охваченных системой социальной поддержки (по отношению к общей численности детей)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МТСЗН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статданные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11,9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1.1.1. Социальная поддержка семей с детьми</w:t>
            </w:r>
          </w:p>
        </w:tc>
      </w:tr>
      <w:tr>
        <w:trPr>
          <w:trHeight w:val="75" w:hRule="atLeast"/>
        </w:trPr>
        <w:tc>
          <w:tcPr>
            <w:tcW w:w="3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прямого результата</w:t>
            </w:r>
          </w:p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1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г.</w:t>
            </w:r>
          </w:p>
        </w:tc>
      </w:tr>
      <w:tr>
        <w:trPr>
          <w:trHeight w:val="75" w:hRule="atLeast"/>
        </w:trPr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Удельный вес получателей пособия на детей до 18 лет (ГДП) к предыдущему году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МТСЗН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к предыдущему году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91,9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1170" w:hRule="atLeast"/>
        </w:trPr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Средний размер социальных выплат по уходу за ребенком до одного года из ГФСС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МТСЗН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к предыдущему году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110,8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г.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Развитие системы социальной поддержки материнства и детства на основе: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совершенствования законодательства по вопросам назначения и осуществления социальных выплат из ГФСС на случай потери дохода в связи с уходом за ребенком по достижению им возраста одного 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разработки и внесения на рассмотрение Правительства РК предложений: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изменению и дополнению условий назначения социальных пособий семьям с детьми (переход к обусловленным выплатам).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Повышение размеров государственных пособий семьям, имеющим детей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Расширение охвата работающих женщин системой социального страхования (в связи с наступлением рисков потери дохода в связи с беременностью и родами и уходом за ребенком по достижению им возраста 1 года)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*В связи с пересмотром методики определения ПМ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5"/>
        <w:gridCol w:w="1551"/>
        <w:gridCol w:w="957"/>
        <w:gridCol w:w="957"/>
        <w:gridCol w:w="1162"/>
        <w:gridCol w:w="1100"/>
        <w:gridCol w:w="1018"/>
        <w:gridCol w:w="978"/>
        <w:gridCol w:w="1121"/>
        <w:gridCol w:w="1061"/>
      </w:tblGrid>
      <w:tr>
        <w:trPr>
          <w:trHeight w:val="7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Стратегическое направление 2. Содействие продуктивной занятости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 2.1. Повышение уровня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бюджетных программ, направленных на достижение данной цели 001, 008, 012, 014, 015, 019, 028, 121, 128, 145</w:t>
            </w:r>
          </w:p>
        </w:tc>
      </w:tr>
      <w:tr>
        <w:trPr>
          <w:trHeight w:val="255" w:hRule="atLeast"/>
        </w:trPr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15" w:hRule="atLeast"/>
        </w:trPr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г.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г.</w:t>
            </w:r>
          </w:p>
        </w:tc>
      </w:tr>
      <w:tr>
        <w:trPr>
          <w:trHeight w:val="90" w:hRule="atLeast"/>
        </w:trPr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5" w:hRule="atLeast"/>
        </w:trPr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Уровень безработицы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статданные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75" w:hRule="atLeast"/>
        </w:trPr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Уровень женской безработицы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статданные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</w:tr>
      <w:tr>
        <w:trPr>
          <w:trHeight w:val="75" w:hRule="atLeast"/>
        </w:trPr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Уровень молодежной безработицы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статданные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</w:tr>
      <w:tr>
        <w:trPr>
          <w:trHeight w:val="75" w:hRule="atLeast"/>
        </w:trPr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Позиция в Глобальном индексе конкурентоспособности (ГИК) по показателю «Участие женщин в рабочей силе»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ВЭФ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рейтинге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2.1.1. Повышение качества трудовых 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75" w:hRule="atLeast"/>
        </w:trPr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прямого результата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75" w:hRule="atLeast"/>
        </w:trPr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г.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г.</w:t>
            </w:r>
          </w:p>
        </w:tc>
      </w:tr>
      <w:tr>
        <w:trPr>
          <w:trHeight w:val="75" w:hRule="atLeast"/>
        </w:trPr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5" w:hRule="atLeast"/>
        </w:trPr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Удельный вес лиц, охваченных переподготовкой и повышением квалификации, обучением основам предпринимательства из числа участников Дорожной карты занятости 2020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ДКЗ 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МТСЗН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23,7</w:t>
            </w:r>
          </w:p>
        </w:tc>
      </w:tr>
      <w:tr>
        <w:trPr>
          <w:trHeight w:val="75" w:hRule="atLeast"/>
        </w:trPr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Удельный вес лиц, направленных на профессиональное обучение (из числа обратившихся за содействием в органы занятости населения в рамках ПРТ)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МТСЗН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г.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г.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Формирование общенациональной базы данных текущих вакансий и прогнозируемых рабочих мест 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Участие в разработке профессиональных стандартов 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Оказание государственной поддержки лицам, проходящим профессиональное обучение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ДКЗ 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региональных программ. 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Разработка ситуационного центра. 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2.1.2. Активизация безработного, самозанятого и малообеспеченного населения</w:t>
            </w:r>
          </w:p>
        </w:tc>
      </w:tr>
      <w:tr>
        <w:trPr>
          <w:trHeight w:val="75" w:hRule="atLeast"/>
        </w:trPr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прямого результата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г.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г.</w:t>
            </w:r>
          </w:p>
        </w:tc>
      </w:tr>
      <w:tr>
        <w:trPr>
          <w:trHeight w:val="75" w:hRule="atLeast"/>
        </w:trPr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Доля граждан, охваченных мероприятиями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ДКЗ 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из числа обратившихся по вопросам участия в ней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МТСЗН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92,4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92,8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</w:tr>
      <w:tr>
        <w:trPr>
          <w:trHeight w:val="405" w:hRule="atLeast"/>
        </w:trPr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Доля женщин, охваченных мероприятиями ДКЗ 2020, из числа обратившихся по вопросам участия в ней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МТСЗН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45" w:hRule="atLeast"/>
        </w:trPr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Доля молодежи до 29 лет, охваченных мероприятиями ДКЗ 2020, из числа обратившихся по вопросам участия в ней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МТСЗН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57,5</w:t>
            </w:r>
          </w:p>
        </w:tc>
      </w:tr>
      <w:tr>
        <w:trPr>
          <w:trHeight w:val="75" w:hRule="atLeast"/>
        </w:trPr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Доля продуктивно занятых в общем числе самостоятельно занятого населения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МТСЗН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66,5</w:t>
            </w:r>
          </w:p>
        </w:tc>
      </w:tr>
      <w:tr>
        <w:trPr>
          <w:trHeight w:val="75" w:hRule="atLeast"/>
        </w:trPr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Количество занятых дистанционно на 100 работающих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статданные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г.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г.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Реализация основных направлений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ДКЗ 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обеспечение занятости за счет развития инфраструктуры и жилищно–коммунального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создание рабочих мест через развитие предпринимательства и развития опорных сел;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содействие в трудоустройстве через обучение и переселение в рамках потребностей работодателя.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Создание условий, поощряющих работодателей к активному привлечению к работе социально уязвимых слоев населения, прежде всего, людей с ограниченными возможностями, обеспечив их заработной платой.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7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Пропаганда и информирование населения о применении гибких и дистанционных форм занятости.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Разработка и реализация комплекса мер по содействию занятости матерей, ухаживающих за детьми, зарегистрированных в органах занятости.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Разработка механизма опережающего профессионального обучения работников, подлежащих высвобождению 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Задача 2.1.3. Содействие росту занятости </w:t>
            </w:r>
          </w:p>
        </w:tc>
      </w:tr>
      <w:tr>
        <w:trPr>
          <w:trHeight w:val="75" w:hRule="atLeast"/>
        </w:trPr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прямого результата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75" w:hRule="atLeast"/>
        </w:trPr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г.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г.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г.</w:t>
            </w:r>
          </w:p>
        </w:tc>
      </w:tr>
      <w:tr>
        <w:trPr>
          <w:trHeight w:val="75" w:hRule="atLeast"/>
        </w:trPr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5" w:hRule="atLeast"/>
        </w:trPr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Из общего числа обратившихся за содействием, удельный вес трудоустроенных на постоянное место работы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ДКЗ 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и программ развития регионов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МТСЗН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57,5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59,5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г.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г.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Формирование и актуализация Карты занятости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Обеспечить разработку пятилетних прогнозов развития рынка труда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Совершенствование законодательства и программных документов, направленных на обеспечение занятости населения. 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государственной поддержки лицам, направленным на социальные рабочие места, общественные работы, молодежную практику в рамках ДКЗ 2020 и программ развития регионов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Повышение информированности населения по вопросам занятости населения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9"/>
        <w:gridCol w:w="1169"/>
        <w:gridCol w:w="776"/>
        <w:gridCol w:w="1169"/>
        <w:gridCol w:w="1086"/>
        <w:gridCol w:w="901"/>
        <w:gridCol w:w="983"/>
        <w:gridCol w:w="880"/>
        <w:gridCol w:w="1004"/>
        <w:gridCol w:w="923"/>
      </w:tblGrid>
      <w:tr>
        <w:trPr>
          <w:trHeight w:val="7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Стратегическое направление 3. Реализация государственной политики в области миграции населения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 3.1 Повышение эффективности управления и регулирования миграционных процессов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Коды бюджетных программ, направленных на достижение данной цели 001, 006, 014, 015, 027 </w:t>
            </w:r>
          </w:p>
        </w:tc>
      </w:tr>
      <w:tr>
        <w:trPr>
          <w:trHeight w:val="75" w:hRule="atLeast"/>
        </w:trPr>
        <w:tc>
          <w:tcPr>
            <w:tcW w:w="5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</w:t>
            </w:r>
          </w:p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г.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г.</w:t>
            </w:r>
          </w:p>
        </w:tc>
      </w:tr>
      <w:tr>
        <w:trPr>
          <w:trHeight w:val="75" w:hRule="atLeast"/>
        </w:trPr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5" w:hRule="atLeast"/>
        </w:trPr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Рост относительного сальдо миграции населения к предыдущему году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статданные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3.1.1 Регулирование миграционных процессов в сфере приема и адаптации оралманов</w:t>
            </w:r>
          </w:p>
        </w:tc>
      </w:tr>
      <w:tr>
        <w:trPr>
          <w:trHeight w:val="75" w:hRule="atLeast"/>
        </w:trPr>
        <w:tc>
          <w:tcPr>
            <w:tcW w:w="5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прямого результата</w:t>
            </w:r>
          </w:p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г.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г.</w:t>
            </w:r>
          </w:p>
        </w:tc>
      </w:tr>
      <w:tr>
        <w:trPr>
          <w:trHeight w:val="75" w:hRule="atLeast"/>
        </w:trPr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5" w:hRule="atLeast"/>
        </w:trPr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Удельный вес оралманов трудоустроенных (из числа обратившихся за содействием в органы занятости населения)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МТСЗН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г.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г.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Совершенствование, при необходимости, базы данных о прибывших оралманах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комплекса стимулирующих мер по рациональному и оптимальному расселению, повышению квалификации, а также трудоустройству оралманов с учетом потребности в трудовых ресурсах, демографическому составу областей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Усиление взаимодействия и информационно-разъяснительная работа с казахскими диаспорами, соотечественниками в зарубежных странах, всемирной ассоциацией казахов, ассамблеей народа Казахстана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Внесение предложений по совершенствованию законодательства в части усиления регулирования вопросов этнической миграции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3.1.2. Регулирование направлений внутренней миграции</w:t>
            </w:r>
          </w:p>
        </w:tc>
      </w:tr>
      <w:tr>
        <w:trPr>
          <w:trHeight w:val="75" w:hRule="atLeast"/>
        </w:trPr>
        <w:tc>
          <w:tcPr>
            <w:tcW w:w="5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прямого результата</w:t>
            </w:r>
          </w:p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г.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г.</w:t>
            </w:r>
          </w:p>
        </w:tc>
      </w:tr>
      <w:tr>
        <w:trPr>
          <w:trHeight w:val="75" w:hRule="atLeast"/>
        </w:trPr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5" w:hRule="atLeast"/>
        </w:trPr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Удельный вес внутренних мигрантов к общему числу населения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 дан.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г.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г.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Внесение предложений по разработке системы прогнозирования, планирования, регулирования и сокращения диспропорций в сфере внутренней миграции с учетом пространственно-территориального развития страны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 и мониторинг процессов миграции населения внутри страны с учетом социально-экономической депрессивности и экологической обстановки регионов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Внесение предложений по созданию системы адаптации внутренних мигрантов в городах (обучение, трудоустройство и другое)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Разработка предложений по решению проблемных вопросов в связи с высокой миграционной нагрузкой на крупные города и их пригороды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Внесение предложений по совершенствованию законодательства по вопросам регулирования миграционных процессов внутри страны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3.1.3. Управление трудовой миграции</w:t>
            </w:r>
          </w:p>
        </w:tc>
      </w:tr>
      <w:tr>
        <w:trPr>
          <w:trHeight w:val="75" w:hRule="atLeast"/>
        </w:trPr>
        <w:tc>
          <w:tcPr>
            <w:tcW w:w="5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прямого результата</w:t>
            </w:r>
          </w:p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4 г.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г.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г.</w:t>
            </w:r>
          </w:p>
        </w:tc>
      </w:tr>
      <w:tr>
        <w:trPr>
          <w:trHeight w:val="75" w:hRule="atLeast"/>
        </w:trPr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Квота на привлечение иностранной рабочей силы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МТСЗН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75" w:hRule="atLeast"/>
        </w:trPr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Удельный вес квалифицированных специалистов в составе привлекаемой иностранной рабочей силы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МТСЗН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г.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г.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Совершенствование законодательства о миграции населения в части управления трудовой миграцией.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предложений по установлению квоты на привлечение иностранной рабочей силы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Контроль за выполнением работодателями особых условий привлечения иностранной рабочей силы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Создание системы учета и информационного сопровождения процессов трудовой миграции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3"/>
        <w:gridCol w:w="1013"/>
        <w:gridCol w:w="773"/>
        <w:gridCol w:w="933"/>
        <w:gridCol w:w="1053"/>
        <w:gridCol w:w="1013"/>
        <w:gridCol w:w="933"/>
        <w:gridCol w:w="933"/>
        <w:gridCol w:w="873"/>
        <w:gridCol w:w="1403"/>
      </w:tblGrid>
      <w:tr>
        <w:trPr>
          <w:trHeight w:val="7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Стратегическое направление 4. Обеспечение реализации трудовых прав граждан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 4.1 Защита трудовых прав и улучшение условий безопасности и охраны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бюджетных программ, направленных на достижение данной цели 001, 007, 012, 013, 028</w:t>
            </w:r>
          </w:p>
        </w:tc>
      </w:tr>
      <w:tr>
        <w:trPr>
          <w:trHeight w:val="75" w:hRule="atLeast"/>
        </w:trPr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мации</w:t>
            </w:r>
          </w:p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г.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г.</w:t>
            </w:r>
          </w:p>
        </w:tc>
      </w:tr>
      <w:tr>
        <w:trPr>
          <w:trHeight w:val="75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5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Позиция ГИК по показателю «Сотрудничество в отношениях работник-работодатель» 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ВЭФ</w:t>
            </w:r>
          </w:p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рейтинге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75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Позиция ГИК по показателю «Гибкость определения заработной платы»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75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Позиция ГИК по показателю «Оплата и производительность»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5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Позиция ГИК по показателю «Практика найма и увольнения»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75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Позиция ГИК по показателю «Затраты, связанные с увольнением»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75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Позиция ГИК по показателю «Прозрачность принимаемых решений»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75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Позиция ГИК по показателю «Фаворитизм в решениях государственных служащих»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75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Позиция ГИК по показателю «Общественное доверие политикам»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5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Уровень производственного травматизма (коэффициент частоты несчастных случаев на 1000 чел.)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МТСЗН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0,46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4.1.1. Обеспечение безопасности и охраны труда</w:t>
            </w:r>
          </w:p>
        </w:tc>
      </w:tr>
      <w:tr>
        <w:trPr>
          <w:trHeight w:val="255" w:hRule="atLeast"/>
        </w:trPr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прямого результата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мации</w:t>
            </w:r>
          </w:p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г.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г.</w:t>
            </w:r>
          </w:p>
        </w:tc>
      </w:tr>
      <w:tr>
        <w:trPr>
          <w:trHeight w:val="9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Удельный вес лиц, занятых во вредных и опасных для здоровья условиях труда (из общей численности занятых)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 данные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20,7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20,7</w:t>
            </w:r>
          </w:p>
        </w:tc>
      </w:tr>
      <w:tr>
        <w:trPr>
          <w:trHeight w:val="9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Удельный вес женщин, занятых во вредных и опасных для здоровья условиях труда (из общей численности занятых)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 данные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</w:t>
            </w:r>
          </w:p>
        </w:tc>
      </w:tr>
      <w:tr>
        <w:trPr>
          <w:trHeight w:val="9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Удельный вес крупных и средних предприятий, внедривших стандарты охраны и безопасности труда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МТСЗН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г.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г.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Совершенствование мониторинга состояния безопасности и охраны труда в производственной сфере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Адаптация международных трудовых стандартов. Содействие их внедрению в отраслях экономики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Разработка и реализация (на трехсторонней основе) мер по сокращению численности работников, в т.ч. женщин, занятых во вредных и опасных условиях производства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Разработка методики раннего выявления групп риска и предупреждения профессиональных заболеваний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Реализация проекта по добровольному декларированию работодателями соответствия условий труда работников требованиям трудового законодательства.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Социальная поддержка лиц за вред, причиненный жизни и здоровью, возложенная судом на государство в случае прекращения деятельности юридического лица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4.1.2. Предупреждение и пресечение нарушений трудового законодательства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35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прямого результата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135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г.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г.</w:t>
            </w:r>
          </w:p>
        </w:tc>
      </w:tr>
      <w:tr>
        <w:trPr>
          <w:trHeight w:val="135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35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Удельный вес устраненных нарушений трудового законодательства, в % к общему количеству выявленных нарушений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МТСЗН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г.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г.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Совершенствование системы оценки рисков.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Мониторинг задолженности по заработной плате, принятие мер по ее ликвидации и предупреждению образования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Формирование и выполнение совместного плана действий по искоренению наихудших форм детского труда на 2012 – 2014 годы, 2015 – 2017 годы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Повышение эффективности информационно-разъяснительной работы по соблюдению трудового законодательства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Реализация плана мероприятий по организации правового всеобуча граждан основам трудового законодательства в Республике Казахстан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4.1.3. Содействие развитию социального партнерства</w:t>
            </w:r>
          </w:p>
        </w:tc>
      </w:tr>
      <w:tr>
        <w:trPr>
          <w:trHeight w:val="75" w:hRule="atLeast"/>
        </w:trPr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прямого результата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мации</w:t>
            </w:r>
          </w:p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г.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г.</w:t>
            </w:r>
          </w:p>
        </w:tc>
      </w:tr>
      <w:tr>
        <w:trPr>
          <w:trHeight w:val="75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5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Удельный вес предприятий, охваченных системой коллективно-договорных отношений (среди крупных и средних предприятий)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МТСЗН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93,4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г.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г.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Разработка и реализация «Программы по достойному труду в Республике Казахстан, направленной на регулирование трудовых отношений в соответствии с международными стандартами, содействия эффективной занятости, дальнейшего развития социального диалога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Стимулирование повышения корпоративной социальной ответственности.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Подписание Генерального соглашения между Правительством, объединениями работодателей и объединениями работников на 2012 – 2014 гг., 2015 – 2017 годы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Реализация мер по соблюдению прав и гарантий трудящихся в рамках Генерального соглашения между Правительством, объединениями работодателей и объединениями работников на 2012 – 2014 гг., 2015 – 2017 годы и республиканской акции «Заключите коллективный договор!»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Проведение системных организационных и информационных мероприятий для управления и разрешения конфликтных ситуаций в социально-трудовой сфере (реализация Комплексного плана по предупреждению социальной напряженности и разрешению социально-трудовых конфликтов)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Принятие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профессиональных союзах» (новая редакция)»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2"/>
        <w:gridCol w:w="1157"/>
        <w:gridCol w:w="795"/>
        <w:gridCol w:w="1137"/>
        <w:gridCol w:w="936"/>
        <w:gridCol w:w="936"/>
        <w:gridCol w:w="936"/>
        <w:gridCol w:w="937"/>
        <w:gridCol w:w="756"/>
        <w:gridCol w:w="1078"/>
      </w:tblGrid>
      <w:tr>
        <w:trPr>
          <w:trHeight w:val="15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Стратегическое направление 5. Содействие повышению благосостояния населения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 5.1. Повышение уровня жизни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бюджетных программ, направленных на достижение данной цели 001, 002, 003, 004, 006, 008, 011, 018, 028, 033</w:t>
            </w:r>
          </w:p>
        </w:tc>
      </w:tr>
      <w:tr>
        <w:trPr>
          <w:trHeight w:val="255" w:hRule="atLeast"/>
        </w:trPr>
        <w:tc>
          <w:tcPr>
            <w:tcW w:w="5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</w:t>
            </w:r>
          </w:p>
        </w:tc>
        <w:tc>
          <w:tcPr>
            <w:tcW w:w="1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г.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г.</w:t>
            </w:r>
          </w:p>
        </w:tc>
      </w:tr>
      <w:tr>
        <w:trPr>
          <w:trHeight w:val="9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Доля населения, с доходами ниже величины прожиточного минимума </w:t>
            </w:r>
          </w:p>
        </w:tc>
        <w:tc>
          <w:tcPr>
            <w:tcW w:w="1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дан.</w:t>
            </w:r>
          </w:p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6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Совокупный коэффициент замещения дохода пенсионными выплатами без учета НП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44,1</w:t>
            </w:r>
          </w:p>
        </w:tc>
      </w:tr>
      <w:tr>
        <w:trPr>
          <w:trHeight w:val="135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Совокупный коэффициент замещения дохода пенсионными выплатами с учетом НП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46,7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49,7</w:t>
            </w:r>
          </w:p>
        </w:tc>
      </w:tr>
      <w:tr>
        <w:trPr>
          <w:trHeight w:val="135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Уровень удовлетворенности населения качеством оказания государственных услуг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МТСЗН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85,88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85,96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86,31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5.1.1. Содействие росту заработной платы</w:t>
            </w:r>
          </w:p>
        </w:tc>
      </w:tr>
      <w:tr>
        <w:trPr>
          <w:trHeight w:val="75" w:hRule="atLeast"/>
        </w:trPr>
        <w:tc>
          <w:tcPr>
            <w:tcW w:w="5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прямого результата</w:t>
            </w:r>
          </w:p>
        </w:tc>
        <w:tc>
          <w:tcPr>
            <w:tcW w:w="1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г.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г.</w:t>
            </w:r>
          </w:p>
        </w:tc>
      </w:tr>
      <w:tr>
        <w:trPr>
          <w:trHeight w:val="75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Динамика среднего размера заработной платы гражданских служащих (по отношению к предыдущему году)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статданные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г.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г.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Разработка стандарта минимального размера заработной платы 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Разработка новой модели системы оплаты труда гражданских служащих 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Внесение изменений и дополнений в нормативно-правовые акты по вопросу оплаты труда гражданских служащих и внедрение новой системы оплаты труда 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Анализ результатов внедрения новой модели оплаты труда гражданских служащих, ее корректировка 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5.1.2. Обеспечение адекватности социального обеспечения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75" w:hRule="atLeast"/>
        </w:trPr>
        <w:tc>
          <w:tcPr>
            <w:tcW w:w="5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прямого результата</w:t>
            </w:r>
          </w:p>
        </w:tc>
        <w:tc>
          <w:tcPr>
            <w:tcW w:w="1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г.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г.</w:t>
            </w:r>
          </w:p>
        </w:tc>
      </w:tr>
      <w:tr>
        <w:trPr>
          <w:trHeight w:val="315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5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Удельный вес в совокупной пенсии: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базовой пенсионной выплаты (из Центра)</w:t>
            </w:r>
          </w:p>
        </w:tc>
        <w:tc>
          <w:tcPr>
            <w:tcW w:w="1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МТСЗН</w:t>
            </w:r>
          </w:p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20,7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</w:t>
            </w:r>
          </w:p>
        </w:tc>
      </w:tr>
      <w:tr>
        <w:trPr>
          <w:trHeight w:val="75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солидарной пенсии (из Центра)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72,7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70,3</w:t>
            </w:r>
          </w:p>
        </w:tc>
      </w:tr>
      <w:tr>
        <w:trPr>
          <w:trHeight w:val="75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накопительной пенсии (из НПФ)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</w:t>
            </w:r>
          </w:p>
        </w:tc>
      </w:tr>
      <w:tr>
        <w:trPr>
          <w:trHeight w:val="75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 экономически активного населения, охваченного НПС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МТСЗН </w:t>
            </w:r>
          </w:p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75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Доля экономически активного населения, охваченного системой обязательного социального страхования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МТСЗН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71,2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г.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г.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Разработка комплекса мер по дальнейшей модернизации системы пенсионного обеспечения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Повышение финансовой устойчивости АО «ГФСС» и АО «ГАК» 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Совершенствование администрирования системы обязательного социального страхования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Повышение информированности населения по вопросам НПС и системы социального страхования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Разработка и реализация социальной карты получателей пенсий и пособий 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5.1.3. Усиление адресности оказания социальной помощи</w:t>
            </w:r>
          </w:p>
        </w:tc>
      </w:tr>
      <w:tr>
        <w:trPr>
          <w:trHeight w:val="75" w:hRule="atLeast"/>
        </w:trPr>
        <w:tc>
          <w:tcPr>
            <w:tcW w:w="5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прямого результата</w:t>
            </w:r>
          </w:p>
        </w:tc>
        <w:tc>
          <w:tcPr>
            <w:tcW w:w="1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г.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г.</w:t>
            </w:r>
          </w:p>
        </w:tc>
      </w:tr>
      <w:tr>
        <w:trPr>
          <w:trHeight w:val="75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Доля получателей государственных детских пособий (ГДП) в общей численности населения, проживающего ниже ПМ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статданные, данные МТСЗН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61,5</w:t>
            </w:r>
          </w:p>
        </w:tc>
      </w:tr>
      <w:tr>
        <w:trPr>
          <w:trHeight w:val="75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Доля получателей АСП в общей численности населения, проживающего ниже ПМ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статданные, данные МТСЗН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</w:t>
            </w:r>
          </w:p>
        </w:tc>
      </w:tr>
      <w:tr>
        <w:trPr>
          <w:trHeight w:val="75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Удельный вес трудоспособного населения в составе получателей АСП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МТСЗН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33,7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30, 0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75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Доля семей, охваченных обусловленными денежными выплатами из числа семей, проживающих ниже ПМ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статданные, данные МТСЗН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г.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г.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Совершенствование величины прожиточного минимума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Пилотирование обусловленной социальной помощи для малообеспеченных семей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Совершенствование законодательства по вопросам социальной помощи для малообеспеченных семей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Х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2"/>
        <w:gridCol w:w="1057"/>
        <w:gridCol w:w="849"/>
        <w:gridCol w:w="1036"/>
        <w:gridCol w:w="1183"/>
        <w:gridCol w:w="1058"/>
        <w:gridCol w:w="1120"/>
        <w:gridCol w:w="1141"/>
        <w:gridCol w:w="1058"/>
        <w:gridCol w:w="1206"/>
      </w:tblGrid>
      <w:tr>
        <w:trPr>
          <w:trHeight w:val="19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Стратегическое направление 6. Формирование эффективной системы социальной поддержки уязвимых категорий населения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 6.1. Повышение эффективности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бюджетных программ, направленных на достижение данной цели 001, 009, 010, 016, 017, 021, 028, 032</w:t>
            </w:r>
          </w:p>
        </w:tc>
      </w:tr>
      <w:tr>
        <w:trPr>
          <w:trHeight w:val="255" w:hRule="atLeast"/>
        </w:trPr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15" w:hRule="atLeast"/>
        </w:trPr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г.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г.</w:t>
            </w:r>
          </w:p>
        </w:tc>
      </w:tr>
      <w:tr>
        <w:trPr>
          <w:trHeight w:val="90" w:hRule="atLeast"/>
        </w:trPr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0" w:hRule="atLeast"/>
        </w:trPr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Удельный вес лиц, охваченных оказанием специальных социальных услуг (в общей численности лиц, нуждающихся в их получении)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МТСЗН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96,9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97,1</w:t>
            </w:r>
          </w:p>
        </w:tc>
      </w:tr>
      <w:tr>
        <w:trPr>
          <w:trHeight w:val="90" w:hRule="atLeast"/>
        </w:trPr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Доля частично реабилитированных инвалидов (от численности переосвидетельствованных инвалидов)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МТСЗН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6.1.1. Развитие системы оказания специальных социальных услуг</w:t>
            </w:r>
          </w:p>
        </w:tc>
      </w:tr>
      <w:tr>
        <w:trPr>
          <w:trHeight w:val="75" w:hRule="atLeast"/>
        </w:trPr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прямого результата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 изм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75" w:hRule="atLeast"/>
        </w:trPr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г.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г.</w:t>
            </w:r>
          </w:p>
        </w:tc>
      </w:tr>
      <w:tr>
        <w:trPr>
          <w:trHeight w:val="75" w:hRule="atLeast"/>
        </w:trPr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5" w:hRule="atLeast"/>
        </w:trPr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Доля лиц, охваченных специальными социальными услугами, предоставляемыми субъектами частного сектора (в том числе, неправительственными организациями)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МТСЗН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г.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г.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Совершенствование нормативных правовых актов в области оказания специальных социальных услуг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Введение дополнительных видов специальных социальных услуг предоставляемых по решению местных представительных органов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Расширение размещения государственного заказа среди неправительственных организаций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Повышение информированности населения по вопросам оказания специальных социальных услуг.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6.1.2. Развитие системы реабилитации инвалидов</w:t>
            </w:r>
          </w:p>
        </w:tc>
      </w:tr>
      <w:tr>
        <w:trPr>
          <w:trHeight w:val="75" w:hRule="atLeast"/>
        </w:trPr>
        <w:tc>
          <w:tcPr>
            <w:tcW w:w="4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прямого результата</w:t>
            </w:r>
          </w:p>
        </w:tc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г.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г.</w:t>
            </w:r>
          </w:p>
        </w:tc>
      </w:tr>
      <w:tr>
        <w:trPr>
          <w:trHeight w:val="75" w:hRule="atLeast"/>
        </w:trPr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5" w:hRule="atLeast"/>
        </w:trPr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реализованной социальной части индивидуальных программ реабилитации инвалидов (из числа разработанных ИПР за отчетный период прошлого года)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МТСЗН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г.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г.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Принятие и реализация плана мероприятий по обеспечению прав и улучшению качества жизни инвалидов в Республике Казахстан на 2012 – 2018 годы (поэтапные планы)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изменений и дополнений в некоторые законодательные акты Республики Казахстан в связи с предстоящей ратификацией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ООН о правах инвалидов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Разработка инновационных подходов к организации и проведению медико-социальной экспертизы и реабилитации инвалидов (с учетом положений МКФ).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Формирование условий для беспрепятственного доступа инвалидов и других маломобильных групп населения к объектам жизнеобеспечения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Совершенствование стандартов предоставления протезно-ортопедической и слухопротезной помощи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Мониторинг паспортизации объектов социальной и транспортной инфраструктуры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3.2. Соответствие стратегических направлений и целей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Министерства стратегическим целям государства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9"/>
        <w:gridCol w:w="8101"/>
      </w:tblGrid>
      <w:tr>
        <w:trPr>
          <w:trHeight w:val="465" w:hRule="atLeast"/>
        </w:trPr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Стратегические направления и цели государственного органа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стратегического и (или) программного документа</w:t>
            </w:r>
          </w:p>
        </w:tc>
      </w:tr>
      <w:tr>
        <w:trPr>
          <w:trHeight w:val="375" w:hRule="atLeast"/>
        </w:trPr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1. Содействие росту трудовых ресурсов</w:t>
            </w:r>
          </w:p>
        </w:tc>
      </w:tr>
      <w:tr>
        <w:trPr>
          <w:trHeight w:val="30" w:hRule="atLeast"/>
        </w:trPr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1.1. Содействие росту рождаемости 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Стратегический план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до 2020 года, утвержденный Указом Президента Республики Казахстан от 1 февраля 2010 года № 922.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Главы государства народу Казахстана от 14 декабря 2012 года «Стратегия «Казахстан – 2050»: новый политический курс состоявшегося государства».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Стратегическое направление 2. Содействие продуктивной занятости</w:t>
            </w:r>
          </w:p>
        </w:tc>
      </w:tr>
      <w:tr>
        <w:trPr>
          <w:trHeight w:val="2175" w:hRule="atLeast"/>
        </w:trPr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2.1. Повышение уровня занятости населения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Стратегический план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до 2020 года, утвержденный Указом Президента Республики Казахстан от 1 февраля 2010 года № 922.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Главы государства народу Казахстана от 14 декабря 2012 года «Стратегия «Казахстан – 2050»: новый политический курс состоявшегося государства».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карта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2020, утвержденная Постановлением Правительства Республики Казахстан от 19 июня 2013 года № 636.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Стратегическое направление 3. Реализация государственной политики в области миграции населения</w:t>
            </w:r>
          </w:p>
        </w:tc>
      </w:tr>
      <w:tr>
        <w:trPr>
          <w:trHeight w:val="30" w:hRule="atLeast"/>
        </w:trPr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3.1 Повышение эффективности управления и регулирования миграционных процессов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Стратегический план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до 2020 года, утвержденный Указом Президента Республики Казахстан от 1 февраля 2010 года № 922.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Стратегическое направление 4. Обеспечение реализации трудовых прав граждан</w:t>
            </w:r>
          </w:p>
        </w:tc>
      </w:tr>
      <w:tr>
        <w:trPr>
          <w:trHeight w:val="810" w:hRule="atLeast"/>
        </w:trPr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4.1 Защита трудовых прав и улучшение условий безопасности и охраны труда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Стратегический план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Республики Казахстан до 2020 года, утвержденный Указом Президента Республики Казахстан от 1 февраля 2010 года № 922.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Главы государства народу Казахстана от 14 декабря 2012 года «Стратегия «Казахстан – 2050»: новый политический курс состоявшегося государства».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Стратегическое направление 5. Содействие повышению благосостояния населения</w:t>
            </w:r>
          </w:p>
        </w:tc>
      </w:tr>
      <w:tr>
        <w:trPr>
          <w:trHeight w:val="570" w:hRule="atLeast"/>
        </w:trPr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5.1. Повышение уровня жизни населения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Стратегический план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Республики Казахстан до 2020 года, утвержденный Указом Президента Республики Казахстан от 1 февраля 2010 года № 922.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Главы государства народу Казахстана от 14 декабря 2012 года «Стратегия «Казахстан – 2050»: новый политический курс состоявшегося государства».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Стратегическое направление 6. Формирование эффективной системы социальной поддержки уязвимых категорий населения</w:t>
            </w:r>
          </w:p>
        </w:tc>
      </w:tr>
      <w:tr>
        <w:trPr>
          <w:trHeight w:val="270" w:hRule="atLeast"/>
        </w:trPr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6.1. Повышение эффективности социальной поддержки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Стратегический план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Республики Казахстан до 2020 года, утвержденный Указом Президента Республики Казахстан от 1 февраля 2010 года № 922.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Главы государства народу Казахстана от 14 декабря 2012 года «Стратегия «Казахстан – 2050»: новый политический курс состоявшегося государства».</w:t>
            </w:r>
          </w:p>
        </w:tc>
      </w:tr>
    </w:tbl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4. Развитие функциональных возможностей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9"/>
        <w:gridCol w:w="7420"/>
        <w:gridCol w:w="3301"/>
      </w:tblGrid>
      <w:tr>
        <w:trPr>
          <w:trHeight w:val="30" w:hRule="atLeast"/>
        </w:trPr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стратегического направления, цели и задачи государственного органа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реализации стратегического направления и цели государственного органа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реализации</w:t>
            </w:r>
          </w:p>
        </w:tc>
      </w:tr>
      <w:tr>
        <w:trPr>
          <w:trHeight w:val="30" w:hRule="atLeast"/>
        </w:trPr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направление 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росту трудовых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1.1. Содействие росту рождаемости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1.1.1.  Социальная поддержка семей с детьми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 Совершенствование, мониторинг и оценка стандартов оказания государственных услуг по социальной поддержке семей с детьми в соответствии с Реестром оказания государственных услуг, утверждаемым постановлением Правительства Республики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 Обеспечение доступности и повышение качества государственных услуг, предоставляемых в рамках социальной поддержки семей с детьми.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 Повышение квалификации работников территориальных подразделений МТСЗН, филиалов ГЦВП по специальным программам социальной поддержки семей с детьми на базе РГКП «Курсы повышения квалификации работников МТСЗН».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 Обеспечение функционирования АИС «Социальная помощь: АСП, ГДП» и ее интеграции с Единой информационной системой социально-трудовой сферы Министерства (далее – ЕИССТС). 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постоянной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постоянной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постоянной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постоянной основе</w:t>
            </w:r>
          </w:p>
        </w:tc>
      </w:tr>
      <w:tr>
        <w:trPr>
          <w:trHeight w:val="30" w:hRule="atLeast"/>
        </w:trPr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направление 2. Содействие продуктивной занятости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2.1. Повышение уровня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2.1.1.  Повышение качества трудовых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2.1.2. Активизация безработного, самозанятого и малообеспеченного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2.1.3. Содействие росту занятости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Совершенствование стандартов оказания государственных услуг по содействию занятости населения, социальной поддержке целевых групп населения в соответствии с Реестром оказания государственных услуг, утверждаемым постановлением Правительства Республики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 Расширение перечня, обеспечение доступности и повышение качества предоставляемых государственных услуг по вопросам занятости населения, в том числе в электронном виде.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Создание и функционирование базы данных текущих вакансий и перспективных рабочих мест на программной платформе АИС «Рынок труда».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Повышение квалификации работников Государственной инспекции труда (далее – ГИТ) по вопросам занятости населения, привлечения иностранной рабочей силы, в том числе по обмену положительным передовым опытом регионов на базе РГКП «Курсы повышения квалификации работников МТСЗН».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Обеспечение функционирования веб-портала «Работа – Молодежная биржа труда».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Координация проведения выездных мероприятий по обмену положительным опытом между регионами, по вопросам занятости населения. 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постоянной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постоянной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постоянной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постоянной основе</w:t>
            </w:r>
          </w:p>
        </w:tc>
      </w:tr>
      <w:tr>
        <w:trPr>
          <w:trHeight w:val="30" w:hRule="atLeast"/>
        </w:trPr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3 Реализация государственной политики в области миграции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3.1 Повышение эффективности управления и регулирования миграционных процессов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3.1.1 Регулирование миграционных процессов в сфере приема и адаптации оралманов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3.1.3. Управление трудовой миграции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Совершенствование стандартов оказания государственных услуг касательно оралманов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Повышение квалификации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вопросам миграции населения на базе РГКП «Курсы повышения квалификации работников МТСЗН»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Интеграция АИС «Оралманы» с единой информационной системой социально – трудовой сферы Министерства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постоянной основе</w:t>
            </w:r>
          </w:p>
        </w:tc>
      </w:tr>
      <w:tr>
        <w:trPr>
          <w:trHeight w:val="30" w:hRule="atLeast"/>
        </w:trPr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направление 4. Обеспечение реализации трудовых прав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4.1. Защита трудовых прав и улучшение условий безопасности и охраны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4.1.1. Обеспечение безопасности и охраны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4.1.2. Предупреждение и пресечение нарушений трудового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4.1.3. Содействие развитию социального партнерства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Повышение квалификации работников Государственной инспекции труда (далее – ГИТ) по трудовым вопросам, вопросам охраны и безопасности труда на базе РГКП «Курсы повышения квалификации работников МТСЗН»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 Обеспечение функционирования АИС «Охрана и безопасность труда» и ее интеграция с ЕИССТС 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постоянной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постоянной основе</w:t>
            </w:r>
          </w:p>
        </w:tc>
      </w:tr>
      <w:tr>
        <w:trPr>
          <w:trHeight w:val="30" w:hRule="atLeast"/>
        </w:trPr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направление 5.  Содействие повышению благосостояния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5.1. Повышение уровня жизни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5.1.2. Обеспечение адекватности социального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5.1.3. Усиление адресности оказания социальной помощи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 Совершенствование, мониторинг и оценка стандартов и регламентов оказания государственных услуг по назначению пенсионных и социальных выплат, оказанию социальной помощи в соответствии с Реестром оказания государственных услуг, утверждаемым постановлением Правительства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 Обеспечение доступности и повышение качества государственных услуг по социальному обеспечению (в том числе в электронном виде).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 Автоматизация процессов назначения пенсионных и социальных выплат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 Повышение квалификации работников территориальных подразделений МТСЗН, филиалов ГЦВП, по вопросам назначения пенсионных и социальных выплат на базе РГКП «Курсы повышения квалификации работников МТСЗН»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 Обеспечение функционирования информационно-справочного центра «Контакт-центр», АИС «Социальная помощь: ГДП, АСП», «Е-собес» и их интеграция с ЕИССТС 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постоянной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постоянной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2014 гг.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постоянной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постоянной основе</w:t>
            </w:r>
          </w:p>
        </w:tc>
      </w:tr>
      <w:tr>
        <w:trPr>
          <w:trHeight w:val="30" w:hRule="atLeast"/>
        </w:trPr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6. Формирование эффективной системы социальной поддержки уязвимых категорий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6.1.  Повышение эффективности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6.1.1. Развитие системы оказания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6.1.2. Развитие системы реабилитации инвалидов 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Совершенствование стандартов оказания государственных услуг по оформлению документов на предоставление специальных социальных услуг и компенсаторных технических средств в соответствии с Реестром оказания государственных услуг, утверждаемым постановлением Правительства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Повышение квалификации работников территориальных подразделений МТСЗН по вопросам оказания специальных социальных услуг и социальной поддержки инвалидов на базе РГКП «Курсы повышения квалификации работников МТСЗН»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Обеспечение функционирования АИС «Е-собес» и ее интеграция с ЕИССТС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постоянной основе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постоянной основе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постоянной основе</w:t>
            </w:r>
          </w:p>
        </w:tc>
      </w:tr>
      <w:tr>
        <w:trPr>
          <w:trHeight w:val="30" w:hRule="atLeast"/>
        </w:trPr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информационно–коммуникационных технологий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Обеспечение информационной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Совершенствование ЕИССТС и интеграция с информационными системами заинтересованных государственных органов.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Поэтапное внедрение автоматизированной системы электронного назначения и выплаты пенсий и социальных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Оказание консультационных услуг по вопросам государственной политики в социально-трудовой сфере информационно-справочным «Контакт – центром»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 Разработка и реализация Планов мероприятий по оптимизации бизнес-процессов, сокращению количества документов, требуемых от населения и автоматизации государственных услуг.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Повышение удельного веса государственных услуг, предоставляемых в электронном формате (в том числе частично автоматизированных), до 70 % от перечня услуг, оказываемых Министерством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Обеспечение Казахстанского содержания при осуществлении государственных закупок ИКТ оборудования согласно конкурсной заявке (при его наличии) в IT-услугах.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Рассмотрение возможности использования “IT-аутсорсинга” для информационных систем Министерства.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постоянной основе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 – 2016г.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постоянной основе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20" w:hRule="atLeast"/>
        </w:trPr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качества услуг, предоставляемых организациями, подведомственными Министерству 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Обеспечение повышения квалификации работников территориальных департаментов комитета по контролю и социальной защите, филиалов ГЦВП по вопросам развития социально-трудовой сферы на базе РГКП «Курсы повышения квалификации работников МТСЗН».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Обеспечение социальных выплат из республиканского бюджета и автоматизация процессов назначения пенсионных и социальных выплат РГКП «Государственный центр по выплате пенсий Министерства труда и социальной защиты населения Республики Казахстан»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Совершенствование организационной структуры РГКП «Республиканский центр экспериментального протезирования»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Предоставление информационно-аналитических услуг по проблемам занятости, трудовому законодательству и социальной защите населения РГКП «Информационный аналитический центр»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постоянной основе</w:t>
            </w:r>
          </w:p>
        </w:tc>
      </w:tr>
      <w:tr>
        <w:trPr>
          <w:trHeight w:val="30" w:hRule="atLeast"/>
        </w:trPr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Кадровое обеспечение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Строгое соблюдение законодательства РК о государственной службе (в т.ч. принципа гендерного равенства) в отборе и расстановке кадров, управлении служебной карьерой.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Обеспечение трудовой и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Развитие кадрового потенциала: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обучение, повышение квалификации и переподготовка государственных служащих;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использования казахского и иностранного языков;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методов и форм оценки персонала;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 производительного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возможностей ротации кадров, создание, подготовка и использование кадрового резерва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 Управление кадровой политикой подразделений Министерства и организаций, подведомственных МТСЗН 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постоянной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2015 гг.</w:t>
            </w:r>
          </w:p>
        </w:tc>
      </w:tr>
      <w:tr>
        <w:trPr>
          <w:trHeight w:val="30" w:hRule="atLeast"/>
        </w:trPr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обеспечение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Развитие материально-технической базы Министерства, его подразделений и подведомственных организаций в интересах обеспечения бесперебойной деятельности и оптимизации административных расходов.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Обеспечение требований, установленных законодательством к проведению процедур госзакупок (Своевременное опубликование на сайте утвержденного плана государственных закупок и соответствующих изменений и дополнений; объявление государственных закупок в соответствии с планом; заключение договоров согласно процедурам государственных закупок). 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постоянной основе</w:t>
            </w:r>
          </w:p>
        </w:tc>
      </w:tr>
      <w:tr>
        <w:trPr>
          <w:trHeight w:val="30" w:hRule="atLeast"/>
        </w:trPr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Финансовое обеспечение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Применение мер предупредительного контроля, своевременное выявление, анализ и оценка потенциальных рисков в финансовом обеспечении деятельности Министерства.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Усиление персональной ответственности руководителей структурных подразделений Министерства и подведомственных ему организаций за эффективное освоение бюджетных средств.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Управление финансами и активами на основе использования информационной системы Казначейства Республики Казахстан.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постоянной основе</w:t>
            </w:r>
          </w:p>
        </w:tc>
      </w:tr>
    </w:tbl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5. Межведомственное взаимодействие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2"/>
        <w:gridCol w:w="2651"/>
        <w:gridCol w:w="5817"/>
      </w:tblGrid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задач, для достижения которых требуется межведомственное взаимодействие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орган, с которым осуществляется межведомственное взаимодействие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Меры, осуществляемые государственными органами</w:t>
            </w:r>
          </w:p>
        </w:tc>
      </w:tr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Стратегическое направление 1. Содействие росту трудовых ресурсов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1.1. Содействие росту рождаемости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1.1.1. Социальная поддержка семей с детьми</w:t>
            </w:r>
          </w:p>
        </w:tc>
      </w:tr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Удельный вес детей в возрасте до 18 лет, охваченных системой социальной поддержки (по отношению к общей численности детей).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Удельный вес детей до одного года, охваченных системой социальной поддержки, (по отношению к численности детей, рожденных в соответствующем году).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Обеспечение своевременного назначения и выплаты пособий на детей до 18 лет из малообеспеченных семей.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функционирования АИС «Социальная помощь: АСП, ГДП».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Стратегическое направление 2. Содействие продуктивной занятости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2.1. Повышение уровня занятости населения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2.1.1. Повышение качества трудовых ресурсов</w:t>
            </w:r>
          </w:p>
        </w:tc>
      </w:tr>
      <w:tr>
        <w:trPr>
          <w:trHeight w:val="285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Удельный вес лиц, охваченных переподготовкой и повышением квалификации, обучением основам предпринимательства из числа участников Дорожной карты занятости 2020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ДКЗ 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Удельный вес лиц, направленных на профессиональное обучение из числа обратившихся за содействием в органы занятости населения.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 государственные органы, объединения работодателей МОН, МИО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профессиональных стандартов в соответствующей отрасли деятельности и их применение в обучении (в организациях образования и на предприятиях, занимающихся внутрифирменной подготовкой персонала).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анализ развития рынка труда с определением потребности в кадрах на основе Методики определения потребности отраслей экономики в кадрах в разрезе отраслей, специальностей и регионов.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2.1.2. Активизация безработных, самозанятого и малообеспеченного населения</w:t>
            </w:r>
          </w:p>
        </w:tc>
      </w:tr>
      <w:tr>
        <w:trPr>
          <w:trHeight w:val="765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граждан, охваченных мероприятиями ДКЗ 2020, из числа обратившихся по вопросам участия в 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 женщин, охваченных мероприятиями ДКЗ 2020, из числа обратившихся по вопросам участия в 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Доля молодежи до 29 лет, охваченных мероприятиями ДКЗ 2020, из числа обратившихся по вопросам участия в 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Доля продуктивно занятых в общем числе самостоятельно занятого населения.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областей, городов Астаны и Алматы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МСХ, АО «ФФПСХ», АО «ФРП «Даму»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МРР, акимы областей, городов Астаны и Алматы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информированности населения в вопросах государственной политики занятости: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научно-практических семинаров, заседаний круглого стола, встреч с населением, работодателями, частными агентствами занятости;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выступления в СМИ;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информационных материалов на веб-сайте МТСЗН Модернизация служб занятости местных исполнительных органов.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предусмотренных ДКЗ 2020 совместных мероприятий в рамках первого направления: «Обеспечение занятости за счет развития инфраструктуры и жилищно – коммунального хозяйства».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предусмотренных ДКЗ 2020 совместных мероприятий в рамках второго направления «Создание рабочих мест через развитие предпринимательства и развития опорных сел».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предусмотренных ДКЗ 2020 совместных мероприятий в рамках третьего направления «Содействие в трудоустройстве через обучение и переселение в рамках потребностей работодателя».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Стратегическое направление 3. Реализация государственной политики в области миграции населения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3.1 Повышение эффективности управления и регулирования миграционных процессов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3.1.1. Регулирование миграционных процессов в сфере приема и адаптации этнических казахов</w:t>
            </w:r>
          </w:p>
        </w:tc>
      </w:tr>
      <w:tr>
        <w:trPr>
          <w:trHeight w:val="141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Удельный вес оралманов, трудоустроенных (из числа обратившихся за содействием в органы занятости населения).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МИД, акимы областей, г.г. Астана, Алматы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совместных предложений по совершенствованию законодательства в вопросах приема и адаптации этнических казахов.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3.1.2. Регулирование направлений внутренней миграции</w:t>
            </w:r>
          </w:p>
        </w:tc>
      </w:tr>
      <w:tr>
        <w:trPr>
          <w:trHeight w:val="99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Удельный вес внутренних мигрантов к общему числу населения.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АС, МВД, акимы областей, г.г. Астана, Алматы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совместных предложений по совершенствованию законодательства в вопросах регулирования направлений внутренней миграции.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3.1.3. Управление трудовой миграции</w:t>
            </w:r>
          </w:p>
        </w:tc>
      </w:tr>
      <w:tr>
        <w:trPr>
          <w:trHeight w:val="141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Удельный вес квалифицированных специалистов в составе привлекаемой иностранной рабочей силы.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МНГ, МИНТ, МРР, МВД, акимы областей, г.г. Астана, Алматы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совместных предложений по совершенствованию законодательства в вопросах управления трудовой миграции.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Стратегическое направление 4. Обеспечение реализации трудовых прав граждан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4.1 Защита трудовых прав и улучшение условий безопасности и охраны труда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4.1.3. Содействие развитию социального партнерства</w:t>
            </w:r>
          </w:p>
        </w:tc>
      </w:tr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Удельный вес предприятий, охваченных системой коллективно-договорных отношений (среди крупных и средних предприятий).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Соцпартнеры, заинтересованные государственные органы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Реализация трехсторонних соглашений, «Программы по достойному труду в Республике Казахстан на 2013 – 2015 годы», а также улучшение показателей ГИК.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Стратегическое направление 5. Содействие повышению благосостояния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5.1. Повышение уровня жизни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5.1.1. Содействие росту заработной платы</w:t>
            </w:r>
          </w:p>
        </w:tc>
      </w:tr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Динамика среднего размера заработной платы гражданских служащих (по отношению к предыдущему году).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 государственные органы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внедрение новой модели оплаты труда: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должностей гражданских служащих по функциональным блокам;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новой сетки коэффициентов;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оптимизация систем доплат и надбавок;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системы стимулирующих выплат и надбавок, зависящих от конечных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5.1.2. Обеспечение адекватности социального обеспечения</w:t>
            </w:r>
          </w:p>
        </w:tc>
      </w:tr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Удельный вес в совокупной пенсии: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базовой пенсионной выплаты (из Центра);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солидарной пенсии (из Центра);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накопительной пенсии (из НПФ).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Доля экономически активного населения, охваченного НПС;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системой обязательного социального страхования.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 РК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систем пенсионного обеспечения и социального страхования.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 нормативные правовые акты по пенсионному обеспечению и социальному страхованию.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устойчивости НПС и системы социального страхования.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5.1.3. Усиление адресности оказания социальной помощи</w:t>
            </w:r>
          </w:p>
        </w:tc>
      </w:tr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Доля получателей государственных детских пособий (ГДП) в общей численности населения, проживающего ниже ПМ.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Доля получателей АСП в общей численности населения, проживающего ниже ПМ.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Удельный вес трудоспособного населения в составе получателей АСП.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Доля семей, охваченных обусловленными денежными выплатами из числа семей, проживающих ниже ПМ.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МИО, МРР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своевременного и целевого назначения и выплаты малообеспеченным семьям государственной адресной социальной помощи.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учета и мониторинга предоставления социальной помощи.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подготовке предложений по внедрению обусловленной социальной помощи для малообеспеченных семей.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АИС «Социальная помощь: АСП, ГДП», «Е-собес».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комплекса мер по регулированию продовольственного рынка с применением рыночных механизмов, направленных на стабилизацию цен на основные виды продуктов питания.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Стратегическое направление 6. Формирование эффективной системы социальной поддержки уязвимых категорий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6.1. Повышение эффективности социальной поддержки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6.1.1. Развитие системы оказания специальных социальных услуг</w:t>
            </w:r>
          </w:p>
        </w:tc>
      </w:tr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лиц, охваченных специальными социальными услугами, предоставляемыми субъектами частного сектора (в том числе, неправительственными организациями).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МИО, НПО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инфраструктуры оказания специальных социальных услуг и охвата специальными социальными услугами лиц, попавших в трудную жизненную ситуацию.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АИС «Е-собес».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6.1.2. Развитие системы реабилитации инвалидов</w:t>
            </w:r>
          </w:p>
        </w:tc>
      </w:tr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реализованной социальной части индивидуальных программ реабилитации инвалидов (из числа разработанных ИПР за отчетный период прошлого года).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заинтересованных организаций в рамках Координационного совета по вопросам социальной защиты инвалидов.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индивидуальной программы реабилитации инвалида (профессиональная, социальная часть) в пределах компетенций государственных органов.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Полный охват инвалидов, обратившихся в органы занятости содействием в трудоустройстве, согласно индивидуальной программы реабилитации инвалида.</w:t>
            </w:r>
          </w:p>
        </w:tc>
      </w:tr>
    </w:tbl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6. Управление рисками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3"/>
        <w:gridCol w:w="3413"/>
        <w:gridCol w:w="5244"/>
      </w:tblGrid>
      <w:tr>
        <w:trPr>
          <w:trHeight w:val="510" w:hRule="atLeast"/>
        </w:trPr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возможного риска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последствия в случае непринятия мер по управлению рисками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управлению рисками</w:t>
            </w:r>
          </w:p>
        </w:tc>
      </w:tr>
      <w:tr>
        <w:trPr>
          <w:trHeight w:val="30" w:hRule="atLeast"/>
        </w:trPr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Внешние риски в социально-трудовой сфере </w:t>
            </w:r>
          </w:p>
        </w:tc>
      </w:tr>
      <w:tr>
        <w:trPr>
          <w:trHeight w:val="1980" w:hRule="atLeast"/>
        </w:trPr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Ухудшение экономической конъюнктуры вследствие долгосрочной рецессии мировой экономики.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Высвобождение рабочей силы на предприятиях с экспортной ориентацией.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Улучшение системы мониторинга и прогнозирования ситуации на рынке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Меры по предотвращению высвобождения рабочей силы вследствие реструктуризации, сокращения объемов производства и банкротства.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Заключение двусторонних и многосторонних соглашений в области трудовой миграции.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риски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Стратегическое направление 1. Содействие росту трудовых ресурсов</w:t>
            </w:r>
          </w:p>
        </w:tc>
      </w:tr>
      <w:tr>
        <w:trPr>
          <w:trHeight w:val="30" w:hRule="atLeast"/>
        </w:trPr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Ухудшение положения семей с детьми вследствие ухудшения макроэкономической ситуации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доли семей с детьми, имеющих доходы ниже установленного прожиточного минимума и, как следствие, снижение рождаемости в стране.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Поэтапное повышение пособий семей с детьми.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Усиленние адресности оказания социальной помощи семьям с детьми.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Стратегическое направление 2. Содействие продуктивной 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Снижение спроса на рабочую силу и изменение структуры занятости вследствие экономической рецессии.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безработицы.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Высвобождение рабочей силы вследствие реструктуризации, банкротства и приостановки предприятий.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Дисбаланс спроса и предложения на региональных рынках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Низкий охват безработных и самозанятых граждан мероприятиями ДКЗ 2020.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Меры по сохранению рабочих мест и содействию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Совместно с МИО разработка и реализация карт занятости регионов для регулирования спроса и предложения на рынке труда.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Стратегическое направление 3. Реализация государственной политики в области миграции населения</w:t>
            </w:r>
          </w:p>
        </w:tc>
      </w:tr>
      <w:tr>
        <w:trPr>
          <w:trHeight w:val="30" w:hRule="atLeast"/>
        </w:trPr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Нарушение законодательства в сфере миграции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Нелегальная трудовая миграция.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конкуренции на рынке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труда. Нарушение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 граждан и прав трудовых мигрантов.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Мониторинг миграции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законодательной базы в вопросах миграции.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Стратегическое направление 4. Обеспечение реализации трудовых прав граждан</w:t>
            </w:r>
          </w:p>
        </w:tc>
      </w:tr>
      <w:tr>
        <w:trPr>
          <w:trHeight w:val="1035" w:hRule="atLeast"/>
        </w:trPr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Нарушения трудовых прав работников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по заработной плате, несоблюдение режима труда и отдыха, дискриминация при приеме на работу, в оплате труда и т.д.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Охват средних и крупных предприятий системой коллективно-договорных отношений.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Усиление контроля ГИТ</w:t>
            </w:r>
          </w:p>
        </w:tc>
      </w:tr>
      <w:tr>
        <w:trPr>
          <w:trHeight w:val="1035" w:hRule="atLeast"/>
        </w:trPr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Нарушения в области безопасности и охраны труда, в том числе с использованием устаревшего оборудования, техники и технологий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Возникновение профессионального риска потери трудоспособности (несчастные случаи на производстве, профзаболевания).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производственного травматизма и профессиональных заболеваний.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Внедрение системы управления рисками по обеспечению безопасных условий труда и международных стандартов охраны и безопасности труда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Стратегическое направление 5. Содействие повышению благосостояния населения</w:t>
            </w:r>
          </w:p>
        </w:tc>
      </w:tr>
      <w:tr>
        <w:trPr>
          <w:trHeight w:val="240" w:hRule="atLeast"/>
        </w:trPr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Несовершенство стандартов социального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Недостаточный охват населения НПС и системой обязательного социального страхования.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Низкий уровень пенсионного и социального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Неадекватность пенсионного и социального обеспечения.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Стимулирование участия населения в накопительной пенсионной системе и системе социального страхования.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Увеличение числа участников НПС через реализацию активных мер занятости</w:t>
            </w:r>
          </w:p>
        </w:tc>
      </w:tr>
      <w:tr>
        <w:trPr>
          <w:trHeight w:val="495" w:hRule="atLeast"/>
        </w:trPr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Высокий уровень инфляции.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покупательной способности пенсионных и социальных выплат;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пенсионных накоплений в НПФ и активов ГФСС.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Поэтапное повышение размеров пенсий и государственных социальных пособий.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Повышение эффективности накопительной пенсионной системы за счет создания необходимых условий для выгодного размещения пенсионных активов и роста их доходности.</w:t>
            </w:r>
          </w:p>
        </w:tc>
      </w:tr>
      <w:tr>
        <w:trPr>
          <w:trHeight w:val="495" w:hRule="atLeast"/>
        </w:trPr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Несоответствие минимальных социальных стандартов международному уровню.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бедности. Развитие иждивенчества.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Поэтапное повышение минимальных социальных стандартов с учетом стабильного экономического развития страны.</w:t>
            </w:r>
          </w:p>
        </w:tc>
      </w:tr>
      <w:tr>
        <w:trPr>
          <w:trHeight w:val="495" w:hRule="atLeast"/>
        </w:trPr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Неэффективность мер социальной помощи и поддержки.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Возникновение социальной напряженности.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Усиление адресности социальной помощи.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Стратегическое направление 6. Формирование эффективной системы социальной поддержки уязвимых категорий населения</w:t>
            </w:r>
          </w:p>
        </w:tc>
      </w:tr>
      <w:tr>
        <w:trPr>
          <w:trHeight w:val="30" w:hRule="atLeast"/>
        </w:trPr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Неразвитость альтернативных форм оказания специальных социальных услуг.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доступа к специальным социальным услугам.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Развитие альтернативных форм оказания специальных социальных услуг и расширение сети социальных служб.</w:t>
            </w:r>
          </w:p>
        </w:tc>
      </w:tr>
    </w:tbl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7. Бюджетные программы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с изменениями, внесенными постановлением Правительства РК от 12.06.2014 </w:t>
      </w:r>
      <w:r>
        <w:rPr>
          <w:rFonts w:ascii="Times New Roman"/>
          <w:b w:val="false"/>
          <w:i w:val="false"/>
          <w:color w:val="ff0000"/>
          <w:sz w:val="28"/>
        </w:rPr>
        <w:t>№ 643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4"/>
        <w:gridCol w:w="1501"/>
        <w:gridCol w:w="983"/>
        <w:gridCol w:w="1043"/>
        <w:gridCol w:w="1003"/>
        <w:gridCol w:w="1263"/>
        <w:gridCol w:w="1103"/>
        <w:gridCol w:w="1064"/>
        <w:gridCol w:w="1086"/>
      </w:tblGrid>
      <w:tr>
        <w:trPr>
          <w:trHeight w:val="480" w:hRule="atLeast"/>
        </w:trPr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«Формирование государственной политики в области труда, занятости, социальной защиты и миграции населения»</w:t>
            </w:r>
          </w:p>
        </w:tc>
      </w:tr>
      <w:tr>
        <w:trPr>
          <w:trHeight w:val="1860" w:hRule="atLeast"/>
        </w:trPr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аппарата Министерства и его территориальных органов; обеспечение соблюдения конституционных гарантий в социально-трудовой сфере; реализация единой социальной политики; осуществление управления трудовой миграцией; государственный надзор за соблюдением трудового и социального законодательства; контроль качества оказания специальных социальных услуг; разработка и реализация целевых и международных программ в социально-трудовой сфере; создание единого информационного обеспечения в социально-трудовой сфере; проведение актуальных исследований в области труда, занятости, социальной защиты населения</w:t>
            </w:r>
          </w:p>
        </w:tc>
      </w:tr>
      <w:tr>
        <w:trPr>
          <w:trHeight w:val="375" w:hRule="atLeast"/>
        </w:trPr>
        <w:tc>
          <w:tcPr>
            <w:tcW w:w="4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 от содер-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 от способа реали-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25" w:hRule="atLeast"/>
        </w:trPr>
        <w:tc>
          <w:tcPr>
            <w:tcW w:w="4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прямого результата</w:t>
            </w:r>
          </w:p>
        </w:tc>
      </w:tr>
      <w:tr>
        <w:trPr>
          <w:trHeight w:val="450" w:hRule="atLeast"/>
        </w:trPr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стратегических документов Системы государственного планирования в рамках компетенции Министерства труда и социальной защиты населения Республики Казахстан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4*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4*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4*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разработанных нормативно-правовых актов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пересмотренных выпусков ЕТКС, КС и квалификационных характеристик должностей служащих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конкурса по социальной ответственности бизнеса «Парыз»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предприятий, охваченных системой коллективно-договорных отношений (среди крупных и средних предприятий)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разработанных стандартов оказываемых государственных услуг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сотрудников, прошедших обучение государственному и английскому языкам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проведенных исследований в области труда, занятости, социальной защиты населения и услуг в рамках государственного социального заказа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конечного результата</w:t>
            </w:r>
          </w:p>
        </w:tc>
      </w:tr>
      <w:tr>
        <w:trPr>
          <w:trHeight w:val="450" w:hRule="atLeast"/>
        </w:trPr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Эффективная реализация государственной политики в области труда, занятости, социальной защиты населения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качества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нормативной правовой базы системы социального обеспечения, повышение ответственности государственных органов, расширение доступности и повышение уровня государственных услуг, квалификации специалистов системы социального обеспечения.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профессионального уровня государственных служащих согласно требованиям профессиональной государственной службы в соответствии с современными экономическими условиями.</w:t>
            </w:r>
          </w:p>
        </w:tc>
      </w:tr>
      <w:tr>
        <w:trPr>
          <w:trHeight w:val="405" w:hRule="atLeast"/>
        </w:trPr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Средние затраты на содержание одной единицы штатной численности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объем затрат на единицу исследования и услуг в рамках государственного социального заказа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2 969 148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3 356 395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2 996 138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2 779 680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2 806 229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 учетом разработки Стратегического плана Министерства труда и социальной защиты населения Республики Казахстан в рамках уточнения бюджета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3"/>
        <w:gridCol w:w="960"/>
        <w:gridCol w:w="1083"/>
        <w:gridCol w:w="1058"/>
        <w:gridCol w:w="1358"/>
        <w:gridCol w:w="1078"/>
        <w:gridCol w:w="1018"/>
        <w:gridCol w:w="832"/>
        <w:gridCol w:w="1070"/>
      </w:tblGrid>
      <w:tr>
        <w:trPr>
          <w:trHeight w:val="585" w:hRule="atLeast"/>
        </w:trPr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 «Социальное обеспечение отдельных категорий граждан»</w:t>
            </w:r>
          </w:p>
        </w:tc>
      </w:tr>
      <w:tr>
        <w:trPr>
          <w:trHeight w:val="705" w:hRule="atLeast"/>
        </w:trPr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солидарных пенсий;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базовых пенсионных выплат;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надбавок к пенсиям граждан, пострадавших вследствие ядерных испытании на Семипалатинском испытательном ядерном полигоне;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по государственной гарантии сохранности обязательных пенсионных взносов, обязательных профессиональных пенсионных взносов в единый накопительный пенсионный фонд;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обязательных пенсионных взносов получателям социальных выплат в случае потери дохода в связи с уходом за ребенком по достижении им возраста одного 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базового пособия по инвалидности;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базового пособия по случаю потери кормильца;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базового пособия по возрасту;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на погребение пенсионеров, участников и инвалидов ВОВ;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на погребение получателей государственных базовых пособий и государственных специальных пособий;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специальных пособий</w:t>
            </w:r>
          </w:p>
        </w:tc>
      </w:tr>
      <w:tr>
        <w:trPr>
          <w:trHeight w:val="480" w:hRule="atLeast"/>
        </w:trPr>
        <w:tc>
          <w:tcPr>
            <w:tcW w:w="5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510" w:hRule="atLeast"/>
        </w:trPr>
        <w:tc>
          <w:tcPr>
            <w:tcW w:w="5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прямого результата</w:t>
            </w:r>
          </w:p>
        </w:tc>
      </w:tr>
      <w:tr>
        <w:trPr>
          <w:trHeight w:val="405" w:hRule="atLeast"/>
        </w:trPr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Среднегодовая численность получателей: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4 344 231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4 453 887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4 845 493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4 645 193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4 730 741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базовой пенсионной выплаты 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1 780 752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1 838 910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1 904 229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1 926 778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1 969 925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солидарной пенсии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1 753 184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1 808 987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1 873 443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1 896 044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1 936 246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надбавок к пенсиям граждан, пострадавших вследствие ядерных испытаний на Семипалатинском испытательном ядерном полигоне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обязательств по государственной гарантии сохранности обязательных пенсионных взносов и обязательных профессиональных пенсионных взносов в едином накопительном пенсионном фонде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106 718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81 975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117 469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125 651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135 556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базового пособия по инвалидности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469 685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478 634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485 980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483 516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485 147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базового пособия по случаю потери кормильца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185 232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179 406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181 841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181 980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базового пособия по возрасту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27 024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28 871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на погребение пенсионеров, участников и инвалидов ВОВ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77 207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75 627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77 299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76 536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76 539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пособия на погребение получателей государственных социальных пособий и государственных специальных пособий 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15 247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19 798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20 631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специального пособия по списку № 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26 094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24 333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22 923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специального пособия по списку № 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13 284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10 720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обязательных пенсионных взносов получателям социальных выплат в случае потери дохода в связи с уходом за ребенком по достижении им возраста одного года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147 520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151 954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154 222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конечного результата</w:t>
            </w:r>
          </w:p>
        </w:tc>
      </w:tr>
      <w:tr>
        <w:trPr>
          <w:trHeight w:val="255" w:hRule="atLeast"/>
        </w:trPr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пенсионерам и инвалидам, достигшим пенсионного возраста, базовой пенсионной выплаты в % от ПМ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своевременной выплаты назначенных пенсий и базовых пенсионных выплат, надбавок к пенсиям граждан, пострадавших вследствие ядерных испытаний на Семипалатинском испытательном ядерном полигоне, государственных базовых пособий по инвалидности, по случаю потери кормильца и по возрасту, государственных специальных пособий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своевременной выплаты пособий на погребение лицам, обратившимся и имеющим право на его получение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качества 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эффективности</w:t>
            </w:r>
          </w:p>
        </w:tc>
      </w:tr>
      <w:tr>
        <w:trPr>
          <w:trHeight w:val="255" w:hRule="atLeast"/>
        </w:trPr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базовой пенсионной выплаты 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Средний размер солидарных пенсий 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30 045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32 386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36 145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38 329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41 755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государственных базовых пособий: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по инвалидности от общего заболевания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группа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25 378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29 055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31 088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группа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18 485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22 163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24 231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группа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13 808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15 809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16 916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по случаю потери кормильца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1 иждивенце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12 316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2 иждивенцах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21 272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23 760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24 355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26 059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3 иждивенцах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26 311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30 123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32 231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4 иждивенцах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31 347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5 иждивенцах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27 031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28 923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32 345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33 114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35 431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6 и более иждивенцах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28 077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30 043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33 743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34 396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36 803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по возрасту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пособия на погребение участников и инвалидов ВОВ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56 630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60 585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67 784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69 370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74 235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пособия на погребение пенсионеров, получателей государственных базовых пособий и государственных специальных пособий 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29 077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государственного специального пособия по списку № 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государственного специального пособия по списку № 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13 848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974 083 479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1 076 767 304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1 245 957 339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1 326 377 047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1 463 440 993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5"/>
        <w:gridCol w:w="967"/>
        <w:gridCol w:w="1043"/>
        <w:gridCol w:w="1043"/>
        <w:gridCol w:w="1143"/>
        <w:gridCol w:w="1083"/>
        <w:gridCol w:w="963"/>
        <w:gridCol w:w="1119"/>
        <w:gridCol w:w="1034"/>
      </w:tblGrid>
      <w:tr>
        <w:trPr>
          <w:trHeight w:val="405" w:hRule="atLeast"/>
        </w:trPr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«Специальные государственные пособия»</w:t>
            </w:r>
          </w:p>
        </w:tc>
      </w:tr>
      <w:tr>
        <w:trPr>
          <w:trHeight w:val="570" w:hRule="atLeast"/>
        </w:trPr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дополнительной материальной поддержки отдельным категориям граждан в виде выплат специальных государственных пособий</w:t>
            </w:r>
          </w:p>
        </w:tc>
      </w:tr>
      <w:tr>
        <w:trPr>
          <w:trHeight w:val="210" w:hRule="atLeast"/>
        </w:trPr>
        <w:tc>
          <w:tcPr>
            <w:tcW w:w="5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75" w:hRule="atLeast"/>
        </w:trPr>
        <w:tc>
          <w:tcPr>
            <w:tcW w:w="5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прямого результата</w:t>
            </w:r>
          </w:p>
        </w:tc>
      </w:tr>
      <w:tr>
        <w:trPr>
          <w:trHeight w:val="315" w:hRule="atLeast"/>
        </w:trPr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Среднегодовая численность получателей специальных государственных пособий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1 291 320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1 297 963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1 313 633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1 296 819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1 297 844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конечного результата</w:t>
            </w:r>
          </w:p>
        </w:tc>
      </w:tr>
      <w:tr>
        <w:trPr>
          <w:trHeight w:val="315" w:hRule="atLeast"/>
        </w:trPr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своевременной выплаты назначенных специальных государственных пособий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качества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эффективности</w:t>
            </w:r>
          </w:p>
        </w:tc>
      </w:tr>
      <w:tr>
        <w:trPr>
          <w:trHeight w:val="315" w:hRule="atLeast"/>
        </w:trPr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Отношение размера специальных государственных пособий к величине непродовольственной части ПМ: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инвалиды 1 и 2 группы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инвалиды 3 группы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дети-инвалиды до 16 лет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многодетные матери, награжденные подвесками «Алтын алқа» и «Күміс алқа» и многодетные семьи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75 610 203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80 549 228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89 333 938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90 264 820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96 103 428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8"/>
        <w:gridCol w:w="1187"/>
        <w:gridCol w:w="1364"/>
        <w:gridCol w:w="1165"/>
        <w:gridCol w:w="1098"/>
        <w:gridCol w:w="1010"/>
        <w:gridCol w:w="1099"/>
        <w:gridCol w:w="988"/>
        <w:gridCol w:w="1011"/>
      </w:tblGrid>
      <w:tr>
        <w:trPr>
          <w:trHeight w:val="405" w:hRule="atLeast"/>
        </w:trPr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«Единовременные государственные денежные компенсации отдельным категориям граждан»</w:t>
            </w:r>
          </w:p>
        </w:tc>
      </w:tr>
      <w:tr>
        <w:trPr>
          <w:trHeight w:val="795" w:hRule="atLeast"/>
        </w:trPr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государством обязательств прошлых лет по выплате единовременных государственных денежных компенсаций: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пострадавшим вследствие ядерных испытаний на Семипалатинском испытательном ядерном полигоне;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реабилитированным гражданам, признанным жертвами массовых политических репрессий</w:t>
            </w:r>
          </w:p>
        </w:tc>
      </w:tr>
      <w:tr>
        <w:trPr>
          <w:trHeight w:val="255" w:hRule="atLeast"/>
        </w:trPr>
        <w:tc>
          <w:tcPr>
            <w:tcW w:w="5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25" w:hRule="atLeast"/>
        </w:trPr>
        <w:tc>
          <w:tcPr>
            <w:tcW w:w="5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прямого результата</w:t>
            </w:r>
          </w:p>
        </w:tc>
      </w:tr>
      <w:tr>
        <w:trPr>
          <w:trHeight w:val="360" w:hRule="atLeast"/>
        </w:trPr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пострадавших граждан вследствие ядерных испытаний на Семипалатинском испытательном ядерном полигоне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Среднегодовая численность реабилитированных граждан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конечного результата</w:t>
            </w:r>
          </w:p>
        </w:tc>
      </w:tr>
      <w:tr>
        <w:trPr>
          <w:trHeight w:val="360" w:hRule="atLeast"/>
        </w:trPr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задолженности по выплате компенсаций обратившихся граждан из числа населения, пострадавших вследствие ядерного испытания на СИЯП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Компенсирование материального и морального вреда обратившихся граждан из числа граждан-жертв массовых политических репрессий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качества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эффективности</w:t>
            </w:r>
          </w:p>
        </w:tc>
      </w:tr>
      <w:tr>
        <w:trPr>
          <w:trHeight w:val="360" w:hRule="atLeast"/>
        </w:trPr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единовременной денежной компенсации пострадавших граждан вследствие ядерных испытаний на Семипалатинском испытательном ядерном полигоне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25 021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15 624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единовременной денежной компенсации реабилитированным гражданам-жертвам массовых политических репрессий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95 177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94 382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69 739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78 316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84 500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86 796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80 689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51 426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45 298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38 651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7"/>
        <w:gridCol w:w="1185"/>
        <w:gridCol w:w="1283"/>
        <w:gridCol w:w="1343"/>
        <w:gridCol w:w="1204"/>
        <w:gridCol w:w="1044"/>
        <w:gridCol w:w="1024"/>
        <w:gridCol w:w="947"/>
        <w:gridCol w:w="1013"/>
      </w:tblGrid>
      <w:tr>
        <w:trPr>
          <w:trHeight w:val="450" w:hRule="atLeast"/>
        </w:trPr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«Государственные пособия семьям, имеющим детей»</w:t>
            </w:r>
          </w:p>
        </w:tc>
      </w:tr>
      <w:tr>
        <w:trPr>
          <w:trHeight w:val="480" w:hRule="atLeast"/>
        </w:trPr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семей, имеющих детей в виде выплат: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единовременного пособия на рождение ребенка;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пособия по уходу за ребенком до одного 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пособия родителям, опекунам, воспитывающим детей – инвалидов.</w:t>
            </w:r>
          </w:p>
        </w:tc>
      </w:tr>
      <w:tr>
        <w:trPr>
          <w:trHeight w:val="150" w:hRule="atLeast"/>
        </w:trPr>
        <w:tc>
          <w:tcPr>
            <w:tcW w:w="4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420" w:hRule="atLeast"/>
        </w:trPr>
        <w:tc>
          <w:tcPr>
            <w:tcW w:w="4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прямого результата</w:t>
            </w:r>
          </w:p>
        </w:tc>
      </w:tr>
      <w:tr>
        <w:trPr>
          <w:trHeight w:val="225" w:hRule="atLeast"/>
        </w:trPr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Среднегодовая численность получателей государственных пособий: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587 793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603 839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615 266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616 265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622 654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рождение ребенка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381 178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385 143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386 874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390 107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391 455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уходу за ребенком до одного года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147 881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162 761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159 683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162 292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родителей, опекунов, воспитывающих детей – инвалидов 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58 734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61 631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65 631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66 474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конечного результата</w:t>
            </w:r>
          </w:p>
        </w:tc>
      </w:tr>
      <w:tr>
        <w:trPr>
          <w:trHeight w:val="225" w:hRule="atLeast"/>
        </w:trPr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своевременной выплаты назначенных государственных пособий в связи с рождением ребенка и по уходу за ребенком до одного года, государственного пособия родителям, опекунам, воспитывающим детей – инвалидов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качества 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эффективности</w:t>
            </w:r>
          </w:p>
        </w:tc>
      </w:tr>
      <w:tr>
        <w:trPr>
          <w:trHeight w:val="225" w:hRule="atLeast"/>
        </w:trPr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Размер единовременного пособия на рождение ребенка: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1, 2, 3 ребенка 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48 540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58 172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63 630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4-го и более ребенка в семье 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80 900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86 550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96 953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99 100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Средний размер пособия по уходу за ребенком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13 867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16 384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Размер пособия родителям, опекунам, воспитывающим детей-инвалидов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22 859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57 383 792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64 308 502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73 333 744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78 810 962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85 715 061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7"/>
        <w:gridCol w:w="1063"/>
        <w:gridCol w:w="1262"/>
        <w:gridCol w:w="1080"/>
        <w:gridCol w:w="1325"/>
        <w:gridCol w:w="997"/>
        <w:gridCol w:w="1063"/>
        <w:gridCol w:w="1085"/>
        <w:gridCol w:w="1218"/>
      </w:tblGrid>
      <w:tr>
        <w:trPr>
          <w:trHeight w:val="420" w:hRule="atLeast"/>
        </w:trPr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«Оказание социальной помощи оралманам»</w:t>
            </w:r>
          </w:p>
        </w:tc>
      </w:tr>
      <w:tr>
        <w:trPr>
          <w:trHeight w:val="690" w:hRule="atLeast"/>
        </w:trPr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единовременного пособия семьям оралманов, возмещение расходов по проезду к постоянному месту жительства и провозу имущества (в том числе скота), выделение средств для приобретения жилья</w:t>
            </w:r>
          </w:p>
        </w:tc>
      </w:tr>
      <w:tr>
        <w:trPr>
          <w:trHeight w:val="420" w:hRule="atLeast"/>
        </w:trPr>
        <w:tc>
          <w:tcPr>
            <w:tcW w:w="4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405" w:hRule="atLeast"/>
        </w:trPr>
        <w:tc>
          <w:tcPr>
            <w:tcW w:w="4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прямого результата</w:t>
            </w:r>
          </w:p>
        </w:tc>
      </w:tr>
      <w:tr>
        <w:trPr>
          <w:trHeight w:val="615" w:hRule="atLeast"/>
        </w:trPr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оралманов, обратившихся за выплатой единовременных пособий и компенсаций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семей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конечного результата</w:t>
            </w:r>
          </w:p>
        </w:tc>
      </w:tr>
      <w:tr>
        <w:trPr>
          <w:trHeight w:val="615" w:hRule="atLeast"/>
        </w:trPr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Полный охват выплатой единовременных пособий и компенсаций обратившихся оралманов и членов их семей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качества 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эффективности </w:t>
            </w:r>
          </w:p>
        </w:tc>
      </w:tr>
      <w:tr>
        <w:trPr>
          <w:trHeight w:val="375" w:hRule="atLeast"/>
        </w:trPr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Средний размер единовременного пособия семьям оралманов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203 069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202 251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тг.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155 329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7"/>
        <w:gridCol w:w="1102"/>
        <w:gridCol w:w="1191"/>
        <w:gridCol w:w="1302"/>
        <w:gridCol w:w="1346"/>
        <w:gridCol w:w="1102"/>
        <w:gridCol w:w="947"/>
        <w:gridCol w:w="902"/>
        <w:gridCol w:w="1081"/>
      </w:tblGrid>
      <w:tr>
        <w:trPr>
          <w:trHeight w:val="405" w:hRule="atLeast"/>
        </w:trPr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 «Прикладные научные исследования»</w:t>
            </w:r>
          </w:p>
        </w:tc>
      </w:tr>
      <w:tr>
        <w:trPr>
          <w:trHeight w:val="600" w:hRule="atLeast"/>
        </w:trPr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научно-исследовательских работ в области безопасности и охраны труда, рынка труда</w:t>
            </w:r>
          </w:p>
        </w:tc>
      </w:tr>
      <w:tr>
        <w:trPr>
          <w:trHeight w:val="285" w:hRule="atLeast"/>
        </w:trPr>
        <w:tc>
          <w:tcPr>
            <w:tcW w:w="4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405" w:hRule="atLeast"/>
        </w:trPr>
        <w:tc>
          <w:tcPr>
            <w:tcW w:w="4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прямого результата</w:t>
            </w:r>
          </w:p>
        </w:tc>
      </w:tr>
      <w:tr>
        <w:trPr>
          <w:trHeight w:val="420" w:hRule="atLeast"/>
        </w:trPr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тематических заданий научно-исследовательских работ, в том числе: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охраны и безопасности труда, управления и методов воздействия на условия труда и профессиональные риски;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разработки экономических расчетов (нормативов) от производственного травматизма и профзаболеваний в различных отраслях экономики Республики Казахстан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конечного результата</w:t>
            </w:r>
          </w:p>
        </w:tc>
      </w:tr>
      <w:tr>
        <w:trPr>
          <w:trHeight w:val="420" w:hRule="atLeast"/>
        </w:trPr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предприятий, на которых внедрены результаты научно-исследовательских работ, в том числе по отраслям: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нефтегазовая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горнорудная промышленность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лесная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строительная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угольная промышленность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железнодорожный транспорт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учреждения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строительных материалов и пластиковых изделий, керамики, фарфора и фаянсовых изделий и стекольное производство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обрабатывающая промышленность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связь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машиностроение и приборостроение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атомная энергетика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качества</w:t>
            </w:r>
          </w:p>
        </w:tc>
      </w:tr>
      <w:tr>
        <w:trPr>
          <w:trHeight w:val="855" w:hRule="atLeast"/>
        </w:trPr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Методологическое и нормативное обеспечение (разработанные методические рекомендации, методики, стандарты, нормативы и нормы)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эффективности</w:t>
            </w:r>
          </w:p>
        </w:tc>
      </w:tr>
      <w:tr>
        <w:trPr>
          <w:trHeight w:val="585" w:hRule="atLeast"/>
        </w:trPr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доли работников, занятых в неудовлетворительных, вредных условиях труда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стоимости одного тематического задания научно-исследовательских работ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13 168,2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71 395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73 197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79 009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7"/>
        <w:gridCol w:w="1283"/>
        <w:gridCol w:w="1183"/>
        <w:gridCol w:w="1095"/>
        <w:gridCol w:w="953"/>
        <w:gridCol w:w="1153"/>
        <w:gridCol w:w="1045"/>
        <w:gridCol w:w="1087"/>
        <w:gridCol w:w="1154"/>
      </w:tblGrid>
      <w:tr>
        <w:trPr>
          <w:trHeight w:val="555" w:hRule="atLeast"/>
        </w:trPr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«Услуги по информационно-аналитическому обеспечению по базе занятости и бедности»</w:t>
            </w:r>
          </w:p>
        </w:tc>
      </w:tr>
      <w:tr>
        <w:trPr>
          <w:trHeight w:val="705" w:hRule="atLeast"/>
        </w:trPr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ведение общереспубликанской базы данных по вопросам занятости и обработка информации по бедности</w:t>
            </w:r>
          </w:p>
        </w:tc>
      </w:tr>
      <w:tr>
        <w:trPr>
          <w:trHeight w:val="690" w:hRule="atLeast"/>
        </w:trPr>
        <w:tc>
          <w:tcPr>
            <w:tcW w:w="5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405" w:hRule="atLeast"/>
        </w:trPr>
        <w:tc>
          <w:tcPr>
            <w:tcW w:w="5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прямого результата</w:t>
            </w:r>
          </w:p>
        </w:tc>
      </w:tr>
      <w:tr>
        <w:trPr>
          <w:trHeight w:val="390" w:hRule="atLeast"/>
        </w:trPr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обрабатываемой информации, в том числе: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ед.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базе занятости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ед.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базе бедности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ед.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 информация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ед.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конечного результата</w:t>
            </w:r>
          </w:p>
        </w:tc>
      </w:tr>
      <w:tr>
        <w:trPr>
          <w:trHeight w:val="570" w:hRule="atLeast"/>
        </w:trPr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Своевременное представление отчетности в Министерство и выполнение возложенных функций 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качества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эффективности</w:t>
            </w:r>
          </w:p>
        </w:tc>
      </w:tr>
      <w:tr>
        <w:trPr>
          <w:trHeight w:val="630" w:hRule="atLeast"/>
        </w:trPr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одной единицы обрабатываемой информации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26,92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142 912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245 855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282 693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281 131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256 386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2"/>
        <w:gridCol w:w="917"/>
        <w:gridCol w:w="1078"/>
        <w:gridCol w:w="1364"/>
        <w:gridCol w:w="1221"/>
        <w:gridCol w:w="1041"/>
        <w:gridCol w:w="1041"/>
        <w:gridCol w:w="1107"/>
        <w:gridCol w:w="1239"/>
      </w:tblGrid>
      <w:tr>
        <w:trPr>
          <w:trHeight w:val="855" w:hRule="atLeast"/>
        </w:trPr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«Целевые трансферты на развитие областным бюджетам, бюджетам городов Астаны и Алматы на строительство и реконструкцию объектов социального обеспечения»</w:t>
            </w:r>
          </w:p>
        </w:tc>
      </w:tr>
      <w:tr>
        <w:trPr>
          <w:trHeight w:val="450" w:hRule="atLeast"/>
        </w:trPr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</w:tr>
      <w:tr>
        <w:trPr>
          <w:trHeight w:val="555" w:hRule="atLeast"/>
        </w:trPr>
        <w:tc>
          <w:tcPr>
            <w:tcW w:w="4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465" w:hRule="atLeast"/>
        </w:trPr>
        <w:tc>
          <w:tcPr>
            <w:tcW w:w="4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прямого результата</w:t>
            </w:r>
          </w:p>
        </w:tc>
      </w:tr>
      <w:tr>
        <w:trPr>
          <w:trHeight w:val="720" w:hRule="atLeast"/>
        </w:trPr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объектов строительства и реконструкции объектов социального обеспечения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конечного результата</w:t>
            </w:r>
          </w:p>
        </w:tc>
      </w:tr>
      <w:tr>
        <w:trPr>
          <w:trHeight w:val="705" w:hRule="atLeast"/>
        </w:trPr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Своевременный ввод в эксплуатацию объектов строительства и реконструкции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качества </w:t>
            </w:r>
          </w:p>
        </w:tc>
      </w:tr>
      <w:tr>
        <w:trPr>
          <w:trHeight w:val="480" w:hRule="atLeast"/>
        </w:trPr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строительным нормам и правилам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эффективности</w:t>
            </w:r>
          </w:p>
        </w:tc>
      </w:tr>
      <w:tr>
        <w:trPr>
          <w:trHeight w:val="450" w:hRule="atLeast"/>
        </w:trPr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1 020 274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1 976 788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1 179 000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1"/>
        <w:gridCol w:w="980"/>
        <w:gridCol w:w="1248"/>
        <w:gridCol w:w="1128"/>
        <w:gridCol w:w="1090"/>
        <w:gridCol w:w="892"/>
        <w:gridCol w:w="1200"/>
        <w:gridCol w:w="1090"/>
        <w:gridCol w:w="1311"/>
      </w:tblGrid>
      <w:tr>
        <w:trPr>
          <w:trHeight w:val="69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«Целевые текущие трансферты областным бюджетам, бюджетам городов Астаны и Алматы на предоставление специальных социальных услуг»</w:t>
            </w:r>
          </w:p>
        </w:tc>
      </w:tr>
      <w:tr>
        <w:trPr>
          <w:trHeight w:val="156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специальных социальных услуг лицам, проживающим в медико-социальных учреждениях, центрах социальной адаптации для лиц без определенного места жительства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негосударственном секторе на оказание специальных социальных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сети отделений дневного пребывания в медико-социальных учреждениях</w:t>
            </w:r>
          </w:p>
        </w:tc>
      </w:tr>
      <w:tr>
        <w:trPr>
          <w:trHeight w:val="420" w:hRule="atLeast"/>
        </w:trPr>
        <w:tc>
          <w:tcPr>
            <w:tcW w:w="5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405" w:hRule="atLeast"/>
        </w:trPr>
        <w:tc>
          <w:tcPr>
            <w:tcW w:w="5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прямого результата</w:t>
            </w:r>
          </w:p>
        </w:tc>
      </w:tr>
      <w:tr>
        <w:trPr>
          <w:trHeight w:val="225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граждан, охваченных специальными социальными услугами в: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37 236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38 357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медико-социальных учреждениях для детей с нарушением опорно-двигательного аппарата*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медико-социальных учреждениях общего типа*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отделениях социальной помощи на дому для престарелых, инвалидов, в том числе детей-инвалидов*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23 515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25 792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центрах социальной адаптации для лиц без определенного места жительства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граждан, охваченных специальными социальными услугами в неправительственном секторе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граждан, обслуженных в отделениях дневного пребывания в медико-социальных учреждениях*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конечного результата</w:t>
            </w:r>
          </w:p>
        </w:tc>
      </w:tr>
      <w:tr>
        <w:trPr>
          <w:trHeight w:val="72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предоставление специальных социальных услуг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качества</w:t>
            </w:r>
          </w:p>
        </w:tc>
      </w:tr>
      <w:tr>
        <w:trPr>
          <w:trHeight w:val="36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стандартам оказания специальных социальных услуг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эффективности</w:t>
            </w:r>
          </w:p>
        </w:tc>
      </w:tr>
      <w:tr>
        <w:trPr>
          <w:trHeight w:val="36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услуги на одного человека в день за счет целевых трансфертов: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медико-социальных учреждениях для детей с нарушением опорно-двигательного аппарата*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медико-социальных учреждениях общего типа*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отделениях социальной помощи на дому для престарелых, инвалидов, в том числе детей-инвалидов*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центрах социальной адаптации для лиц без определенного места жительства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услуг неправительственными организациями на одного человека в день за счет целевых трансфертов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941,9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услуг на одного человека в день за счет целевых трансфертов в отделениях дневного пребывания в медико-социальных учреждениях*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2 109 347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2 267 944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переданы в МИО трансфертами общего характера с 2014 года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9"/>
        <w:gridCol w:w="966"/>
        <w:gridCol w:w="1121"/>
        <w:gridCol w:w="1341"/>
        <w:gridCol w:w="1156"/>
        <w:gridCol w:w="1156"/>
        <w:gridCol w:w="1077"/>
        <w:gridCol w:w="942"/>
        <w:gridCol w:w="1202"/>
      </w:tblGrid>
      <w:tr>
        <w:trPr>
          <w:trHeight w:val="420" w:hRule="atLeast"/>
        </w:trPr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«Услуги по обеспечению выплаты пенсий и пособий»</w:t>
            </w:r>
          </w:p>
        </w:tc>
      </w:tr>
      <w:tr>
        <w:trPr>
          <w:trHeight w:val="420" w:hRule="atLeast"/>
        </w:trPr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своевременной и полной выплаты пенсий и пособий</w:t>
            </w:r>
          </w:p>
        </w:tc>
      </w:tr>
      <w:tr>
        <w:trPr>
          <w:trHeight w:val="210" w:hRule="atLeast"/>
        </w:trPr>
        <w:tc>
          <w:tcPr>
            <w:tcW w:w="5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75" w:hRule="atLeast"/>
        </w:trPr>
        <w:tc>
          <w:tcPr>
            <w:tcW w:w="5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прямого результата</w:t>
            </w:r>
          </w:p>
        </w:tc>
      </w:tr>
      <w:tr>
        <w:trPr>
          <w:trHeight w:val="315" w:hRule="atLeast"/>
        </w:trPr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оказанных государственных услуг лицам, имеющим право на получение социальных выплат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6 710 220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6 762 158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7 151 947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6 891 600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6 987 692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конечного результата</w:t>
            </w:r>
          </w:p>
        </w:tc>
      </w:tr>
      <w:tr>
        <w:trPr>
          <w:trHeight w:val="315" w:hRule="atLeast"/>
        </w:trPr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своевременности: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пенсий и пособий;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переводов обязательных пенсионных взносов и пенсионных накоплений в НПФ;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отчислений в ГФСС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качества </w:t>
            </w:r>
          </w:p>
        </w:tc>
      </w:tr>
      <w:tr>
        <w:trPr>
          <w:trHeight w:val="315" w:hRule="atLeast"/>
        </w:trPr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назначения и выплат пенсий и пособий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электронных макетов дел получателей пособий от общей численности макетов дел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эффективности</w:t>
            </w:r>
          </w:p>
        </w:tc>
      </w:tr>
      <w:tr>
        <w:trPr>
          <w:trHeight w:val="315" w:hRule="atLeast"/>
        </w:trPr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Удельный вес административных затрат ГЦВП в общем объеме обслуживаемых финансовых потоков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0,96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18 613 709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18 377 833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21 083 216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22 728 339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24 166 507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8"/>
        <w:gridCol w:w="916"/>
        <w:gridCol w:w="1290"/>
        <w:gridCol w:w="1158"/>
        <w:gridCol w:w="1051"/>
        <w:gridCol w:w="1011"/>
        <w:gridCol w:w="1159"/>
        <w:gridCol w:w="983"/>
        <w:gridCol w:w="1314"/>
      </w:tblGrid>
      <w:tr>
        <w:trPr>
          <w:trHeight w:val="570" w:hRule="atLeast"/>
        </w:trPr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«Возмещение за вред, причиненный жизни и здоровью, возложенное судом на государство в случае прекращения деятельности юридического лица»</w:t>
            </w:r>
          </w:p>
        </w:tc>
      </w:tr>
      <w:tr>
        <w:trPr>
          <w:trHeight w:val="540" w:hRule="atLeast"/>
        </w:trPr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государства по возмещению вреда потерпевшим, в случае прекращения деятельности юридического лица</w:t>
            </w:r>
          </w:p>
        </w:tc>
      </w:tr>
      <w:tr>
        <w:trPr>
          <w:trHeight w:val="270" w:hRule="atLeast"/>
        </w:trPr>
        <w:tc>
          <w:tcPr>
            <w:tcW w:w="5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70" w:hRule="atLeast"/>
        </w:trPr>
        <w:tc>
          <w:tcPr>
            <w:tcW w:w="5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прямого результата</w:t>
            </w:r>
          </w:p>
        </w:tc>
      </w:tr>
      <w:tr>
        <w:trPr>
          <w:trHeight w:val="420" w:hRule="atLeast"/>
        </w:trPr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судебных исков, по которым осуществлена выплата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исп. лист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Среднегодовая численность получателей выплат за вред, причиненный жизни и здоровью, возложенных судом на государство, в случае прекращения деятельности юридического лица гражданам, достигшим 70-летнего возраста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конечного результата</w:t>
            </w:r>
          </w:p>
        </w:tc>
      </w:tr>
      <w:tr>
        <w:trPr>
          <w:trHeight w:val="825" w:hRule="atLeast"/>
        </w:trPr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государства по возмещению вреда потерпевшим, в случае прекращения деятельности юридического лица.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качества </w:t>
            </w:r>
          </w:p>
        </w:tc>
      </w:tr>
      <w:tr>
        <w:trPr>
          <w:trHeight w:val="285" w:hRule="atLeast"/>
        </w:trPr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исполнение судебных решений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эффективности</w:t>
            </w:r>
          </w:p>
        </w:tc>
      </w:tr>
      <w:tr>
        <w:trPr>
          <w:trHeight w:val="255" w:hRule="atLeast"/>
        </w:trPr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одной выплаты: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вред, причиненный жизни и здоровью, возложенный судом на государство</w:t>
            </w:r>
          </w:p>
        </w:tc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1 667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вред, причиненный жизни и здоровью, возложенный судом на государство, в случае прекращения деятельности юридического лица гражданам, достигшим 70-летнего возраста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24,6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250 428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301 152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372 127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386 133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427 602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5"/>
        <w:gridCol w:w="1050"/>
        <w:gridCol w:w="1183"/>
        <w:gridCol w:w="1271"/>
        <w:gridCol w:w="1095"/>
        <w:gridCol w:w="985"/>
        <w:gridCol w:w="1117"/>
        <w:gridCol w:w="897"/>
        <w:gridCol w:w="1317"/>
      </w:tblGrid>
      <w:tr>
        <w:trPr>
          <w:trHeight w:val="450" w:hRule="atLeast"/>
        </w:trPr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«Капитальные расходы Министерства труда и социальной защиты населения Республики Казахстан»</w:t>
            </w:r>
          </w:p>
        </w:tc>
      </w:tr>
      <w:tr>
        <w:trPr>
          <w:trHeight w:val="705" w:hRule="atLeast"/>
        </w:trPr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и информационно-техническое обеспечение центрального аппарата и территориальных органов Министерства</w:t>
            </w:r>
          </w:p>
        </w:tc>
      </w:tr>
      <w:tr>
        <w:trPr>
          <w:trHeight w:val="420" w:hRule="atLeast"/>
        </w:trPr>
        <w:tc>
          <w:tcPr>
            <w:tcW w:w="5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капитальных расходов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450" w:hRule="atLeast"/>
        </w:trPr>
        <w:tc>
          <w:tcPr>
            <w:tcW w:w="5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прямого результата</w:t>
            </w:r>
          </w:p>
        </w:tc>
      </w:tr>
      <w:tr>
        <w:trPr>
          <w:trHeight w:val="825" w:hRule="atLeast"/>
        </w:trPr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приобретенной вычислительной и информационной техники, бытовой техники, оргтехники, медицинского и прочего оборудования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приобретенной офисной мебели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приобретенных нематериальных активов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учреждений, которым необходимо провести капитальный ремонт здания, помещений и сооружений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конечного результата</w:t>
            </w:r>
          </w:p>
        </w:tc>
      </w:tr>
      <w:tr>
        <w:trPr>
          <w:trHeight w:val="525" w:hRule="atLeast"/>
        </w:trPr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оснащения государственного органа в области труда, занятости, социальной защиты населения: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материально-технического;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информационно-технического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завершение запланированного объема работ по капитальному ремонту в зданиях, помещениях и сооружениях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качества </w:t>
            </w:r>
          </w:p>
        </w:tc>
      </w:tr>
      <w:tr>
        <w:trPr>
          <w:trHeight w:val="645" w:hRule="atLeast"/>
        </w:trPr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работ, проведенных согласно строительным нормам и правилам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эффективности</w:t>
            </w:r>
          </w:p>
        </w:tc>
      </w:tr>
      <w:tr>
        <w:trPr>
          <w:trHeight w:val="660" w:hRule="atLeast"/>
        </w:trPr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парка вычислительной техники и серверного оборудования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затрат на капитальный ремонт зданий, помещений и сооружений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34,5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243 154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386 831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123 641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8"/>
        <w:gridCol w:w="1184"/>
        <w:gridCol w:w="1095"/>
        <w:gridCol w:w="1140"/>
        <w:gridCol w:w="974"/>
        <w:gridCol w:w="1074"/>
        <w:gridCol w:w="1034"/>
        <w:gridCol w:w="985"/>
        <w:gridCol w:w="1296"/>
      </w:tblGrid>
      <w:tr>
        <w:trPr>
          <w:trHeight w:val="540" w:hRule="atLeast"/>
        </w:trPr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«Капитальные расходы организаций социальной защиты на республиканском уровне» </w:t>
            </w:r>
          </w:p>
        </w:tc>
      </w:tr>
      <w:tr>
        <w:trPr>
          <w:trHeight w:val="690" w:hRule="atLeast"/>
        </w:trPr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и информационно-техническое обеспечение подведомственных организаций Министерства труда и социальной защиты населения Республики Казахстан</w:t>
            </w:r>
          </w:p>
        </w:tc>
      </w:tr>
      <w:tr>
        <w:trPr>
          <w:trHeight w:val="405" w:hRule="atLeast"/>
        </w:trPr>
        <w:tc>
          <w:tcPr>
            <w:tcW w:w="5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капитальных расходов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420" w:hRule="atLeast"/>
        </w:trPr>
        <w:tc>
          <w:tcPr>
            <w:tcW w:w="5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прямого результата</w:t>
            </w:r>
          </w:p>
        </w:tc>
      </w:tr>
      <w:tr>
        <w:trPr>
          <w:trHeight w:val="690" w:hRule="atLeast"/>
        </w:trPr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приобретенной вычислительной, информационной техники и прочего оборудования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приобретенной офисной мебели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1 197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приобретенных нематериальных активов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разработанной проектно-сметной документации на капитальный ремонт зданий, помещений и сооружений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конечного результата</w:t>
            </w:r>
          </w:p>
        </w:tc>
      </w:tr>
      <w:tr>
        <w:trPr>
          <w:trHeight w:val="840" w:hRule="atLeast"/>
        </w:trPr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оснащения государственного органа в области труда, занятости, социальной защиты и миграции населения: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материально-технического;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информационно-технического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завершение работ по составлению проектно-сметной документации по капитальному ремонту в зданиях, помещениях и сооружениях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качества 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эффективности</w:t>
            </w:r>
          </w:p>
        </w:tc>
      </w:tr>
      <w:tr>
        <w:trPr>
          <w:trHeight w:val="690" w:hRule="atLeast"/>
        </w:trPr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парка вычислительной техники и серверного оборудования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548 789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754 792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503 688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359 591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334 477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0"/>
        <w:gridCol w:w="1209"/>
        <w:gridCol w:w="1076"/>
        <w:gridCol w:w="1032"/>
        <w:gridCol w:w="1165"/>
        <w:gridCol w:w="1120"/>
        <w:gridCol w:w="1076"/>
        <w:gridCol w:w="966"/>
        <w:gridCol w:w="1056"/>
      </w:tblGrid>
      <w:tr>
        <w:trPr>
          <w:trHeight w:val="690" w:hRule="atLeast"/>
        </w:trPr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 «Услуги по методологическому обеспечению оказания инвалидам протезно-ортопедической помощи»</w:t>
            </w:r>
          </w:p>
        </w:tc>
      </w:tr>
      <w:tr>
        <w:trPr>
          <w:trHeight w:val="855" w:hRule="atLeast"/>
        </w:trPr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технической документации на новые виды изделий для протезно-ортопедических предприятий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опытно-экспериментальных работ по протезированию инвалидов со сложными, особо сложными и атипичными формами увечья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выявлению слабослышащих и тугоухих лиц, оказание им консультационной помощи</w:t>
            </w:r>
          </w:p>
        </w:tc>
      </w:tr>
      <w:tr>
        <w:trPr>
          <w:trHeight w:val="660" w:hRule="atLeast"/>
        </w:trPr>
        <w:tc>
          <w:tcPr>
            <w:tcW w:w="5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70" w:hRule="atLeast"/>
        </w:trPr>
        <w:tc>
          <w:tcPr>
            <w:tcW w:w="5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прямого результата</w:t>
            </w:r>
          </w:p>
        </w:tc>
      </w:tr>
      <w:tr>
        <w:trPr>
          <w:trHeight w:val="705" w:hRule="atLeast"/>
        </w:trPr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Протезирование инвалидов с особо сложными и атипичными видами увечья, а также первичное протезирование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стандартов в области протезостроения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Разработка технологических процессов на новые виды протезно-ортопедических изделий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Разработка технологических процессов на комплектующие изделия к протезам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Разработка новых видов протезно-ортопедических изделий для сложного и атипичного протезирования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Количество разработок и испытаний комплектующих изделий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Количество методических рекомендаций по протезированию, протезостроения и ортопедии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Разработка, испытание и внедрение протезно-ортопедических изделий, изготавливаемых по новейшим технологиям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Разработка методических рекомендаций по оказанию сурдологической помощи населению Республики Казахстан, слухопротезной помощи инвалидам, в том числе детям, проведению слухоречевой реабилитации инвалидам с нарушением слуха, в том числе инвалидам до и после кохлеарной имплантации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Выявление слабослышащих и тугоухих лиц, оказание консультационной помощи населению в городах Астане, Алматы и Южно-Казахстанской области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конечного результата</w:t>
            </w:r>
          </w:p>
        </w:tc>
      </w:tr>
      <w:tr>
        <w:trPr>
          <w:trHeight w:val="705" w:hRule="atLeast"/>
        </w:trPr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обеспеченности инвалидов протезно-ортопедической помощью к общему числу инвалидов, нуждающихся в протезировании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регистра лиц с нарушением слуха в городах Астане, Алматы и Южно-Казахстанской области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реабилитационного потенциала инвалидов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качества 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эффективности</w:t>
            </w:r>
          </w:p>
        </w:tc>
      </w:tr>
      <w:tr>
        <w:trPr>
          <w:trHeight w:val="195" w:hRule="atLeast"/>
        </w:trPr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Методологическое обеспечение в области протезирования и протезостроения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Методологическая обеспеченность регионов в области слухопротезирования и слухоречевой реабилитации Республики Казахстан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33 932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87 314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5"/>
        <w:gridCol w:w="1293"/>
        <w:gridCol w:w="1139"/>
        <w:gridCol w:w="1205"/>
        <w:gridCol w:w="1051"/>
        <w:gridCol w:w="963"/>
        <w:gridCol w:w="1073"/>
        <w:gridCol w:w="985"/>
        <w:gridCol w:w="986"/>
      </w:tblGrid>
      <w:tr>
        <w:trPr>
          <w:trHeight w:val="840" w:hRule="atLeast"/>
        </w:trPr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«Совершенствование системы социальной защиты лиц с ограниченными возможностями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ООН о правах инвалидов и развитие системы предоставления специальных социальных услуг»</w:t>
            </w:r>
          </w:p>
        </w:tc>
      </w:tr>
      <w:tr>
        <w:trPr>
          <w:trHeight w:val="705" w:hRule="atLeast"/>
        </w:trPr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системы социальной защиты лиц с ограниченными возможностями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ООН о правах инвалидов и развитие системы предоставления специальных социальных услуг</w:t>
            </w:r>
          </w:p>
        </w:tc>
      </w:tr>
      <w:tr>
        <w:trPr>
          <w:trHeight w:val="705" w:hRule="atLeast"/>
        </w:trPr>
        <w:tc>
          <w:tcPr>
            <w:tcW w:w="5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555" w:hRule="atLeast"/>
        </w:trPr>
        <w:tc>
          <w:tcPr>
            <w:tcW w:w="5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прямого результата</w:t>
            </w:r>
          </w:p>
        </w:tc>
      </w:tr>
      <w:tr>
        <w:trPr>
          <w:trHeight w:val="390" w:hRule="atLeast"/>
        </w:trPr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научно-практических исследований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Семинары, круглые столы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00" w:hRule="atLeast"/>
        </w:trPr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телевизионных передач, статей, тематических публикаций и обучающих материалов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конечного результата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национального плана действий на долгосрочную перспективу по обеспечению прав и улучшению качества жизни людей с ограниченными возможностями</w:t>
            </w:r>
          </w:p>
        </w:tc>
      </w:tr>
      <w:tr>
        <w:trPr>
          <w:trHeight w:val="435" w:hRule="atLeast"/>
        </w:trPr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качества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05" w:hRule="atLeast"/>
        </w:trPr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05" w:hRule="atLeast"/>
        </w:trPr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6"/>
        <w:gridCol w:w="1172"/>
        <w:gridCol w:w="1194"/>
        <w:gridCol w:w="1214"/>
        <w:gridCol w:w="1154"/>
        <w:gridCol w:w="1014"/>
        <w:gridCol w:w="955"/>
        <w:gridCol w:w="998"/>
        <w:gridCol w:w="933"/>
      </w:tblGrid>
      <w:tr>
        <w:trPr>
          <w:trHeight w:val="705" w:hRule="atLeast"/>
        </w:trPr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«Кредитование областных бюджетов на содействие развитию предпринимательства на селе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 занятости 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</w:p>
        </w:tc>
      </w:tr>
      <w:tr>
        <w:trPr>
          <w:trHeight w:val="705" w:hRule="atLeast"/>
        </w:trPr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областным бюджетам на содействие развитию предпринимательства на селе в рамках Дорожной карты занятости 2020</w:t>
            </w:r>
          </w:p>
        </w:tc>
      </w:tr>
      <w:tr>
        <w:trPr>
          <w:trHeight w:val="390" w:hRule="atLeast"/>
        </w:trPr>
        <w:tc>
          <w:tcPr>
            <w:tcW w:w="5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570" w:hRule="atLeast"/>
        </w:trPr>
        <w:tc>
          <w:tcPr>
            <w:tcW w:w="5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525" w:hRule="atLeast"/>
        </w:trPr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прямого результата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выданных микрокредитов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ед.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6,6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12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конечного результата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участников Дорожной карты занятости, обратившихся за микрокредитованием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качества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Максимальное выделение средств микрокредитной линии в пределах средств, предусмотренных республиканским бюджетом на соответствующий год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микрокредита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2 096,2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1 698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12 368 305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23 939 403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20 634 238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23 926 357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25 601 202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3"/>
        <w:gridCol w:w="1098"/>
        <w:gridCol w:w="1209"/>
        <w:gridCol w:w="1143"/>
        <w:gridCol w:w="1209"/>
        <w:gridCol w:w="943"/>
        <w:gridCol w:w="988"/>
        <w:gridCol w:w="988"/>
        <w:gridCol w:w="879"/>
      </w:tblGrid>
      <w:tr>
        <w:trPr>
          <w:trHeight w:val="690" w:hRule="atLeast"/>
        </w:trPr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«Совершенствование системы социальной защиты населения в соответствии с международными стандартами»</w:t>
            </w:r>
          </w:p>
        </w:tc>
      </w:tr>
      <w:tr>
        <w:trPr>
          <w:trHeight w:val="405" w:hRule="atLeast"/>
        </w:trPr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системы социальной защиты населения в соответствии с международными стандартами</w:t>
            </w:r>
          </w:p>
        </w:tc>
      </w:tr>
      <w:tr>
        <w:trPr>
          <w:trHeight w:val="585" w:hRule="atLeast"/>
        </w:trPr>
        <w:tc>
          <w:tcPr>
            <w:tcW w:w="5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405" w:hRule="atLeast"/>
        </w:trPr>
        <w:tc>
          <w:tcPr>
            <w:tcW w:w="5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75" w:hRule="atLeast"/>
        </w:trPr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прямого результата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научно-практических исследований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Семинары, круглые столы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телевизионных передач, статей, тематических публикаций и обучающих материалов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конечного результата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Поэтапная реализация проекта «Совершенствование системы социальной защиты населения в соответствии с международными стандартами»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качества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27 473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42 843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32 195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9"/>
        <w:gridCol w:w="1042"/>
        <w:gridCol w:w="1085"/>
        <w:gridCol w:w="1300"/>
        <w:gridCol w:w="1004"/>
        <w:gridCol w:w="982"/>
        <w:gridCol w:w="917"/>
        <w:gridCol w:w="957"/>
        <w:gridCol w:w="1044"/>
      </w:tblGrid>
      <w:tr>
        <w:trPr>
          <w:trHeight w:val="555" w:hRule="atLeast"/>
        </w:trPr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 «Переселение на историческую родину и первичная адаптация оралманов»</w:t>
            </w:r>
          </w:p>
        </w:tc>
      </w:tr>
      <w:tr>
        <w:trPr>
          <w:trHeight w:val="420" w:hRule="atLeast"/>
        </w:trPr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условий для интеграции оралманов в новые общественные условия</w:t>
            </w:r>
          </w:p>
        </w:tc>
      </w:tr>
      <w:tr>
        <w:trPr>
          <w:trHeight w:val="555" w:hRule="atLeast"/>
        </w:trPr>
        <w:tc>
          <w:tcPr>
            <w:tcW w:w="5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555" w:hRule="atLeast"/>
        </w:trPr>
        <w:tc>
          <w:tcPr>
            <w:tcW w:w="5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90" w:hRule="atLeast"/>
        </w:trPr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прямого результата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оралманов, охваченных услугами первичной адаптации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конечного результата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оралманов, охваченных профессиональной подготовкой и переподготовкой Центрами адаптации и интеграции оралманов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качества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оказание адаптационных услуг на одного оралмана в год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40 621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5"/>
        <w:gridCol w:w="1175"/>
        <w:gridCol w:w="1088"/>
        <w:gridCol w:w="1176"/>
        <w:gridCol w:w="1022"/>
        <w:gridCol w:w="1022"/>
        <w:gridCol w:w="979"/>
        <w:gridCol w:w="825"/>
        <w:gridCol w:w="1068"/>
      </w:tblGrid>
      <w:tr>
        <w:trPr>
          <w:trHeight w:val="540" w:hRule="atLeast"/>
        </w:trPr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 «Услуги по повышению квалификации кадров социально-трудовой сферы»</w:t>
            </w:r>
          </w:p>
        </w:tc>
      </w:tr>
      <w:tr>
        <w:trPr>
          <w:trHeight w:val="720" w:hRule="atLeast"/>
        </w:trPr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услуг по повышению квалификации работников территориальных органов в социально-трудовой сфере </w:t>
            </w:r>
          </w:p>
        </w:tc>
      </w:tr>
      <w:tr>
        <w:trPr>
          <w:trHeight w:val="705" w:hRule="atLeast"/>
        </w:trPr>
        <w:tc>
          <w:tcPr>
            <w:tcW w:w="5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75" w:hRule="atLeast"/>
        </w:trPr>
        <w:tc>
          <w:tcPr>
            <w:tcW w:w="5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525" w:hRule="atLeast"/>
        </w:trPr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прямого результата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работников, прошедших повышение квалификации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конечного результата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условий для повышения квалификации кадров социально-трудовой сферы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качества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обучения одного работника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57 439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54 740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32 170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33 894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3"/>
        <w:gridCol w:w="3443"/>
        <w:gridCol w:w="1033"/>
        <w:gridCol w:w="1033"/>
        <w:gridCol w:w="1033"/>
        <w:gridCol w:w="1033"/>
        <w:gridCol w:w="1033"/>
        <w:gridCol w:w="1033"/>
        <w:gridCol w:w="1033"/>
        <w:gridCol w:w="1033"/>
      </w:tblGrid>
      <w:tr>
        <w:trPr>
          <w:trHeight w:val="54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 «Целевые текущие трансферты областным бюджетам, бюджетам городов Астаны и Алматы на выплату государственной адресной социальной помощи»</w:t>
            </w:r>
          </w:p>
        </w:tc>
      </w:tr>
      <w:tr>
        <w:trPr>
          <w:trHeight w:val="30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лиц (семей) с доходами ниже черты бедности </w:t>
            </w:r>
          </w:p>
        </w:tc>
      </w:tr>
      <w:tr>
        <w:trPr>
          <w:trHeight w:val="570" w:hRule="atLeast"/>
        </w:trPr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прямого результата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 адресной социальной помощи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60 тыс.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перечисление целевых текущих трансфертов областным бюджетам, бюджетам городов Астаны и Алматы на выплату государственной адресной социальной помощи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предоставление адресной социальной помощи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1 513 182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3"/>
        <w:gridCol w:w="6"/>
        <w:gridCol w:w="993"/>
        <w:gridCol w:w="833"/>
        <w:gridCol w:w="2327"/>
        <w:gridCol w:w="2003"/>
        <w:gridCol w:w="1033"/>
        <w:gridCol w:w="1033"/>
        <w:gridCol w:w="1033"/>
        <w:gridCol w:w="1033"/>
        <w:gridCol w:w="1033"/>
      </w:tblGrid>
      <w:tr>
        <w:trPr>
          <w:trHeight w:val="54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 «Целевые текущие трансферты областным бюджетам, бюджетам городов Астаны и Алматы на выплату государственных пособий на детей до 18 лет»</w:t>
            </w:r>
          </w:p>
        </w:tc>
      </w:tr>
      <w:tr>
        <w:trPr>
          <w:trHeight w:val="60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семей, имеющих детей до 18 лет, с доходами ниже стоимости продовольственной корзины </w:t>
            </w:r>
          </w:p>
        </w:tc>
      </w:tr>
      <w:tr>
        <w:trPr>
          <w:trHeight w:val="570" w:hRule="atLeast"/>
        </w:trPr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прямого результата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 государственных пособий на детей до 18 лет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500 тыс.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перечисление целевых текущих трансфертов областным бюджетам, бюджетам городов Астаны и Алматы на выплату государственной адресной социальной помощи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предоставление государственных пособий на детей до 18 лет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645 158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0"/>
        <w:gridCol w:w="1197"/>
        <w:gridCol w:w="1046"/>
        <w:gridCol w:w="1219"/>
        <w:gridCol w:w="1198"/>
        <w:gridCol w:w="847"/>
        <w:gridCol w:w="1000"/>
        <w:gridCol w:w="803"/>
        <w:gridCol w:w="1090"/>
      </w:tblGrid>
      <w:tr>
        <w:trPr>
          <w:trHeight w:val="840" w:hRule="atLeast"/>
        </w:trPr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 «Развитие автоматизированной информационной системы Государственного центра по выплате пенсий и Единой информационной системы социально-трудовой сферы»</w:t>
            </w:r>
          </w:p>
        </w:tc>
      </w:tr>
      <w:tr>
        <w:trPr>
          <w:trHeight w:val="825" w:hRule="atLeast"/>
        </w:trPr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автоматизированной информационной системы ГЦВП и Единой информационной системы социально-трудовой сферы с оказанием услуг в рамках реализации</w:t>
            </w:r>
          </w:p>
        </w:tc>
      </w:tr>
      <w:tr>
        <w:trPr>
          <w:trHeight w:val="195" w:hRule="atLeast"/>
        </w:trPr>
        <w:tc>
          <w:tcPr>
            <w:tcW w:w="5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270" w:hRule="atLeast"/>
        </w:trPr>
        <w:tc>
          <w:tcPr>
            <w:tcW w:w="5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60" w:hRule="atLeast"/>
        </w:trPr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прямого результата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реализованных интеграций с сервисами ИС ГО в рамках оптимизации бизнес-процессов оказания государственных услуг и перевода их в электронный формат посредством портала электронного правительства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услуг, введенных в опытную эксплуатацию через реализацию функционала интеграции взаимодействия АИС ГЦВП, ЕИССТС и ИИС ЦОН в части приема – передачи документов между ГО и ЦОН в электронном формате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конечного результата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электронных государственных услуг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3*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электронных услуг автоматизированных посредством ПЭП, введенных в опытную эксплуатацию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качества 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оказания государственной услуги для назначения государственной выплаты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156 000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4"/>
        <w:gridCol w:w="1334"/>
        <w:gridCol w:w="1052"/>
        <w:gridCol w:w="1118"/>
        <w:gridCol w:w="1247"/>
        <w:gridCol w:w="1031"/>
        <w:gridCol w:w="945"/>
        <w:gridCol w:w="731"/>
        <w:gridCol w:w="1098"/>
      </w:tblGrid>
      <w:tr>
        <w:trPr>
          <w:trHeight w:val="840" w:hRule="atLeast"/>
        </w:trPr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 «Целевые текущие трансферты областному бюджету Восточно-Казахстанской области на содержание вновь вводимых объектов социального обеспечения»</w:t>
            </w:r>
          </w:p>
        </w:tc>
      </w:tr>
      <w:tr>
        <w:trPr>
          <w:trHeight w:val="540" w:hRule="atLeast"/>
        </w:trPr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социального обеспечения</w:t>
            </w:r>
          </w:p>
        </w:tc>
      </w:tr>
      <w:tr>
        <w:trPr>
          <w:trHeight w:val="570" w:hRule="atLeast"/>
        </w:trPr>
        <w:tc>
          <w:tcPr>
            <w:tcW w:w="5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420" w:hRule="atLeast"/>
        </w:trPr>
        <w:tc>
          <w:tcPr>
            <w:tcW w:w="5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540" w:hRule="atLeast"/>
        </w:trPr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соуиального обеспечения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конечного результат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перечисление целевых текущих трансфертов из республиканского бюджета областному бюджету Восточно-Казахстанской области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качества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71 319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3"/>
        <w:gridCol w:w="1053"/>
        <w:gridCol w:w="1053"/>
        <w:gridCol w:w="1075"/>
        <w:gridCol w:w="1186"/>
        <w:gridCol w:w="1297"/>
        <w:gridCol w:w="1142"/>
        <w:gridCol w:w="768"/>
        <w:gridCol w:w="1033"/>
      </w:tblGrid>
      <w:tr>
        <w:trPr>
          <w:trHeight w:val="690" w:hRule="atLeast"/>
        </w:trPr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 «Оказание протезно-ортопедической и сурдологической помощи на республиканском уровне»</w:t>
            </w:r>
          </w:p>
        </w:tc>
      </w:tr>
      <w:tr>
        <w:trPr>
          <w:trHeight w:val="435" w:hRule="atLeast"/>
        </w:trPr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Методологическое обеспечение по оказанию инвалидам протезно-ортопедической помощи, в том числе предоставление протезно-ортопедической помощи;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выявлению cлабослышащих и тугоухих лиц, оказание консультативной помощи по регионам страны;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слухоречевая адаптация детей с нарушением слуха после кохлеарной имплантации.</w:t>
            </w:r>
          </w:p>
        </w:tc>
      </w:tr>
      <w:tr>
        <w:trPr>
          <w:trHeight w:val="660" w:hRule="atLeast"/>
        </w:trPr>
        <w:tc>
          <w:tcPr>
            <w:tcW w:w="5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70" w:hRule="atLeast"/>
        </w:trPr>
        <w:tc>
          <w:tcPr>
            <w:tcW w:w="5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35" w:hRule="atLeast"/>
        </w:trPr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прямого результата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Протезирование инвалидов с особо сложными и атипичными видами увечья, а также первичное протезирование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стандартов в области протезостроения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Разработка технологических процессов на новые виды протезно-ортопедических изделий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Количество методических рекомендаций по протезированию, протезостроения и ортопедии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Разработка, испытание и внедрение протезно-ортопедических изделий, изготавливаемых по новейшим технологиям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Выявление слабослышащих и тугоухих лиц, оказание консультационной помощи населению Мангистауской, Атырауской, Северо-Казахстанской, Кызылординской и Павлодарской областей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Выявление слабослышащих и тугоухих лиц, оказание консультационной помощи населению Восточно-Казахстанской, Костанайской, Актюбинской и Жамбылской областей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Выявление слабослышащих и тугоухих лиц, оказание консультационной помощи населению Акмолинской, Алматинской, Западно-Казахстанской и Карагандинской областей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Количество детей-инвалидов с нарушением слуха после кохлеарной имплантации, которым будет оказана слухоречевая реабилитация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конечного результата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обеспеченности инвалидов протезно-ортопедической помощью к общему числу инвалидов, нуждающихся в протезировании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регистра лиц с нарушением слуха в Мангистауской, Атырауской, Северо-Казахстанской, Кызылординской, Павлодарской областях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регистра лиц с нарушением слуха в Восточно-Казахстанской, Костанайской, Актюбинской и Жамбылской областях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регистра лиц с нарушением слуха в Акмолинской, Алматинской, Западно-Казахстанской и Карагандинской областях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охвата слухоречевой реабилитацией детей-инвалидов с нарушением слуха после кохлеарной имплантации, из числа обратившихся за реабилитацией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качества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Методологическое обеспечение в области протезирования и протезостроения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173 127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172 076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175 470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1"/>
        <w:gridCol w:w="1202"/>
        <w:gridCol w:w="1026"/>
        <w:gridCol w:w="1026"/>
        <w:gridCol w:w="1270"/>
        <w:gridCol w:w="1110"/>
        <w:gridCol w:w="1051"/>
        <w:gridCol w:w="916"/>
        <w:gridCol w:w="1028"/>
      </w:tblGrid>
      <w:tr>
        <w:trPr>
          <w:trHeight w:val="705" w:hRule="atLeast"/>
        </w:trPr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 «Целевые текущие трансферты областным бюджетам, бюджетам городов Астаны и Алматы на оказание социальной защиты и помощи населению</w:t>
            </w:r>
          </w:p>
        </w:tc>
      </w:tr>
      <w:tr>
        <w:trPr>
          <w:trHeight w:val="1110" w:hRule="atLeast"/>
        </w:trPr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обусловленной денежной помощи по проекту «Өрлеу» </w:t>
            </w:r>
          </w:p>
        </w:tc>
      </w:tr>
      <w:tr>
        <w:trPr>
          <w:trHeight w:val="405" w:hRule="atLeast"/>
        </w:trPr>
        <w:tc>
          <w:tcPr>
            <w:tcW w:w="5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405" w:hRule="atLeast"/>
        </w:trPr>
        <w:tc>
          <w:tcPr>
            <w:tcW w:w="5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50" w:hRule="atLeast"/>
        </w:trPr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прямого результата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Доступность инфраструктуры: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дорожные знаки и указатели;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пешеходные переходы со звуковыми и световыми устройствами;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субтитрование новостных лент на телевизионных каналах;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специальные службы «Инватакси» 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65" w:hRule="atLeast"/>
        </w:trPr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граждан, охваченных специальными социальными услугами в центрах социальной адаптации для лиц без определенного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граждан, охваченных специальными социальными услугами в неправительственном секторе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семей охваченных обусловленными денежными выплатами из числа семей получателей АСП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семей охваченных обусловленными денежными выплатами из числа семей получателей ГДП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конечного результата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Своевременное обеспечение доступа к объектам инфраструктуры 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предоставление специальных социальных услуг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малообеспеченных семей обусловленными денежными выплатами из числа обратившихся за выплатами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качества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стандартам оказания специальных социальных услуг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услуги на одного человека в день за счет целевых трансфертов в центрах социальной адаптации для лиц без определенного места жительства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услуг неправительственными организациями на одного человека в день за счет целевых трансфертов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доли получателей ОДП вовлеченных в активные формы занятости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3 463 140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3 831 386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2 216 282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6"/>
        <w:gridCol w:w="1010"/>
        <w:gridCol w:w="1262"/>
        <w:gridCol w:w="1263"/>
        <w:gridCol w:w="1268"/>
        <w:gridCol w:w="1268"/>
        <w:gridCol w:w="1269"/>
        <w:gridCol w:w="1061"/>
        <w:gridCol w:w="1013"/>
      </w:tblGrid>
      <w:tr>
        <w:trPr>
          <w:trHeight w:val="555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 «Строительство и реконструкция объектов социального обеспечения»</w:t>
            </w:r>
          </w:p>
        </w:tc>
      </w:tr>
      <w:tr>
        <w:trPr>
          <w:trHeight w:val="975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на строительство здания Республиканского государственного казенного предприятия «Республиканский центр коррекции слуха Министерства труда и социальной защиты населения Республики Казахстан» </w:t>
            </w:r>
          </w:p>
        </w:tc>
      </w:tr>
      <w:tr>
        <w:trPr>
          <w:trHeight w:val="195" w:hRule="atLeast"/>
        </w:trPr>
        <w:tc>
          <w:tcPr>
            <w:tcW w:w="4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270" w:hRule="atLeast"/>
        </w:trPr>
        <w:tc>
          <w:tcPr>
            <w:tcW w:w="4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6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прямого результата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на строительство здания Республиканского государственного казенного предприятия «Республиканский центр коррекции слуха Министерства труда и социальной защиты населения Республики Казахстан», проведение государственной экспертизы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Своевременное завершение работ по составлению проектно-сметной документации на строительство здания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1"/>
        <w:gridCol w:w="1178"/>
        <w:gridCol w:w="1042"/>
        <w:gridCol w:w="1082"/>
        <w:gridCol w:w="1262"/>
        <w:gridCol w:w="1182"/>
        <w:gridCol w:w="983"/>
        <w:gridCol w:w="894"/>
        <w:gridCol w:w="1026"/>
      </w:tblGrid>
      <w:tr>
        <w:trPr>
          <w:trHeight w:val="555" w:hRule="atLeast"/>
        </w:trPr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«Реализация мероприятий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 занятости 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</w:p>
        </w:tc>
      </w:tr>
      <w:tr>
        <w:trPr>
          <w:trHeight w:val="705" w:hRule="atLeast"/>
        </w:trPr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за счет развития инфраструктуры и жилищно–коммунального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рабочих мест через развитие предпринимательства и развития опорных сел;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трудоустройстве через обучение и переселение в рамках потребностей работодателя</w:t>
            </w:r>
          </w:p>
        </w:tc>
      </w:tr>
      <w:tr>
        <w:trPr>
          <w:trHeight w:val="420" w:hRule="atLeast"/>
        </w:trPr>
        <w:tc>
          <w:tcPr>
            <w:tcW w:w="5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распределяемая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165" w:hRule="atLeast"/>
        </w:trPr>
        <w:tc>
          <w:tcPr>
            <w:tcW w:w="5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510" w:hRule="atLeast"/>
        </w:trPr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прямого результата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 участников по направлениям: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и содействие в трудоустройстве;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115 623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84 235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59 919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48 226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38 777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рабочих мест через развитие предпринимательства и опорных сел;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мобильности трудовых ресурсов в рамках потребности работодателя;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за счет развития инфраструктуры и жилищно-коммунального хозяйства.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23 234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21 852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19 276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27 586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 гражданских служащих центров занятости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конечного результата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Охват участников,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 занятости 2020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Своевременное оказание услуг участникам Дорожной карты занятости 2020, обратившимся в Центры занятости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качества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45 278 878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78 956 038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77 108 739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70 625 573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70 137 201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5"/>
        <w:gridCol w:w="1056"/>
        <w:gridCol w:w="1186"/>
        <w:gridCol w:w="1016"/>
        <w:gridCol w:w="1251"/>
        <w:gridCol w:w="1121"/>
        <w:gridCol w:w="969"/>
        <w:gridCol w:w="948"/>
        <w:gridCol w:w="1058"/>
      </w:tblGrid>
      <w:tr>
        <w:trPr>
          <w:trHeight w:val="435" w:hRule="atLeast"/>
        </w:trPr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«Разработка профессиональных стандартов»</w:t>
            </w:r>
          </w:p>
        </w:tc>
      </w:tr>
      <w:tr>
        <w:trPr>
          <w:trHeight w:val="420" w:hRule="atLeast"/>
        </w:trPr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профессиональных стандартов</w:t>
            </w:r>
          </w:p>
        </w:tc>
      </w:tr>
      <w:tr>
        <w:trPr>
          <w:trHeight w:val="540" w:hRule="atLeast"/>
        </w:trPr>
        <w:tc>
          <w:tcPr>
            <w:tcW w:w="5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распределяемая 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70" w:hRule="atLeast"/>
        </w:trPr>
        <w:tc>
          <w:tcPr>
            <w:tcW w:w="5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прямого результата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профессиональных стандартов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конечного результата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разработанных профессиональных стандартов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качества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Методологическое и нормативное обеспечение (разработанные методические рекомендации, методики, стандарты, нормативы и нормы)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Средний размер стоимости одного профессионального стандарта 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1026,2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1125,2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180 611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134 400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252 054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Свод бюджетных расходов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Подраздел с изменениями, внесенными постановлением Правительства РК от 12.06.2014 </w:t>
      </w:r>
      <w:r>
        <w:rPr>
          <w:rFonts w:ascii="Times New Roman"/>
          <w:b w:val="false"/>
          <w:i w:val="false"/>
          <w:color w:val="ff0000"/>
          <w:sz w:val="28"/>
        </w:rPr>
        <w:t>№ 643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3125"/>
        <w:gridCol w:w="1141"/>
        <w:gridCol w:w="1318"/>
        <w:gridCol w:w="1538"/>
        <w:gridCol w:w="1338"/>
        <w:gridCol w:w="1338"/>
        <w:gridCol w:w="1159"/>
        <w:gridCol w:w="1121"/>
        <w:gridCol w:w="972"/>
      </w:tblGrid>
      <w:tr>
        <w:trPr>
          <w:trHeight w:val="42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бюджетных расходов: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1 192 321 587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1 353 011 410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1 539 086 493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1 620 922 175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1 771 498 284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Текущие бюджетные программы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1 178 777 008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1 327 020 219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1 517 217 459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1 596 995 818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1 745 897 082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государственной политики в области труда, занятости, социальной защиты и миграции населения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2 969 148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3 356 395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2 996 138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2 779 680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2 806 229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отдельных категорий граждан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974 083 479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1 076 767 304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1 245 957 339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1 326 377 047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1 463 440 993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государственные пособия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75 610 203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80 549 228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89 333 938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90 264 820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96 103 428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Единовременные государственные денежные компенсации отдельным категориям граждан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80 689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51 426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45 298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38 651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семьям, имеющим детей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57 383 792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64 308 502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73 333 744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78 810 962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85 715 061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оралманам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155 329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73 197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79 009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информационно-аналитическому обеспечению по базе занятости и бедности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142 912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245 855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282 693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281 131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256 386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областным бюджетам, бюджетам городов Астаны и Алматы на предоставление специальных социальных услуг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2 109 347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2 267 944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выплаты пенсий и пособий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18 613 709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18 377 833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21 083 216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22 728 339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24 166 507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за вред, причиненный жизни и здоровью, возложенное судом на государство в случае прекращения деятельности юридического лица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250 428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301 152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372 127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386 133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427 602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Министерства труда и социальной защиты населения РК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243 154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386 831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123 641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44 901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организаций социальной защиты на республиканском уровне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548 789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754 792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503 688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359 591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334 477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методологическому обеспечению оказания инвалидам протезно-ортопедической помощи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87 314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системы социальной защиты лиц с ограниченными возможностями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Конвенции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ООН о правах инвалидов и развитие системы предоставления специальных социальных услуг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системы социальной защиты населения в соответствии с международными стандартами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42 843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32 195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Переселение на историческую родину и первичная адаптация оралманов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40 621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повышению квалификации кадров социально-трудовой сферы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30 559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32 170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33 894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Астана и Алматы на выплату государственной адресной социальной помощи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1 513 182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выплату государственных пособий на детей до 18 лет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645 158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областному бюджету Восточно-Казахстанской области на содержание вновь вводимых объектов социального обеспечения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71 319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протезно-ортопедической и сурдологической помощи на республиканском уровне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173 127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172 076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175 470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оказание социальной защиты и помощи населению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3 463 140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3 831 386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2 216 282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 занятости 2020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45 278 878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78 956 038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77 108 739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70 625 573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70 137 201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профессиональных стандартов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180 611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134 400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252 054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Бюджетные программы развития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13 544 579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25 991 191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21 869 034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23 926 357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25 601 202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8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социального обеспечения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1 020 274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1 976 788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1 179 000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8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областных бюджетов на содействие развитию предпринимательства на селе в рамках Дорожной карты занятости 2020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12 368 305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23 939 403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20 634 238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23 926 357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25 601 202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автоматизированной информационной системы Государственного центра по выплате пенсий и Единой информационной системы социально-трудовой сферы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37 796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 услуги Министерства труда и социальной защиты населения Республики Казахстан.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