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2eb5" w14:textId="f2f2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окружающей среды и водных ресурсов Республики Казахстан на 2014 - 2018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1592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окружающей среды и водных ресурсов Республики Казахстан на 2014 - 2018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1592</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окружающей среды и водных ресурсов Республики</w:t>
      </w:r>
      <w:r>
        <w:br/>
      </w:r>
      <w:r>
        <w:rPr>
          <w:rFonts w:ascii="Times New Roman"/>
          <w:b/>
          <w:i w:val="false"/>
          <w:color w:val="000000"/>
        </w:rPr>
        <w:t>
Казахстан на 2014 – 2018 годы</w:t>
      </w:r>
    </w:p>
    <w:bookmarkEnd w:id="2"/>
    <w:bookmarkStart w:name="z6" w:id="3"/>
    <w:p>
      <w:pPr>
        <w:spacing w:after="0"/>
        <w:ind w:left="0"/>
        <w:jc w:val="left"/>
      </w:pPr>
      <w:r>
        <w:rPr>
          <w:rFonts w:ascii="Times New Roman"/>
          <w:b/>
          <w:i w:val="false"/>
          <w:color w:val="000000"/>
        </w:rPr>
        <w:t xml:space="preserve"> 
Содержание</w:t>
      </w:r>
    </w:p>
    <w:bookmarkEnd w:id="3"/>
    <w:bookmarkStart w:name="z7" w:id="4"/>
    <w:p>
      <w:pPr>
        <w:spacing w:after="0"/>
        <w:ind w:left="0"/>
        <w:jc w:val="both"/>
      </w:pPr>
      <w:r>
        <w:rPr>
          <w:rFonts w:ascii="Times New Roman"/>
          <w:b w:val="false"/>
          <w:i w:val="false"/>
          <w:color w:val="000000"/>
          <w:sz w:val="28"/>
        </w:rPr>
        <w:t>
1. </w:t>
      </w:r>
      <w:r>
        <w:rPr>
          <w:rFonts w:ascii="Times New Roman"/>
          <w:b w:val="false"/>
          <w:i w:val="false"/>
          <w:color w:val="000000"/>
          <w:sz w:val="28"/>
        </w:rPr>
        <w:t>Миссия и видение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Анализ текущей ситуации и тенденции развития соответствующих отраслей (сфер) деятельности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Управление рисками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Бюджетные программы</w:t>
      </w:r>
    </w:p>
    <w:bookmarkEnd w:id="4"/>
    <w:bookmarkStart w:name="z18" w:id="5"/>
    <w:p>
      <w:pPr>
        <w:spacing w:after="0"/>
        <w:ind w:left="0"/>
        <w:jc w:val="left"/>
      </w:pPr>
      <w:r>
        <w:rPr>
          <w:rFonts w:ascii="Times New Roman"/>
          <w:b/>
          <w:i w:val="false"/>
          <w:color w:val="000000"/>
        </w:rPr>
        <w:t xml:space="preserve"> 
Раздел 1. Миссия и видение</w:t>
      </w:r>
    </w:p>
    <w:bookmarkEnd w:id="5"/>
    <w:bookmarkStart w:name="z14" w:id="6"/>
    <w:p>
      <w:pPr>
        <w:spacing w:after="0"/>
        <w:ind w:left="0"/>
        <w:jc w:val="both"/>
      </w:pPr>
      <w:r>
        <w:rPr>
          <w:rFonts w:ascii="Times New Roman"/>
          <w:b w:val="false"/>
          <w:i w:val="false"/>
          <w:color w:val="000000"/>
          <w:sz w:val="28"/>
        </w:rPr>
        <w:t>
      Миссия: создание условий по сохранению, восстановлению и улучшению качества окружающей среды с учетом тенденций изменения климата, сохранению биологического разнообразия, водообеспечению отраслей экономики и окружающей среды, обеспечению перехода Республики Казахстан к низкоуглеродному развитию и «зеленой» экономике для повышения благосостояния, качества жизни населения при минимизации нагрузки на окружающую среду и деградации природных ресурсов посредством интеграции экономических, социальных и природоохранных аспектов.</w:t>
      </w:r>
      <w:r>
        <w:br/>
      </w:r>
      <w:r>
        <w:rPr>
          <w:rFonts w:ascii="Times New Roman"/>
          <w:b w:val="false"/>
          <w:i w:val="false"/>
          <w:color w:val="000000"/>
          <w:sz w:val="28"/>
        </w:rPr>
        <w:t>
</w:t>
      </w:r>
      <w:r>
        <w:rPr>
          <w:rFonts w:ascii="Times New Roman"/>
          <w:b w:val="false"/>
          <w:i w:val="false"/>
          <w:color w:val="000000"/>
          <w:sz w:val="28"/>
        </w:rPr>
        <w:t>
      Видение: благоприятная окружающая среда, бережное и рациональное использование природных ресурсов в интересах нынешнего и будущих поколений, обеспечение экологической безопасности для жизни и здоровья человека, экономики.</w:t>
      </w:r>
    </w:p>
    <w:bookmarkEnd w:id="6"/>
    <w:bookmarkStart w:name="z17" w:id="7"/>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сфер деятельности</w:t>
      </w:r>
    </w:p>
    <w:bookmarkEnd w:id="7"/>
    <w:p>
      <w:pPr>
        <w:spacing w:after="0"/>
        <w:ind w:left="0"/>
        <w:jc w:val="both"/>
      </w:pPr>
      <w:r>
        <w:rPr>
          <w:rFonts w:ascii="Times New Roman"/>
          <w:b w:val="false"/>
          <w:i w:val="false"/>
          <w:color w:val="ff0000"/>
          <w:sz w:val="28"/>
        </w:rPr>
        <w:t xml:space="preserve">      Сноска. Раздел 2 с изменениями, внесенными постановлением Правительства РК от 08.07.2014 </w:t>
      </w:r>
      <w:r>
        <w:rPr>
          <w:rFonts w:ascii="Times New Roman"/>
          <w:b w:val="false"/>
          <w:i w:val="false"/>
          <w:color w:val="ff0000"/>
          <w:sz w:val="28"/>
        </w:rPr>
        <w:t>№ 779</w:t>
      </w:r>
      <w:r>
        <w:rPr>
          <w:rFonts w:ascii="Times New Roman"/>
          <w:b w:val="false"/>
          <w:i w:val="false"/>
          <w:color w:val="ff0000"/>
          <w:sz w:val="28"/>
        </w:rPr>
        <w:t>.</w:t>
      </w:r>
    </w:p>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1. Стратегическое направление 1. Стабилизация и улучшение качества окружающей среды</w:t>
      </w:r>
      <w:r>
        <w:br/>
      </w:r>
      <w:r>
        <w:rPr>
          <w:rFonts w:ascii="Times New Roman"/>
          <w:b w:val="false"/>
          <w:i w:val="false"/>
          <w:color w:val="000000"/>
          <w:sz w:val="28"/>
        </w:rPr>
        <w:t>
</w:t>
      </w:r>
      <w:r>
        <w:rPr>
          <w:rFonts w:ascii="Times New Roman"/>
          <w:b w:val="false"/>
          <w:i w:val="false"/>
          <w:color w:val="ff0000"/>
          <w:sz w:val="28"/>
        </w:rPr>
        <w:t xml:space="preserve">      Сноска. Подраздел 1 с изменениями, внесенными постановлением Правительства РК от 08.07.2014 </w:t>
      </w:r>
      <w:r>
        <w:rPr>
          <w:rFonts w:ascii="Times New Roman"/>
          <w:b w:val="false"/>
          <w:i w:val="false"/>
          <w:color w:val="000000"/>
          <w:sz w:val="28"/>
        </w:rPr>
        <w:t>№ 779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Эмиссии в окружающую среду.</w:t>
      </w:r>
      <w:r>
        <w:br/>
      </w:r>
      <w:r>
        <w:rPr>
          <w:rFonts w:ascii="Times New Roman"/>
          <w:b w:val="false"/>
          <w:i w:val="false"/>
          <w:color w:val="000000"/>
          <w:sz w:val="28"/>
        </w:rPr>
        <w:t>
      Загрязнение атмосферного воздуха остается одним из ведущих факторов воздействия на окружающую среду, оказывающих негативное влияние на здоровье населения. Основный вклад в загрязнение атмосферы вносит теплоэнергетический сектор, горнодобывающая и горно-перерабатывающая отрасли и металлургические комплексы республики. Актуальным на сегодня остается быстрорастущий темп выбросов нефтегазового сектора западного региона республики.</w:t>
      </w:r>
      <w:r>
        <w:br/>
      </w:r>
      <w:r>
        <w:rPr>
          <w:rFonts w:ascii="Times New Roman"/>
          <w:b w:val="false"/>
          <w:i w:val="false"/>
          <w:color w:val="000000"/>
          <w:sz w:val="28"/>
        </w:rPr>
        <w:t>
      Объем выбросов в атмосферу загрязняющих веществ в 2012 году составил 3,35 млн. тонн. Снижение относительно 2009 года составило 1,5 %.</w:t>
      </w:r>
      <w:r>
        <w:br/>
      </w:r>
      <w:r>
        <w:rPr>
          <w:rFonts w:ascii="Times New Roman"/>
          <w:b w:val="false"/>
          <w:i w:val="false"/>
          <w:color w:val="000000"/>
          <w:sz w:val="28"/>
        </w:rPr>
        <w:t>
      Сбросы загрязняющих веществ в 2012 году составляют порядка 2,8 млн. тонн. Так, в 2009 году данный объем составил 2,85 млн. тонн и снижение составило 1,7 %.</w:t>
      </w:r>
      <w:r>
        <w:br/>
      </w:r>
      <w:r>
        <w:rPr>
          <w:rFonts w:ascii="Times New Roman"/>
          <w:b w:val="false"/>
          <w:i w:val="false"/>
          <w:color w:val="000000"/>
          <w:sz w:val="28"/>
        </w:rPr>
        <w:t>
      Создание прудов-накопителей для сброса очищенных хозяйственно-бытовых сточных вод показало свою несостоятельность. Примером этого могут служить накопители сточных вод Сорбулак (Алматы) и Талдыколь (Астана), которые являются серьезной угрозой экологии и безопасности населения региона из-за постоянно увеличивающегося содержания токсичных веществ, возможности его переполнения и катастрофического прорыва.</w:t>
      </w:r>
      <w:r>
        <w:br/>
      </w:r>
      <w:r>
        <w:rPr>
          <w:rFonts w:ascii="Times New Roman"/>
          <w:b w:val="false"/>
          <w:i w:val="false"/>
          <w:color w:val="000000"/>
          <w:sz w:val="28"/>
        </w:rPr>
        <w:t>
      Во исполнение личного поручения Главы государства от 9 февраля 2010 года № 01-25.27 в период за 2010-2012 годы проведены научные исследования, а в 2013 году начаты работы по подготовке документации для реализации проекта «Реконструкция озера-накопителя сточных вод Сорбулак, включая вспомогательные сооружения».</w:t>
      </w:r>
      <w:r>
        <w:br/>
      </w:r>
      <w:r>
        <w:rPr>
          <w:rFonts w:ascii="Times New Roman"/>
          <w:b w:val="false"/>
          <w:i w:val="false"/>
          <w:color w:val="000000"/>
          <w:sz w:val="28"/>
        </w:rPr>
        <w:t>
      Государственный экологический контроль проводится путем проведения инспекционных проверок в части соблюдения требований экологического законодательства Республики Казахстан. План проведения инспекционных проверок Комитета экологического регулирования и контроля Министерства окружающей среды и водных ресурсов Республики Казахстан ежегодно размещается на сайте Генеральной прокуратуры Республики Казахстан в целях доступности и прозрачности для субъектов частного предпринимательства.</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критерии оценки степени риска природопользователей реализовываются в соответствии с принципом приоритета предупреждения правонарушения перед наказанием.</w:t>
      </w:r>
      <w:r>
        <w:br/>
      </w:r>
      <w:r>
        <w:rPr>
          <w:rFonts w:ascii="Times New Roman"/>
          <w:b w:val="false"/>
          <w:i w:val="false"/>
          <w:color w:val="000000"/>
          <w:sz w:val="28"/>
        </w:rPr>
        <w:t>
      Вместе с тем, ежегодно экологической инспекцией расширяется охват количества проверяемых объектов, уменьшается общее количество проверок. При этом из года в год по среднестатистическим данным наблюдается уменьшение количества правонарушений на единицу проверки (2008 год - 0,98; 2009 год - 0,95; 2010 год - 0,81; 2011 год - 0,76).</w:t>
      </w:r>
      <w:r>
        <w:br/>
      </w:r>
      <w:r>
        <w:rPr>
          <w:rFonts w:ascii="Times New Roman"/>
          <w:b w:val="false"/>
          <w:i w:val="false"/>
          <w:color w:val="000000"/>
          <w:sz w:val="28"/>
        </w:rPr>
        <w:t>
      Уменьшение количества правонарушений является результатом планомерной государственной политики, в том числе ужесточения требований законодательства и со стороны инспекционных служб по соблюдению природопользователями экологического законодательства.</w:t>
      </w:r>
      <w:r>
        <w:br/>
      </w:r>
      <w:r>
        <w:rPr>
          <w:rFonts w:ascii="Times New Roman"/>
          <w:b w:val="false"/>
          <w:i w:val="false"/>
          <w:color w:val="000000"/>
          <w:sz w:val="28"/>
        </w:rPr>
        <w:t>
      Отходы.</w:t>
      </w:r>
      <w:r>
        <w:br/>
      </w:r>
      <w:r>
        <w:rPr>
          <w:rFonts w:ascii="Times New Roman"/>
          <w:b w:val="false"/>
          <w:i w:val="false"/>
          <w:color w:val="000000"/>
          <w:sz w:val="28"/>
        </w:rPr>
        <w:t>
      По состоянию на 1 января 2013 года на территории предприятий накоплено 26 млрд. тонн промышленных отходов. Процент утилизации промышленных отходов по республике в 2012 году составил 24 % от образованных. В 2009 году данный показатель составлял 20 %.</w:t>
      </w:r>
      <w:r>
        <w:br/>
      </w:r>
      <w:r>
        <w:rPr>
          <w:rFonts w:ascii="Times New Roman"/>
          <w:b w:val="false"/>
          <w:i w:val="false"/>
          <w:color w:val="000000"/>
          <w:sz w:val="28"/>
        </w:rPr>
        <w:t>
      На основании 9 судебных решений в республиканскую собственность передано 4,7 млн. тонн опасных отходов, признанных бесхозяйными. В соответствии с Правилами управления бесхозяйными опасными отходами, признанными решением суда поступившими в республиканскую собственность,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мая 2012 года № 715, процедура управления такими объектами требует комплексного изучения их физико-химических и прочих свойств, а также всесторонних исследований для принятия решений по их дальнейшему безопасному управлению.</w:t>
      </w:r>
      <w:r>
        <w:br/>
      </w:r>
      <w:r>
        <w:rPr>
          <w:rFonts w:ascii="Times New Roman"/>
          <w:b w:val="false"/>
          <w:i w:val="false"/>
          <w:color w:val="000000"/>
          <w:sz w:val="28"/>
        </w:rPr>
        <w:t>
      Ежегодно в республике образуется около 4-5 млн. тонн твердых бытовых отходов (далее – ТБО), утилизируется и перерабатывается всего до 5 % от образуемого объема ТБО, а весь остальной объем размещается на полигонах.</w:t>
      </w:r>
      <w:r>
        <w:br/>
      </w:r>
      <w:r>
        <w:rPr>
          <w:rFonts w:ascii="Times New Roman"/>
          <w:b w:val="false"/>
          <w:i w:val="false"/>
          <w:color w:val="000000"/>
          <w:sz w:val="28"/>
        </w:rPr>
        <w:t>
      По состоянию на конец 2012 года на территории Республики имеются 4459 полигонов ТБО, из которых 781 полигон (18%) официально узаконен.</w:t>
      </w:r>
      <w:r>
        <w:br/>
      </w:r>
      <w:r>
        <w:rPr>
          <w:rFonts w:ascii="Times New Roman"/>
          <w:b w:val="false"/>
          <w:i w:val="false"/>
          <w:color w:val="000000"/>
          <w:sz w:val="28"/>
        </w:rPr>
        <w:t>
      По состоянию на 1 июля 2013 года накоплено 93,435 млн. тонн. В таблице ниже данные указаны в разрезе областей.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7212"/>
        <w:gridCol w:w="5516"/>
      </w:tblGrid>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региона (область, город)</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млн. тонн</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0,646</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22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30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93,435</w:t>
            </w:r>
          </w:p>
        </w:tc>
      </w:tr>
    </w:tbl>
    <w:bookmarkStart w:name="z20" w:id="9"/>
    <w:p>
      <w:pPr>
        <w:spacing w:after="0"/>
        <w:ind w:left="0"/>
        <w:jc w:val="both"/>
      </w:pPr>
      <w:r>
        <w:rPr>
          <w:rFonts w:ascii="Times New Roman"/>
          <w:b w:val="false"/>
          <w:i w:val="false"/>
          <w:color w:val="000000"/>
          <w:sz w:val="28"/>
        </w:rPr>
        <w:t>      Гидрометеорологический мониторинг.</w:t>
      </w:r>
      <w:r>
        <w:br/>
      </w:r>
      <w:r>
        <w:rPr>
          <w:rFonts w:ascii="Times New Roman"/>
          <w:b w:val="false"/>
          <w:i w:val="false"/>
          <w:color w:val="000000"/>
          <w:sz w:val="28"/>
        </w:rPr>
        <w:t>
      Одной из приоритетных целей стабилизации и улучшения качества окружающей среды является развитие наблюдательной сети Национальной гидрометеорологической службы.</w:t>
      </w:r>
      <w:r>
        <w:br/>
      </w:r>
      <w:r>
        <w:rPr>
          <w:rFonts w:ascii="Times New Roman"/>
          <w:b w:val="false"/>
          <w:i w:val="false"/>
          <w:color w:val="000000"/>
          <w:sz w:val="28"/>
        </w:rPr>
        <w:t xml:space="preserve">
      В настоящее время для подготовки прогностической, режимно-справочной гидрологической, метеорологической, агрометеорологической, аэрологической информации гидрометеорологический мониторинг проводится на 287 метеорологических станциях, 13 метеорологических постах, 298 гидрологических постах, </w:t>
      </w:r>
      <w:r>
        <w:br/>
      </w:r>
      <w:r>
        <w:rPr>
          <w:rFonts w:ascii="Times New Roman"/>
          <w:b w:val="false"/>
          <w:i w:val="false"/>
          <w:color w:val="000000"/>
          <w:sz w:val="28"/>
        </w:rPr>
        <w:t>
202 агрометеорологических пунктах наблюдений, 9 аэрологических станциях, 2 снеголавинных станциях и 24 снегомерных маршрутах.</w:t>
      </w:r>
      <w:r>
        <w:br/>
      </w:r>
      <w:r>
        <w:rPr>
          <w:rFonts w:ascii="Times New Roman"/>
          <w:b w:val="false"/>
          <w:i w:val="false"/>
          <w:color w:val="000000"/>
          <w:sz w:val="28"/>
        </w:rPr>
        <w:t>
      Экологический мониторинг.</w:t>
      </w:r>
      <w:r>
        <w:br/>
      </w:r>
      <w:r>
        <w:rPr>
          <w:rFonts w:ascii="Times New Roman"/>
          <w:b w:val="false"/>
          <w:i w:val="false"/>
          <w:color w:val="000000"/>
          <w:sz w:val="28"/>
        </w:rPr>
        <w:t xml:space="preserve">
      Наблюдения за состоянием атмосферного воздуха проводятся на </w:t>
      </w:r>
      <w:r>
        <w:br/>
      </w:r>
      <w:r>
        <w:rPr>
          <w:rFonts w:ascii="Times New Roman"/>
          <w:b w:val="false"/>
          <w:i w:val="false"/>
          <w:color w:val="000000"/>
          <w:sz w:val="28"/>
        </w:rPr>
        <w:t>
104 стационарных постах по 17 показателям. Наблюдения за состоянием и качеством поверхностных вод проводятся на 240 гидрохимических створах, распределенных на 105 водных объектах, в том числе на 71 реках, 16 озерах, 1 море, 14 водохранилищах и 3 каналах (более чем по 40 гидрохимическим показателям), за состоянием загрязнения почв в 39 населенных пунктах по 5 показателям.</w:t>
      </w:r>
      <w:r>
        <w:br/>
      </w:r>
      <w:r>
        <w:rPr>
          <w:rFonts w:ascii="Times New Roman"/>
          <w:b w:val="false"/>
          <w:i w:val="false"/>
          <w:color w:val="000000"/>
          <w:sz w:val="28"/>
        </w:rPr>
        <w:t>
      Метеорологическое обеспечение гражданской авиации</w:t>
      </w:r>
      <w:r>
        <w:br/>
      </w:r>
      <w:r>
        <w:rPr>
          <w:rFonts w:ascii="Times New Roman"/>
          <w:b w:val="false"/>
          <w:i w:val="false"/>
          <w:color w:val="000000"/>
          <w:sz w:val="28"/>
        </w:rPr>
        <w:t>
      В целях содействия безопасному, регулярному и эффективному осуществлению полетов воздушных судов гражданской авиации необходимо оперативное обеспечение достоверной метеорологической информацией и заблаговременность предупреждений возникновения опасных явлений погоды.</w:t>
      </w:r>
      <w:r>
        <w:br/>
      </w:r>
      <w:r>
        <w:rPr>
          <w:rFonts w:ascii="Times New Roman"/>
          <w:b w:val="false"/>
          <w:i w:val="false"/>
          <w:color w:val="000000"/>
          <w:sz w:val="28"/>
        </w:rPr>
        <w:t>
      В 2012 году завершена полная модернизация и техническое переоснащение метеорологического оборудования в 18 аэропортах.</w:t>
      </w:r>
      <w:r>
        <w:br/>
      </w:r>
      <w:r>
        <w:rPr>
          <w:rFonts w:ascii="Times New Roman"/>
          <w:b w:val="false"/>
          <w:i w:val="false"/>
          <w:color w:val="000000"/>
          <w:sz w:val="28"/>
        </w:rPr>
        <w:t>
      Ведется работа по созданию сети доплеровских локаторов двойной поляризации по всей территории страны. Сеть даст возможность прогнозировать опасные явления на срок до 12 часов, что повысит уровень безопасности полетов и повлияет на снижение количества авиационных событий и инцидентов на воздушном транспорте.</w:t>
      </w:r>
      <w:r>
        <w:br/>
      </w:r>
      <w:r>
        <w:rPr>
          <w:rFonts w:ascii="Times New Roman"/>
          <w:b w:val="false"/>
          <w:i w:val="false"/>
          <w:color w:val="000000"/>
          <w:sz w:val="28"/>
        </w:rPr>
        <w:t>
      Взаимодействие с общественностью.</w:t>
      </w:r>
      <w:r>
        <w:br/>
      </w:r>
      <w:r>
        <w:rPr>
          <w:rFonts w:ascii="Times New Roman"/>
          <w:b w:val="false"/>
          <w:i w:val="false"/>
          <w:color w:val="000000"/>
          <w:sz w:val="28"/>
        </w:rPr>
        <w:t>
      Казахстан ратифицировал Конвенцию о доступе к информации, участию общественности в процессе принятия решений и доступе к правосудию по вопросам, касающимся окружающей среды (Орхусская конвенция,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октября 2000 года).</w:t>
      </w:r>
      <w:r>
        <w:br/>
      </w:r>
      <w:r>
        <w:rPr>
          <w:rFonts w:ascii="Times New Roman"/>
          <w:b w:val="false"/>
          <w:i w:val="false"/>
          <w:color w:val="000000"/>
          <w:sz w:val="28"/>
        </w:rPr>
        <w:t>
      Конвенция налагает на государственные органы обязательства по поддержке и обеспечению реализации прав общественности в рамках трех основополагающих принципов – доступ к информации, участие общественности в процессе принятия решений и доступ к правосудию по вопросам, касающимся окружающей среды.</w:t>
      </w:r>
      <w:r>
        <w:br/>
      </w:r>
      <w:r>
        <w:rPr>
          <w:rFonts w:ascii="Times New Roman"/>
          <w:b w:val="false"/>
          <w:i w:val="false"/>
          <w:color w:val="000000"/>
          <w:sz w:val="28"/>
        </w:rPr>
        <w:t>
      В целях повышения участия общественности в решении экологических проблем Министерством окружающей среды и водных ресурсов Республики Казахстан (далее – Министерство) используются механизмы государственного социального заказа.</w:t>
      </w:r>
      <w:r>
        <w:br/>
      </w:r>
      <w:r>
        <w:rPr>
          <w:rFonts w:ascii="Times New Roman"/>
          <w:b w:val="false"/>
          <w:i w:val="false"/>
          <w:color w:val="000000"/>
          <w:sz w:val="28"/>
        </w:rPr>
        <w:t>
      Реализация социальных проектов внесет важный вклад в воспитание подрастающего поколения на экологически дружелюбных принципах, освещение основных принципов перехода Республики Казахстан к «зеленой экономике», поддержит глобальные приоритеты в области экологического образования и просвещения, водных ресурсов, отходов, биоразнообразия.</w:t>
      </w:r>
      <w:r>
        <w:br/>
      </w:r>
      <w:r>
        <w:rPr>
          <w:rFonts w:ascii="Times New Roman"/>
          <w:b w:val="false"/>
          <w:i w:val="false"/>
          <w:color w:val="000000"/>
          <w:sz w:val="28"/>
        </w:rPr>
        <w:t>
      На сегодняшний день Министерство осуществляет взаимодействие с неправительственными организациями (далее – НПО) в рамках двух диалоговых площадок: Общественный экологический совет и ежегодно проводимая встреча Министра окружающей среды и водных ресурсов с экологическими НПО. Реализация социальных проектов позволит создать дополнительные диалоговые площадки, тем самым увеличить процент участия общественных организаций в решении экологических проблем страны.</w:t>
      </w:r>
      <w:r>
        <w:br/>
      </w:r>
      <w:r>
        <w:rPr>
          <w:rFonts w:ascii="Times New Roman"/>
          <w:b w:val="false"/>
          <w:i w:val="false"/>
          <w:color w:val="000000"/>
          <w:sz w:val="28"/>
        </w:rPr>
        <w:t>
      В настоящее время, с учетом передачи в ведение Министерства функций по водному, рыбному, лесному и охотничьего хозяйству Министерством планируется оказание в общей сложности 41 государственной услуги.</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2013 года № 991 «Об утверждении перечня государственных услуг, подлежащих оптимизации и автоматизации, и сроки их перевода в электронную форму» в период 2013-2015 годы автоматизации подлежит 27 госуслуг.</w:t>
      </w:r>
      <w:r>
        <w:br/>
      </w:r>
      <w:r>
        <w:rPr>
          <w:rFonts w:ascii="Times New Roman"/>
          <w:b w:val="false"/>
          <w:i w:val="false"/>
          <w:color w:val="000000"/>
          <w:sz w:val="28"/>
        </w:rPr>
        <w:t>
      Из этого количества Министерством переведены в электронный формат 8 государственных услуг, в том числе 4 оказываются через центры обслуживания населения (ЦОН). В 2013 году проведены работы по автоматизации 10 государственных услуг. Работа по автоматизации данных государственных услуг проводится совместно с АО «Национальные информационные технологии» в соответствии с планами автоматизации.</w:t>
      </w:r>
      <w:r>
        <w:br/>
      </w:r>
      <w:r>
        <w:rPr>
          <w:rFonts w:ascii="Times New Roman"/>
          <w:b w:val="false"/>
          <w:i w:val="false"/>
          <w:color w:val="000000"/>
          <w:sz w:val="28"/>
        </w:rPr>
        <w:t>
      Также необходимо отметить, что в 2015 году переавтоматизации подлежат госуслуги, которые были автоматизированы в 2012 году.</w:t>
      </w:r>
      <w:r>
        <w:br/>
      </w:r>
      <w:r>
        <w:rPr>
          <w:rFonts w:ascii="Times New Roman"/>
          <w:b w:val="false"/>
          <w:i w:val="false"/>
          <w:color w:val="000000"/>
          <w:sz w:val="28"/>
        </w:rPr>
        <w:t>
      Международное сотрудничество.</w:t>
      </w:r>
      <w:r>
        <w:br/>
      </w:r>
      <w:r>
        <w:rPr>
          <w:rFonts w:ascii="Times New Roman"/>
          <w:b w:val="false"/>
          <w:i w:val="false"/>
          <w:color w:val="000000"/>
          <w:sz w:val="28"/>
        </w:rPr>
        <w:t>
      Главой государства Н.А. Назарбаевым был предложен ряд международных инициатив, завершившихся поддержкой со стороны международного сообщества.</w:t>
      </w:r>
      <w:r>
        <w:br/>
      </w:r>
      <w:r>
        <w:rPr>
          <w:rFonts w:ascii="Times New Roman"/>
          <w:b w:val="false"/>
          <w:i w:val="false"/>
          <w:color w:val="000000"/>
          <w:sz w:val="28"/>
        </w:rPr>
        <w:t>
      На Конференции Организации Объединенных Наций (далее – ООН) по устойчивому развитию «Рио+20», которая состоялась 20-23 июня 2012 года в Рио-де-Жанейро, Республика Казахстан представила казахстанскую инициативу Программу партнерства «Зеленый мост». Во исполнение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 Назарбаева народу Казахстана от 14 декабря 2012 года «Стратегия «Казахстан - 2050»: новый политический курс состоявшегося государства», а также в целях дальнейшей реализации Программы партнерства «Зеленый мост» необходимо создание институциональной основы для трансферта «зеленых» технологий.</w:t>
      </w:r>
      <w:r>
        <w:br/>
      </w:r>
      <w:r>
        <w:rPr>
          <w:rFonts w:ascii="Times New Roman"/>
          <w:b w:val="false"/>
          <w:i w:val="false"/>
          <w:color w:val="000000"/>
          <w:sz w:val="28"/>
        </w:rPr>
        <w:t>
      Переход Республики Казахстан к низкоуглеродному развитию и «зеленой» экономике.</w:t>
      </w:r>
      <w:r>
        <w:br/>
      </w:r>
      <w:r>
        <w:rPr>
          <w:rFonts w:ascii="Times New Roman"/>
          <w:b w:val="false"/>
          <w:i w:val="false"/>
          <w:color w:val="000000"/>
          <w:sz w:val="28"/>
        </w:rPr>
        <w:t>
      Мировым клубом ученых сигнализируются доказательства нарастания угроз, связанных с изменением климата. Растущие объемы выбросов углекислого газа приводят к дисбалансу и учащению стихийных бедствий, таких как засухи, наводнения, ураганы. Для предотвращения негативных последствий изменения климата в стратегическое развитие страны принимаются политика внедрения принципов «зеленой» экономики и низкоуглеродного развития.</w:t>
      </w:r>
      <w:r>
        <w:br/>
      </w:r>
      <w:r>
        <w:rPr>
          <w:rFonts w:ascii="Times New Roman"/>
          <w:b w:val="false"/>
          <w:i w:val="false"/>
          <w:color w:val="000000"/>
          <w:sz w:val="28"/>
        </w:rPr>
        <w:t>
      Для Казахстана «зеленое» развитие означает низкоуглеродное развитие, в первую очередь в индустриальном и энергетическом секторах, рациональное использование природных ресурсов, решение вопросов водного сектора, сельского хозяйства, переработки отходов. Стране нужно будет пересмотреть как принципы управления, внедрение более жестких экологических стандартов, так и научиться внедрять новые «зеленые» технологии.</w:t>
      </w:r>
      <w:r>
        <w:br/>
      </w:r>
      <w:r>
        <w:rPr>
          <w:rFonts w:ascii="Times New Roman"/>
          <w:b w:val="false"/>
          <w:i w:val="false"/>
          <w:color w:val="000000"/>
          <w:sz w:val="28"/>
        </w:rPr>
        <w:t>
      Выбросы парниковых газов (далее – ПГ) без учета землепользования и лесного хозяйства в Республике Казахстан в базовом 1990 году составили 358 млн. тонн, а в 2011 году - 274 млн. тонн СО</w:t>
      </w:r>
      <w:r>
        <w:rPr>
          <w:rFonts w:ascii="Times New Roman"/>
          <w:b w:val="false"/>
          <w:i w:val="false"/>
          <w:color w:val="000000"/>
          <w:vertAlign w:val="subscript"/>
        </w:rPr>
        <w:t>2</w:t>
      </w:r>
      <w:r>
        <w:rPr>
          <w:rFonts w:ascii="Times New Roman"/>
          <w:b w:val="false"/>
          <w:i w:val="false"/>
          <w:color w:val="000000"/>
          <w:sz w:val="28"/>
        </w:rPr>
        <w:t xml:space="preserve"> эквивалента.</w:t>
      </w:r>
      <w:r>
        <w:br/>
      </w:r>
      <w:r>
        <w:rPr>
          <w:rFonts w:ascii="Times New Roman"/>
          <w:b w:val="false"/>
          <w:i w:val="false"/>
          <w:color w:val="000000"/>
          <w:sz w:val="28"/>
        </w:rPr>
        <w:t>
      В 2011 году доля энергетического сектора составила 85 % общих национальных выбросов ПГ или 232 млн. тонн СО2-эквивалента. Совокупные выбросы в этом секторе уменьшились на 22 % по сравнению с 1990 г., и на 5% по сравнению с 2010 годом.</w:t>
      </w:r>
      <w:r>
        <w:br/>
      </w:r>
      <w:r>
        <w:rPr>
          <w:rFonts w:ascii="Times New Roman"/>
          <w:b w:val="false"/>
          <w:i w:val="false"/>
          <w:color w:val="000000"/>
          <w:sz w:val="28"/>
        </w:rPr>
        <w:t>
      Показатель годовых эмиссий основных парниковых газов на душу населения в 2011 году составил около 17 тонн СО2-эквивалента на душу населения, а за весь период с 1990 по 2011 гг. в среднем 15 тонн. Для сравнения в странах, не включенных в Приложение 1 к Рамочной Конвенции ООН об изменении климата (РКИК ООН), этот показатель составляет 2,6 тонн.</w:t>
      </w:r>
      <w:r>
        <w:br/>
      </w:r>
      <w:r>
        <w:rPr>
          <w:rFonts w:ascii="Times New Roman"/>
          <w:b w:val="false"/>
          <w:i w:val="false"/>
          <w:color w:val="000000"/>
          <w:sz w:val="28"/>
        </w:rPr>
        <w:t>
      По итогам 18-ой Конференции Сторон РКИК ООН в 2012 году в городе Доха (Катар) количественные обязательства Казахстана по ограничению и сокращению выбросов парниковых газов на второй период действия Киотского протокола зафиксированы в третьей колонке Приложения В Киотского протокола на 2013-2020 годы в размере 95 % от базового 1990 года. В соответствии со статьями 20 и 21 Киотского протокола, данная поправка вступит в силу для стран, которые ратифицируют ее и необходимое количество стран должно составлять три четверти Сторон Киотского протокола. Вопрос ратификации Казахстаном в настоящее время находится на рассмотрении в связи с новыми положениями, внесенными в текст Киотского протокола.</w:t>
      </w:r>
      <w:r>
        <w:br/>
      </w:r>
      <w:r>
        <w:rPr>
          <w:rFonts w:ascii="Times New Roman"/>
          <w:b w:val="false"/>
          <w:i w:val="false"/>
          <w:color w:val="000000"/>
          <w:sz w:val="28"/>
        </w:rPr>
        <w:t>
      Создана национальная система торговли квотами на выбросы парниковых газов, принят Национальный план распределения квот на выбросы парниковых газов на 2013 год.</w:t>
      </w:r>
      <w:r>
        <w:br/>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мая 2013 года № 577 утверждена Концепция Республики Казахстан по переходу к «зеленой экономике». Концепция позволит перестроить экономику Казахстана, решить существующие экологические проблемы и снизить экологические риски в будущем.</w:t>
      </w:r>
      <w:r>
        <w:br/>
      </w:r>
      <w:r>
        <w:rPr>
          <w:rFonts w:ascii="Times New Roman"/>
          <w:b w:val="false"/>
          <w:i w:val="false"/>
          <w:color w:val="000000"/>
          <w:sz w:val="28"/>
        </w:rPr>
        <w:t>
      Возобновляемые источники энергии.</w:t>
      </w:r>
      <w:r>
        <w:br/>
      </w:r>
      <w:r>
        <w:rPr>
          <w:rFonts w:ascii="Times New Roman"/>
          <w:b w:val="false"/>
          <w:i w:val="false"/>
          <w:color w:val="000000"/>
          <w:sz w:val="28"/>
        </w:rPr>
        <w:t>
      С целью экономии топливно-энергетических ресурсов, снижения негативного влияния на окружающую среду и выполнения принятых обязательств по РКИК ООН и Киотскому протоколу, а также обеспечения электроэнергией регионов, имеющих слабые электрические связи с единой энергетической системой Казахстана, требуется развитие возобновляемой энергетики (далее – ВИЭ).</w:t>
      </w:r>
      <w:r>
        <w:br/>
      </w:r>
      <w:r>
        <w:rPr>
          <w:rFonts w:ascii="Times New Roman"/>
          <w:b w:val="false"/>
          <w:i w:val="false"/>
          <w:color w:val="000000"/>
          <w:sz w:val="28"/>
        </w:rPr>
        <w:t>
      Суммарная установленная мощность действующих объектов ВИЭ на конец 2012 года составила – 118,8 МВт. Выработка электроэнергии за 2012 год составила 450,4 млн. кВтч, что составляет 0,5% от общего объема выработанной электроэнергии в год.</w:t>
      </w:r>
      <w:r>
        <w:br/>
      </w:r>
      <w:r>
        <w:rPr>
          <w:rFonts w:ascii="Times New Roman"/>
          <w:b w:val="false"/>
          <w:i w:val="false"/>
          <w:color w:val="000000"/>
          <w:sz w:val="28"/>
        </w:rPr>
        <w:t>
      4 июля 2013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w:t>
      </w:r>
      <w:r>
        <w:br/>
      </w:r>
      <w:r>
        <w:rPr>
          <w:rFonts w:ascii="Times New Roman"/>
          <w:b w:val="false"/>
          <w:i w:val="false"/>
          <w:color w:val="000000"/>
          <w:sz w:val="28"/>
        </w:rPr>
        <w:t>
      Основой концепции указанного Закона является введение системы фиксированных тарифов для объектов ВИЭ, что позволит Закону выступить гарантией для инвесторов по возвратности вложенных средств, поможет внести ясность по величине тарифов от объектов ВИЭ.</w:t>
      </w:r>
      <w:r>
        <w:br/>
      </w:r>
      <w:r>
        <w:rPr>
          <w:rFonts w:ascii="Times New Roman"/>
          <w:b w:val="false"/>
          <w:i w:val="false"/>
          <w:color w:val="000000"/>
          <w:sz w:val="28"/>
        </w:rPr>
        <w:t>
      В Концепции по переходу Республики Казахстан к «зеленой экономике», для достижения целей </w:t>
      </w:r>
      <w:r>
        <w:rPr>
          <w:rFonts w:ascii="Times New Roman"/>
          <w:b w:val="false"/>
          <w:i w:val="false"/>
          <w:color w:val="000000"/>
          <w:sz w:val="28"/>
        </w:rPr>
        <w:t>Стратегии – 2050</w:t>
      </w:r>
      <w:r>
        <w:rPr>
          <w:rFonts w:ascii="Times New Roman"/>
          <w:b w:val="false"/>
          <w:i w:val="false"/>
          <w:color w:val="000000"/>
          <w:sz w:val="28"/>
        </w:rPr>
        <w:t xml:space="preserve"> относительно 50% энергопотребления за счет ВИЭ и альтернативных источников энергии предусмотрены следующие целевые показатели для ВИЭ:</w:t>
      </w:r>
      <w:r>
        <w:br/>
      </w:r>
      <w:r>
        <w:rPr>
          <w:rFonts w:ascii="Times New Roman"/>
          <w:b w:val="false"/>
          <w:i w:val="false"/>
          <w:color w:val="000000"/>
          <w:sz w:val="28"/>
        </w:rPr>
        <w:t>
      1) достижение 3% доли ВИЭ в общем объеме производства электроэнергии к 2020 году. Прогнозные данные (согласно Плану мероприятий по развитию альтернативной и возобновляемой энергетики в Казахстане на 2013-2020 г.г.) по установленной мощности для ВИЭ - 1040 МВт;</w:t>
      </w:r>
      <w:r>
        <w:br/>
      </w:r>
      <w:r>
        <w:rPr>
          <w:rFonts w:ascii="Times New Roman"/>
          <w:b w:val="false"/>
          <w:i w:val="false"/>
          <w:color w:val="000000"/>
          <w:sz w:val="28"/>
        </w:rPr>
        <w:t>
      2) достижение 10% доли ВИЭ в общем объеме производства электроэнергии к 2030 году. Прогнозные данные по установленной мощности в 2030 году: 4,6 ГВт для ВЭС и 0,5 ГВт для СЭС.</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08.07.2014 </w:t>
      </w:r>
      <w:r>
        <w:rPr>
          <w:rFonts w:ascii="Times New Roman"/>
          <w:b w:val="false"/>
          <w:i w:val="false"/>
          <w:color w:val="000000"/>
          <w:sz w:val="28"/>
        </w:rPr>
        <w:t>№ 779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Эмиссии в окружающую среду.</w:t>
      </w:r>
      <w:r>
        <w:br/>
      </w:r>
      <w:r>
        <w:rPr>
          <w:rFonts w:ascii="Times New Roman"/>
          <w:b w:val="false"/>
          <w:i w:val="false"/>
          <w:color w:val="000000"/>
          <w:sz w:val="28"/>
        </w:rPr>
        <w:t>
      В 2013 году наметилась тенденция увеличения заявляемых природопользователями выбросов и сбросов загрязняющих веществ в окружающую среду. Так, по итогам 2013 года разрешенные объемы выбросов загрязняющих веществ составили 3,88 млн. тонн, сбросов загрязняющих веществ 4,88 млн. тонн.</w:t>
      </w:r>
      <w:r>
        <w:br/>
      </w:r>
      <w:r>
        <w:rPr>
          <w:rFonts w:ascii="Times New Roman"/>
          <w:b w:val="false"/>
          <w:i w:val="false"/>
          <w:color w:val="000000"/>
          <w:sz w:val="28"/>
        </w:rPr>
        <w:t>
      Показатели установленных значений нормативов валовых выбросов и сбросов загрязняющих веществ на уровне 5 млн. тонн до 2020 года являются максимально допустимыми. Такие объемы эмиссий позволят гарантировать экологическую безопасность, обеспечить рациональное использование и воспроизводство природных ресурсов в условиях устойчивого развития хозяйственной деятельности.</w:t>
      </w:r>
      <w:r>
        <w:br/>
      </w:r>
      <w:r>
        <w:rPr>
          <w:rFonts w:ascii="Times New Roman"/>
          <w:b w:val="false"/>
          <w:i w:val="false"/>
          <w:color w:val="000000"/>
          <w:sz w:val="28"/>
        </w:rPr>
        <w:t>
      Анализ проведенных проверок предприятий показывает, что ежегодно природопользователями нарушаются требования экологического законодательства идентичного характера.</w:t>
      </w:r>
      <w:r>
        <w:br/>
      </w:r>
      <w:r>
        <w:rPr>
          <w:rFonts w:ascii="Times New Roman"/>
          <w:b w:val="false"/>
          <w:i w:val="false"/>
          <w:color w:val="000000"/>
          <w:sz w:val="28"/>
        </w:rPr>
        <w:t>
      Выполнение выданных предписаний по устранению нарушений предусматривает проведение мероприятий по восстановлению загрязненных участков до естественного природного состояния, что требует значительного времени.</w:t>
      </w:r>
      <w:r>
        <w:br/>
      </w:r>
      <w:r>
        <w:rPr>
          <w:rFonts w:ascii="Times New Roman"/>
          <w:b w:val="false"/>
          <w:i w:val="false"/>
          <w:color w:val="000000"/>
          <w:sz w:val="28"/>
        </w:rPr>
        <w:t>
      Отходы.</w:t>
      </w:r>
      <w:r>
        <w:br/>
      </w:r>
      <w:r>
        <w:rPr>
          <w:rFonts w:ascii="Times New Roman"/>
          <w:b w:val="false"/>
          <w:i w:val="false"/>
          <w:color w:val="000000"/>
          <w:sz w:val="28"/>
        </w:rPr>
        <w:t>
      На институциональном уровне не в полной мере создана инфраструктура сектора управления ТБО, имеет место разобщенность территорий в решении данной проблемы и отсутствие единой политики в области обращения с отходами. Для решения существующих проблем в секторе необходимо внедрение регионального подхода по всей технологической цепочке обращения с отходами – от раздельного сбора «у источника» до захоронения инертной части ТБО на инженерных полигонах.</w:t>
      </w:r>
      <w:r>
        <w:br/>
      </w:r>
      <w:r>
        <w:rPr>
          <w:rFonts w:ascii="Times New Roman"/>
          <w:b w:val="false"/>
          <w:i w:val="false"/>
          <w:color w:val="000000"/>
          <w:sz w:val="28"/>
        </w:rPr>
        <w:t>
      В настоящее время в Казахстане на системном уровне не налажен раздельный сбор ТБО «у источника» образования отходов, поэтому сложно проводить комплексную экономическую оценку по всей стране систем разделения отходов у источника, раздельного вывоза отходов, переработки и продажи восстановленных материалов.</w:t>
      </w:r>
      <w:r>
        <w:br/>
      </w:r>
      <w:r>
        <w:rPr>
          <w:rFonts w:ascii="Times New Roman"/>
          <w:b w:val="false"/>
          <w:i w:val="false"/>
          <w:color w:val="000000"/>
          <w:sz w:val="28"/>
        </w:rPr>
        <w:t>
      В результате отсутствия раздельного сбора ТБО на полигоны попадают опасные составляющие ТБО, такие как ртутные ламп, электронные отходы, неиспользованные остатки красок, лаков, стойкие органические загрязнители, радиоактивных веществ и др.</w:t>
      </w:r>
      <w:r>
        <w:br/>
      </w:r>
      <w:r>
        <w:rPr>
          <w:rFonts w:ascii="Times New Roman"/>
          <w:b w:val="false"/>
          <w:i w:val="false"/>
          <w:color w:val="000000"/>
          <w:sz w:val="28"/>
        </w:rPr>
        <w:t>
      Будут предложены схемы управления ТБО в 15 городах Казахстана, предусматривающие комплексную схему сбора и транспортировки ТБО с перечнем потребных машин и механизмов, контейнеров для сбора мусора, также будут выбраны площади для строительства заводов по переработке ТБО и полигонов для захоронения неутилизируемых ТБО.</w:t>
      </w:r>
      <w:r>
        <w:br/>
      </w:r>
      <w:r>
        <w:rPr>
          <w:rFonts w:ascii="Times New Roman"/>
          <w:b w:val="false"/>
          <w:i w:val="false"/>
          <w:color w:val="000000"/>
          <w:sz w:val="28"/>
        </w:rPr>
        <w:t>
      Продолжится работа по выполнению обязательств Казахстана по трем международным конвенциям, регулирующим вопросы управления с опасными химическими веществами и отходами: Базельской, Стокгольмской и Роттердамской.</w:t>
      </w:r>
      <w:r>
        <w:br/>
      </w:r>
      <w:r>
        <w:rPr>
          <w:rFonts w:ascii="Times New Roman"/>
          <w:b w:val="false"/>
          <w:i w:val="false"/>
          <w:color w:val="000000"/>
          <w:sz w:val="28"/>
        </w:rPr>
        <w:t>
      Проблематичность промышленной переработки ТБО состоит в сложности их морфологического состава. До настоящего времени не существует единого мнения относительно того, какая из технологий переработки ТБО является наиболее рациональной.</w:t>
      </w:r>
      <w:r>
        <w:br/>
      </w:r>
      <w:r>
        <w:rPr>
          <w:rFonts w:ascii="Times New Roman"/>
          <w:b w:val="false"/>
          <w:i w:val="false"/>
          <w:color w:val="000000"/>
          <w:sz w:val="28"/>
        </w:rPr>
        <w:t>
      Несмотря на предпринимаемые природопользователями меры, устаревшие технологические линии производств промышленных предприятий, недостаточное вторичное использование отходов, отсутствие или недостаточная их утилизация способствуют накоплению больших объемов отходов производства.</w:t>
      </w:r>
      <w:r>
        <w:br/>
      </w:r>
      <w:r>
        <w:rPr>
          <w:rFonts w:ascii="Times New Roman"/>
          <w:b w:val="false"/>
          <w:i w:val="false"/>
          <w:color w:val="000000"/>
          <w:sz w:val="28"/>
        </w:rPr>
        <w:t>
      Наиболее острой проблемой остается ликвидация «исторических загрязнений». Это загрязнение реки Илек бором и хромом, обусловленное, прежде всего, бесхозяйными шламонакопителями бывшего Алгинского завода, отходы АО «ТЭМК», ликвидация загрязнения химическими веществами п. Тогузак.</w:t>
      </w:r>
      <w:r>
        <w:br/>
      </w:r>
      <w:r>
        <w:rPr>
          <w:rFonts w:ascii="Times New Roman"/>
          <w:b w:val="false"/>
          <w:i w:val="false"/>
          <w:color w:val="000000"/>
          <w:sz w:val="28"/>
        </w:rPr>
        <w:t>
      Одним из видов «исторических загрязнений» являются стойкие органические загрязнители (далее – СОЗ). По запасам отходов, содержащих стойкие органические загрязнители, Республика Казахстан занимает второе место среди стран Восточной и Центральной Европы после Российской Федерации. Общий объем СОЗ содержащих отходов на сегодня составляет около 250 тысяч тонн. Это более 1500 тонн устаревших пестицидов, более 50 тысяч единиц оборудования, содержащего полихлордифенилы и 8 загрязненных территорий.</w:t>
      </w:r>
      <w:r>
        <w:br/>
      </w:r>
      <w:r>
        <w:rPr>
          <w:rFonts w:ascii="Times New Roman"/>
          <w:b w:val="false"/>
          <w:i w:val="false"/>
          <w:color w:val="000000"/>
          <w:sz w:val="28"/>
        </w:rPr>
        <w:t>
      Гидрометеорологический мониторинг.</w:t>
      </w:r>
      <w:r>
        <w:br/>
      </w:r>
      <w:r>
        <w:rPr>
          <w:rFonts w:ascii="Times New Roman"/>
          <w:b w:val="false"/>
          <w:i w:val="false"/>
          <w:color w:val="000000"/>
          <w:sz w:val="28"/>
        </w:rPr>
        <w:t>
      В своем развитии гидрометеорологическая служба Казахстана достигла своего максимального подъема в 80-х годах прошлого столетия. Однако, затем ситуация резко ухудшилась. С 1983 по 1999 годы Казгидромет был вынужден закрыть около 35 % наземных метеорологических станций, 65 % гидрологических постов, 55 % пунктов с агрометеорологическими наблюдениями и 47 % аэрологических станций.</w:t>
      </w:r>
      <w:r>
        <w:br/>
      </w:r>
      <w:r>
        <w:rPr>
          <w:rFonts w:ascii="Times New Roman"/>
          <w:b w:val="false"/>
          <w:i w:val="false"/>
          <w:color w:val="000000"/>
          <w:sz w:val="28"/>
        </w:rPr>
        <w:t>
      По стандартам Всемирной Метеорологической Организации (далее – ВМО) с учетом фактической плотности и рельефа местности, а также экономического освоения территории Республики Казахстан и количества населенных пунктов, наблюдательная сеть должна включать минимальное количество: метеорологических станций – 421, гидрологических постов – 814, пунктов с агрометеорологическими наблюдениями – 280, аэрологических станций – 15. На сегодняшний день обеспеченность территории республики метеорологическим мониторингом составляет 68%, гидрологическим мониторингом – 59%, агрометеорологическим мониторингом – 72%.</w:t>
      </w:r>
      <w:r>
        <w:br/>
      </w:r>
      <w:r>
        <w:rPr>
          <w:rFonts w:ascii="Times New Roman"/>
          <w:b w:val="false"/>
          <w:i w:val="false"/>
          <w:color w:val="000000"/>
          <w:sz w:val="28"/>
        </w:rPr>
        <w:t>
      Экологический мониторинг.</w:t>
      </w:r>
      <w:r>
        <w:br/>
      </w:r>
      <w:r>
        <w:rPr>
          <w:rFonts w:ascii="Times New Roman"/>
          <w:b w:val="false"/>
          <w:i w:val="false"/>
          <w:color w:val="000000"/>
          <w:sz w:val="28"/>
        </w:rPr>
        <w:t>
      Мониторинг за состоянием качества почвы и атмосферного воздуха должен осуществляться во всех населенных пунктах. Количество стационарных постов наблюдений за загрязнением атмосферного воздуха в соответствии с Руководящим Документом «Руководство по контролю загрязнения атмосферы» (далее – РД) должно рассчитываться в зависимости от численности населения.</w:t>
      </w:r>
      <w:r>
        <w:br/>
      </w:r>
      <w:r>
        <w:rPr>
          <w:rFonts w:ascii="Times New Roman"/>
          <w:b w:val="false"/>
          <w:i w:val="false"/>
          <w:color w:val="000000"/>
          <w:sz w:val="28"/>
        </w:rPr>
        <w:t>
      Минимальное количество постов по контролю за состоянием атмосферного воздуха на территории республики согласно РД должно составлять 250. На сегодняшний день обеспеченность территории республики мониторингом атмосферного воздуха составляет 42%.</w:t>
      </w:r>
      <w:r>
        <w:br/>
      </w:r>
      <w:r>
        <w:rPr>
          <w:rFonts w:ascii="Times New Roman"/>
          <w:b w:val="false"/>
          <w:i w:val="false"/>
          <w:color w:val="000000"/>
          <w:sz w:val="28"/>
        </w:rPr>
        <w:t>
      В пунктах наблюдений за состоянием атмосферного воздуха с ручным методом отбора проб информация о состоянии атмосферного воздуха поступает при полной программе 4 раза, при неполной программе 3 раза в сутки. Существующая сеть наблюдений затрудняет своевременное отслеживание загрязнения воздуха при возникновении аварийных выбросов с промышленных объектов. Кроме того, в настоящее время практически не развиты средства по обеспечению прогнозирования загрязнения атмосферного воздуха. В первую очередь, отсутствуют численные модели прогнозирования загрязнения атмосферы и средство для расчета данных моделей – суперкомпьютер.</w:t>
      </w:r>
      <w:r>
        <w:br/>
      </w:r>
      <w:r>
        <w:rPr>
          <w:rFonts w:ascii="Times New Roman"/>
          <w:b w:val="false"/>
          <w:i w:val="false"/>
          <w:color w:val="000000"/>
          <w:sz w:val="28"/>
        </w:rPr>
        <w:t>
      Увеличение автоматических постов мониторинга атмосферного воздуха, работающих в непрерывном режиме позволяют оперативно выявить случаи высокого и чрезвычайно высокого уровня загрязнения воздуха, своевременно уведомлять уполномоченные органы в области охраны окружающей среды о высоком загрязнении.</w:t>
      </w:r>
      <w:r>
        <w:br/>
      </w:r>
      <w:r>
        <w:rPr>
          <w:rFonts w:ascii="Times New Roman"/>
          <w:b w:val="false"/>
          <w:i w:val="false"/>
          <w:color w:val="000000"/>
          <w:sz w:val="28"/>
        </w:rPr>
        <w:t>
      Метеорологическое обеспечение гражданской авиации</w:t>
      </w:r>
      <w:r>
        <w:br/>
      </w:r>
      <w:r>
        <w:rPr>
          <w:rFonts w:ascii="Times New Roman"/>
          <w:b w:val="false"/>
          <w:i w:val="false"/>
          <w:color w:val="000000"/>
          <w:sz w:val="28"/>
        </w:rPr>
        <w:t>
      В настоящее время использование потенциальных транзитных возможностей коридоров воздушным транспортом составляет лишь 44,6% (данные за 2011 год), что соответственно приводит к экономическим потерям авиационных пользователей.</w:t>
      </w:r>
      <w:r>
        <w:br/>
      </w:r>
      <w:r>
        <w:rPr>
          <w:rFonts w:ascii="Times New Roman"/>
          <w:b w:val="false"/>
          <w:i w:val="false"/>
          <w:color w:val="000000"/>
          <w:sz w:val="28"/>
        </w:rPr>
        <w:t>
      Только в 2 аэропортах имеется резервное оборудование. Необходимо оснащение резервным оборудованием 16 представительств.</w:t>
      </w:r>
      <w:r>
        <w:br/>
      </w:r>
      <w:r>
        <w:rPr>
          <w:rFonts w:ascii="Times New Roman"/>
          <w:b w:val="false"/>
          <w:i w:val="false"/>
          <w:color w:val="000000"/>
          <w:sz w:val="28"/>
        </w:rPr>
        <w:t>
      Местные аэродромы Урджар, Зайсан, Шалкар, Жаркомыс, Уил не оснащены необходимым метеорологическим оборудованием.</w:t>
      </w:r>
      <w:r>
        <w:br/>
      </w:r>
      <w:r>
        <w:rPr>
          <w:rFonts w:ascii="Times New Roman"/>
          <w:b w:val="false"/>
          <w:i w:val="false"/>
          <w:color w:val="000000"/>
          <w:sz w:val="28"/>
        </w:rPr>
        <w:t>
      Первый этап создания сети доплеровских метеолокаторов двойной поляризации для раннего предупреждения об опасных метеорологических явлениях погоды связанных с облачностью, в зоне взлета и посадки, по трассам и районам полетов предполагается начать именно с западного региона, в следующих областных центрах городов Уральск, Актобе и Актау.</w:t>
      </w:r>
      <w:r>
        <w:br/>
      </w:r>
      <w:r>
        <w:rPr>
          <w:rFonts w:ascii="Times New Roman"/>
          <w:b w:val="false"/>
          <w:i w:val="false"/>
          <w:color w:val="000000"/>
          <w:sz w:val="28"/>
        </w:rPr>
        <w:t>
      Взаимодействие с общественностью.</w:t>
      </w:r>
      <w:r>
        <w:br/>
      </w:r>
      <w:r>
        <w:rPr>
          <w:rFonts w:ascii="Times New Roman"/>
          <w:b w:val="false"/>
          <w:i w:val="false"/>
          <w:color w:val="000000"/>
          <w:sz w:val="28"/>
        </w:rPr>
        <w:t>
      Несмотря на единство целей, и задач, у государственных органов и общественных организаций часто возникают разногласия после проведения общественных слушаний и при принятии решений по поводу ввода в действие каких-либо хозяйственных субъектов.</w:t>
      </w:r>
      <w:r>
        <w:br/>
      </w:r>
      <w:r>
        <w:rPr>
          <w:rFonts w:ascii="Times New Roman"/>
          <w:b w:val="false"/>
          <w:i w:val="false"/>
          <w:color w:val="000000"/>
          <w:sz w:val="28"/>
        </w:rPr>
        <w:t>
      Очень слабо распространяется информация о фактических загрязнениях, правоприменительной практике в области охраны окружающей среды не только среди общественности, но и в государственных органах. Распространение такой информации будет способствовать совершенствованию законодательства, исключению разногласий между общественностью и государственными органами, большему участию общественности в принятии решений и ее доступу к правосудию.</w:t>
      </w:r>
      <w:r>
        <w:br/>
      </w:r>
      <w:r>
        <w:rPr>
          <w:rFonts w:ascii="Times New Roman"/>
          <w:b w:val="false"/>
          <w:i w:val="false"/>
          <w:color w:val="000000"/>
          <w:sz w:val="28"/>
        </w:rPr>
        <w:t>
      Переход Республики Казахстан к низкоуглеродному развитию и «зеленой» экономике.</w:t>
      </w:r>
      <w:r>
        <w:br/>
      </w:r>
      <w:r>
        <w:rPr>
          <w:rFonts w:ascii="Times New Roman"/>
          <w:b w:val="false"/>
          <w:i w:val="false"/>
          <w:color w:val="000000"/>
          <w:sz w:val="28"/>
        </w:rPr>
        <w:t>
      В связи с диверсификацией экономики и ухода от сырьевой направленности, предполагается рост потребления энергетического топлива и соответственно увеличение выбросов парниковых газов.</w:t>
      </w:r>
      <w:r>
        <w:br/>
      </w:r>
      <w:r>
        <w:rPr>
          <w:rFonts w:ascii="Times New Roman"/>
          <w:b w:val="false"/>
          <w:i w:val="false"/>
          <w:color w:val="000000"/>
          <w:sz w:val="28"/>
        </w:rPr>
        <w:t>
      Возможные проблемы «рыночной готовности» системы торговли квотами Казахстана:</w:t>
      </w:r>
      <w:r>
        <w:br/>
      </w:r>
      <w:r>
        <w:rPr>
          <w:rFonts w:ascii="Times New Roman"/>
          <w:b w:val="false"/>
          <w:i w:val="false"/>
          <w:color w:val="000000"/>
          <w:sz w:val="28"/>
        </w:rPr>
        <w:t>
      1) проблемы сбора точных и проверенных данных по выбросам на уровне установок;</w:t>
      </w:r>
      <w:r>
        <w:br/>
      </w:r>
      <w:r>
        <w:rPr>
          <w:rFonts w:ascii="Times New Roman"/>
          <w:b w:val="false"/>
          <w:i w:val="false"/>
          <w:color w:val="000000"/>
          <w:sz w:val="28"/>
        </w:rPr>
        <w:t>
      2) вопрос достаточности планируемой продолжительности пилотного этапа для подготовки реализации второго периода торговли;</w:t>
      </w:r>
      <w:r>
        <w:br/>
      </w:r>
      <w:r>
        <w:rPr>
          <w:rFonts w:ascii="Times New Roman"/>
          <w:b w:val="false"/>
          <w:i w:val="false"/>
          <w:color w:val="000000"/>
          <w:sz w:val="28"/>
        </w:rPr>
        <w:t>
      3) система, которая находится под влиянием соответствующих процедур Европейской системы торговли, также должна отражать характерные проблемы и барьеры Казахстана;</w:t>
      </w:r>
      <w:r>
        <w:br/>
      </w:r>
      <w:r>
        <w:rPr>
          <w:rFonts w:ascii="Times New Roman"/>
          <w:b w:val="false"/>
          <w:i w:val="false"/>
          <w:color w:val="000000"/>
          <w:sz w:val="28"/>
        </w:rPr>
        <w:t>
      4) задержки при создании государственного реестра углеродных единиц.</w:t>
      </w:r>
      <w:r>
        <w:br/>
      </w:r>
      <w:r>
        <w:rPr>
          <w:rFonts w:ascii="Times New Roman"/>
          <w:b w:val="false"/>
          <w:i w:val="false"/>
          <w:color w:val="000000"/>
          <w:sz w:val="28"/>
        </w:rPr>
        <w:t>
      Возобновляемые источники энергии.</w:t>
      </w:r>
      <w:r>
        <w:br/>
      </w:r>
      <w:r>
        <w:rPr>
          <w:rFonts w:ascii="Times New Roman"/>
          <w:b w:val="false"/>
          <w:i w:val="false"/>
          <w:color w:val="000000"/>
          <w:sz w:val="28"/>
        </w:rPr>
        <w:t>
      В области развития ВИЭ существующие меры государственной поддержки являются недостаточно эффективными. Требуется разработка и совершенствование нормативно-технической документации в области ВИЭ, а также разработка нормативных правовых актов, необходимых для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внесеннымм постановлением Правительства РК от 08.07.2014 </w:t>
      </w:r>
      <w:r>
        <w:rPr>
          <w:rFonts w:ascii="Times New Roman"/>
          <w:b w:val="false"/>
          <w:i w:val="false"/>
          <w:color w:val="000000"/>
          <w:sz w:val="28"/>
        </w:rPr>
        <w:t>№ 779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Основными факторами повышения лимитов эмиссий в окружающую среду являются рост выпуска валовой продукции в промышленности и износ технологического режима работы оборудования.</w:t>
      </w:r>
      <w:r>
        <w:br/>
      </w:r>
      <w:r>
        <w:rPr>
          <w:rFonts w:ascii="Times New Roman"/>
          <w:b w:val="false"/>
          <w:i w:val="false"/>
          <w:color w:val="000000"/>
          <w:sz w:val="28"/>
        </w:rPr>
        <w:t>
      По мере экономического роста, увеличения источников эмиссий и расширения масштабов промышленной деятельности обязательным условием для снижения уровня загрязнения будет непрерывное повышение эффективности природоохранной политики. Дальнейшее развитие экологического законодательства будет направлено на его совершенствование и сближение с международным опытом.</w:t>
      </w:r>
      <w:r>
        <w:br/>
      </w:r>
      <w:r>
        <w:rPr>
          <w:rFonts w:ascii="Times New Roman"/>
          <w:b w:val="false"/>
          <w:i w:val="false"/>
          <w:color w:val="000000"/>
          <w:sz w:val="28"/>
        </w:rPr>
        <w:t>
      Сектор управления отходами является изученным в мировой практике – существуют проверенные технологии и решения для его модернизации. Также, рынок является открытым для потенциальных инвесторов и частных источников финансирования, имеющийся потенциал использования ТБО в целях развития «зеленой» энергетики, есть потенциал использования вторичных ресурсов, получаемых из ТБО.</w:t>
      </w:r>
      <w:r>
        <w:br/>
      </w:r>
      <w:r>
        <w:rPr>
          <w:rFonts w:ascii="Times New Roman"/>
          <w:b w:val="false"/>
          <w:i w:val="false"/>
          <w:color w:val="000000"/>
          <w:sz w:val="28"/>
        </w:rPr>
        <w:t>
      К внутренним факторам относятся: неразвитая система сбора, в т.ч. раздельного сбора ТБО; захоронение отходов без предварительной переработки практически на всей территории республики; низкий объем переработки и утилизации отходов; несоответствие существующих объектов захоронения ТБО требованиям санитарных правил; возникновение критических экологических ситуаций в зонах с накопленными отходами; многократное увеличение объемов образуемых отходов; выбросы в атмосферу от существующих полигонов, оказывающих влияние на изменение климата.</w:t>
      </w:r>
      <w:r>
        <w:br/>
      </w:r>
      <w:r>
        <w:rPr>
          <w:rFonts w:ascii="Times New Roman"/>
          <w:b w:val="false"/>
          <w:i w:val="false"/>
          <w:color w:val="000000"/>
          <w:sz w:val="28"/>
        </w:rPr>
        <w:t>
      Международная деятельность гидрометеорологической службы Республики Казахстан будет осуществляться посредством участия в основных программах ВМО. Обязательство Казахстана в рамках ВМО, а также развитие отраслей экономики Казахстана обуславливают рост потребности в гидрометеорологической и экологической информации. Сдерживающими факторами развития гидрометеорологической службы являются: дефицит квалифицированных кадров, а также недостаточное финансирование из республиканского бюджета.</w:t>
      </w:r>
      <w:r>
        <w:br/>
      </w:r>
      <w:r>
        <w:rPr>
          <w:rFonts w:ascii="Times New Roman"/>
          <w:b w:val="false"/>
          <w:i w:val="false"/>
          <w:color w:val="000000"/>
          <w:sz w:val="28"/>
        </w:rPr>
        <w:t>
      Обеспечение выполнения Орхусской конвенции проводится по следующим направлениям:</w:t>
      </w:r>
      <w:r>
        <w:br/>
      </w:r>
      <w:r>
        <w:rPr>
          <w:rFonts w:ascii="Times New Roman"/>
          <w:b w:val="false"/>
          <w:i w:val="false"/>
          <w:color w:val="000000"/>
          <w:sz w:val="28"/>
        </w:rPr>
        <w:t>
      1) ведение Государственного фонда экологической информации;</w:t>
      </w:r>
      <w:r>
        <w:br/>
      </w:r>
      <w:r>
        <w:rPr>
          <w:rFonts w:ascii="Times New Roman"/>
          <w:b w:val="false"/>
          <w:i w:val="false"/>
          <w:color w:val="000000"/>
          <w:sz w:val="28"/>
        </w:rPr>
        <w:t>
      2) освещение реализации государственной политики в области охраны окружающей среды и природопользования с использованием интернет ресурсов (блоги, форумы) и средства массовой информации (СМИ), через интернет-ресурс «Зеленый мост»;</w:t>
      </w:r>
      <w:r>
        <w:br/>
      </w:r>
      <w:r>
        <w:rPr>
          <w:rFonts w:ascii="Times New Roman"/>
          <w:b w:val="false"/>
          <w:i w:val="false"/>
          <w:color w:val="000000"/>
          <w:sz w:val="28"/>
        </w:rPr>
        <w:t>
      3) развитие Регистра выбросов и переноса загрязнителей;</w:t>
      </w:r>
      <w:r>
        <w:br/>
      </w:r>
      <w:r>
        <w:rPr>
          <w:rFonts w:ascii="Times New Roman"/>
          <w:b w:val="false"/>
          <w:i w:val="false"/>
          <w:color w:val="000000"/>
          <w:sz w:val="28"/>
        </w:rPr>
        <w:t>
      4) повышение квалификации специалистов в области охраны окружающей среды и природопользования.</w:t>
      </w:r>
      <w:r>
        <w:br/>
      </w:r>
      <w:r>
        <w:rPr>
          <w:rFonts w:ascii="Times New Roman"/>
          <w:b w:val="false"/>
          <w:i w:val="false"/>
          <w:color w:val="000000"/>
          <w:sz w:val="28"/>
        </w:rPr>
        <w:t>
      Реализация социальных проектов в области ООС, проведение мероприятий, конкурсов с неправительственным сектором.</w:t>
      </w:r>
      <w:r>
        <w:br/>
      </w:r>
      <w:r>
        <w:rPr>
          <w:rFonts w:ascii="Times New Roman"/>
          <w:b w:val="false"/>
          <w:i w:val="false"/>
          <w:color w:val="000000"/>
          <w:sz w:val="28"/>
        </w:rPr>
        <w:t>
      Переход Республики Казахстан к низкоуглеродному развитию и «зеленой» экономике.</w:t>
      </w:r>
      <w:r>
        <w:br/>
      </w:r>
      <w:r>
        <w:rPr>
          <w:rFonts w:ascii="Times New Roman"/>
          <w:b w:val="false"/>
          <w:i w:val="false"/>
          <w:color w:val="000000"/>
          <w:sz w:val="28"/>
        </w:rPr>
        <w:t>
      Тенденции развития экономики Казахстана должны идти параллельно с усилиями мирового сообщества, которое пытается сообща найти решения нарастающих глобальных угроз. Регулирование парниковых выбросов в одних странах и отсутствие такого регулирования в других, ставит предприятия и товары в неравное конкурентное положение. В этой связи, многие развитые страны рассматривают вопросы защиты своих рынков, конкурентоспособности своих предприятий и продукции. Уже разработаны проекты таких механизмов как введение международных стандартов по выбросам, маркировка продукции (СО2-labeling) и пограничные меры регулирования. А это будет оказывать растущее воздействие и на казахстанские предприятия и их товары.</w:t>
      </w:r>
      <w:r>
        <w:br/>
      </w:r>
      <w:r>
        <w:rPr>
          <w:rFonts w:ascii="Times New Roman"/>
          <w:b w:val="false"/>
          <w:i w:val="false"/>
          <w:color w:val="000000"/>
          <w:sz w:val="28"/>
        </w:rPr>
        <w:t>
      Важнейшей мерой в данной ситуации является переход из «коричневой» экономики к низкоуглеродному развитию и «зеленой экономике», который должен позволить, с одной стороны, сократить масштабы негативного влияния за счет сокращения выбросов, а с другой - резко повысить конкурентоспособность экономики за счет сокращения зависимости от углеродного сырья.</w:t>
      </w:r>
      <w:r>
        <w:br/>
      </w:r>
      <w:r>
        <w:rPr>
          <w:rFonts w:ascii="Times New Roman"/>
          <w:b w:val="false"/>
          <w:i w:val="false"/>
          <w:color w:val="000000"/>
          <w:sz w:val="28"/>
        </w:rPr>
        <w:t>
      Переход к «зеленой экономике» также будет способствовать решению проблем, обусловленных изменением климата. При этом конкретной мерой реагирования станет инвестирование в создание «зеленой», низкоуглеродной, ресурсоэффективной экономики, в том числе через вырабатываемые новые механизмы как вне, так и в рамках Конвенции, а также через механизмы Киотского протокола.</w:t>
      </w:r>
      <w:r>
        <w:br/>
      </w:r>
      <w:r>
        <w:rPr>
          <w:rFonts w:ascii="Times New Roman"/>
          <w:b w:val="false"/>
          <w:i w:val="false"/>
          <w:color w:val="000000"/>
          <w:sz w:val="28"/>
        </w:rPr>
        <w:t>
      В качестве пилотного проекта выступит реализация проекта Green 4, направленного на создание 4-х городов-спутников с эффективной и экологически чистой среды на прилегающих территориях города Алматы.</w:t>
      </w:r>
      <w:r>
        <w:br/>
      </w:r>
      <w:r>
        <w:rPr>
          <w:rFonts w:ascii="Times New Roman"/>
          <w:b w:val="false"/>
          <w:i w:val="false"/>
          <w:color w:val="000000"/>
          <w:sz w:val="28"/>
        </w:rPr>
        <w:t>
      Возобновляемые источники энергии.</w:t>
      </w:r>
      <w:r>
        <w:br/>
      </w:r>
      <w:r>
        <w:rPr>
          <w:rFonts w:ascii="Times New Roman"/>
          <w:b w:val="false"/>
          <w:i w:val="false"/>
          <w:color w:val="000000"/>
          <w:sz w:val="28"/>
        </w:rPr>
        <w:t>
      Развитию ВИЭ в стране будет способствовать ратификация соглашения с Международным агентством возобновляемой энергии (IRENA).</w:t>
      </w:r>
      <w:r>
        <w:br/>
      </w:r>
      <w:r>
        <w:rPr>
          <w:rFonts w:ascii="Times New Roman"/>
          <w:b w:val="false"/>
          <w:i w:val="false"/>
          <w:color w:val="000000"/>
          <w:sz w:val="28"/>
        </w:rPr>
        <w:t>
      В то же время развитие возобновляемых источников энергии сдерживают следующие факторы:</w:t>
      </w:r>
      <w:r>
        <w:br/>
      </w:r>
      <w:r>
        <w:rPr>
          <w:rFonts w:ascii="Times New Roman"/>
          <w:b w:val="false"/>
          <w:i w:val="false"/>
          <w:color w:val="000000"/>
          <w:sz w:val="28"/>
        </w:rPr>
        <w:t>
      1) отсутствие собственных средств инвесторов в области возобновляемых источников энергии;</w:t>
      </w:r>
      <w:r>
        <w:br/>
      </w:r>
      <w:r>
        <w:rPr>
          <w:rFonts w:ascii="Times New Roman"/>
          <w:b w:val="false"/>
          <w:i w:val="false"/>
          <w:color w:val="000000"/>
          <w:sz w:val="28"/>
        </w:rPr>
        <w:t>
      2) высокие отпускные тарифы из-за малого использования часов работы в году;</w:t>
      </w:r>
      <w:r>
        <w:br/>
      </w:r>
      <w:r>
        <w:rPr>
          <w:rFonts w:ascii="Times New Roman"/>
          <w:b w:val="false"/>
          <w:i w:val="false"/>
          <w:color w:val="000000"/>
          <w:sz w:val="28"/>
        </w:rPr>
        <w:t>
      3) нестабильные природные факторы (ветер, солнечное излучение, гидроресурсы), влияющие на выработку электроэнергии;</w:t>
      </w:r>
      <w:r>
        <w:br/>
      </w:r>
      <w:r>
        <w:rPr>
          <w:rFonts w:ascii="Times New Roman"/>
          <w:b w:val="false"/>
          <w:i w:val="false"/>
          <w:color w:val="000000"/>
          <w:sz w:val="28"/>
        </w:rPr>
        <w:t>
      4) отсутствие технических требований и критериев к подключению объектов ВИЭ к электрическим сетям;</w:t>
      </w:r>
      <w:r>
        <w:br/>
      </w:r>
      <w:r>
        <w:rPr>
          <w:rFonts w:ascii="Times New Roman"/>
          <w:b w:val="false"/>
          <w:i w:val="false"/>
          <w:color w:val="000000"/>
          <w:sz w:val="28"/>
        </w:rPr>
        <w:t>
      5) негативное влияние на устойчивость и надежность работы энергосистемы вследствие непостоянства воздействия природных факторов, необходимость привлечения резервов мощностей Системным оператором.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Стратегическое направление 2. Обеспечение водной безопасности и эффективного управления водными ресурсами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Водообеспечение отраслей экономики в Республике Казахстан является важной проблемой, решение которой необходимо для успешного развития государства.</w:t>
      </w:r>
      <w:r>
        <w:br/>
      </w:r>
      <w:r>
        <w:rPr>
          <w:rFonts w:ascii="Times New Roman"/>
          <w:b w:val="false"/>
          <w:i w:val="false"/>
          <w:color w:val="000000"/>
          <w:sz w:val="28"/>
        </w:rPr>
        <w:t>
      В современных условиях вода является главным фактором, определяющим устойчивость сельского хозяйства, промышленности, энергетики и других отраслей экономики, окружающей природной среды. Еще большую роль вода имеет в поддержании санитарно-эпидемиологической безопасности.</w:t>
      </w:r>
      <w:r>
        <w:br/>
      </w:r>
      <w:r>
        <w:rPr>
          <w:rFonts w:ascii="Times New Roman"/>
          <w:b w:val="false"/>
          <w:i w:val="false"/>
          <w:color w:val="000000"/>
          <w:sz w:val="28"/>
        </w:rPr>
        <w:t>
      Ресурсы поверхностных вод Республики Казахстан в средний по водности год оцениваются в 99,6 кубических километров (далее – км</w:t>
      </w:r>
      <w:r>
        <w:rPr>
          <w:rFonts w:ascii="Times New Roman"/>
          <w:b w:val="false"/>
          <w:i w:val="false"/>
          <w:color w:val="000000"/>
          <w:vertAlign w:val="superscript"/>
        </w:rPr>
        <w:t>3</w:t>
      </w:r>
      <w:r>
        <w:rPr>
          <w:rFonts w:ascii="Times New Roman"/>
          <w:b w:val="false"/>
          <w:i w:val="false"/>
          <w:color w:val="000000"/>
          <w:sz w:val="28"/>
        </w:rPr>
        <w:t>), из которых 52,2 км</w:t>
      </w:r>
      <w:r>
        <w:rPr>
          <w:rFonts w:ascii="Times New Roman"/>
          <w:b w:val="false"/>
          <w:i w:val="false"/>
          <w:color w:val="000000"/>
          <w:vertAlign w:val="superscript"/>
        </w:rPr>
        <w:t>3</w:t>
      </w:r>
      <w:r>
        <w:rPr>
          <w:rFonts w:ascii="Times New Roman"/>
          <w:b w:val="false"/>
          <w:i w:val="false"/>
          <w:color w:val="000000"/>
          <w:sz w:val="28"/>
        </w:rPr>
        <w:t xml:space="preserve"> формируются на территории Казахстана и 47,4 км</w:t>
      </w:r>
      <w:r>
        <w:rPr>
          <w:rFonts w:ascii="Times New Roman"/>
          <w:b w:val="false"/>
          <w:i w:val="false"/>
          <w:color w:val="000000"/>
          <w:vertAlign w:val="superscript"/>
        </w:rPr>
        <w:t>3</w:t>
      </w:r>
      <w:r>
        <w:rPr>
          <w:rFonts w:ascii="Times New Roman"/>
          <w:b w:val="false"/>
          <w:i w:val="false"/>
          <w:color w:val="000000"/>
          <w:sz w:val="28"/>
        </w:rPr>
        <w:t xml:space="preserve"> – поступает из сопредельных территорий (Китайская Народная Республика, Республики Узбекистан, Кыргызстан и Российская Федерация).</w:t>
      </w:r>
      <w:r>
        <w:br/>
      </w:r>
      <w:r>
        <w:rPr>
          <w:rFonts w:ascii="Times New Roman"/>
          <w:b w:val="false"/>
          <w:i w:val="false"/>
          <w:color w:val="000000"/>
          <w:sz w:val="28"/>
        </w:rPr>
        <w:t>
      Главным источником, питающим реки Казахстана, являются ледники, площадь которых равна почти 2 тысячам км</w:t>
      </w:r>
      <w:r>
        <w:rPr>
          <w:rFonts w:ascii="Times New Roman"/>
          <w:b w:val="false"/>
          <w:i w:val="false"/>
          <w:color w:val="000000"/>
          <w:vertAlign w:val="superscript"/>
        </w:rPr>
        <w:t>2</w:t>
      </w:r>
      <w:r>
        <w:rPr>
          <w:rFonts w:ascii="Times New Roman"/>
          <w:b w:val="false"/>
          <w:i w:val="false"/>
          <w:color w:val="000000"/>
          <w:sz w:val="28"/>
        </w:rPr>
        <w:t>, объем – более 98 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По территории Казахстана протекает около 85 тысяч рек и временных водотоков, в том числе более 8 тысяч рек длиной свыше 10 км. Густота речной сети по территории неравномерна. На севере она от 0,03 до 0,05 км/км</w:t>
      </w:r>
      <w:r>
        <w:rPr>
          <w:rFonts w:ascii="Times New Roman"/>
          <w:b w:val="false"/>
          <w:i w:val="false"/>
          <w:color w:val="000000"/>
          <w:vertAlign w:val="superscript"/>
        </w:rPr>
        <w:t>2</w:t>
      </w:r>
      <w:r>
        <w:rPr>
          <w:rFonts w:ascii="Times New Roman"/>
          <w:b w:val="false"/>
          <w:i w:val="false"/>
          <w:color w:val="000000"/>
          <w:sz w:val="28"/>
        </w:rPr>
        <w:t>, в зоне пустынь значительно уменьшается, в то время как в хороших увлажненных районах составляет от 0,4 до 1,8 км/км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На 1 км территории Казахстан располагает менее 40 тыс. м</w:t>
      </w:r>
      <w:r>
        <w:rPr>
          <w:rFonts w:ascii="Times New Roman"/>
          <w:b w:val="false"/>
          <w:i w:val="false"/>
          <w:color w:val="000000"/>
          <w:vertAlign w:val="superscript"/>
        </w:rPr>
        <w:t>3</w:t>
      </w:r>
      <w:r>
        <w:rPr>
          <w:rFonts w:ascii="Times New Roman"/>
          <w:b w:val="false"/>
          <w:i w:val="false"/>
          <w:color w:val="000000"/>
          <w:sz w:val="28"/>
        </w:rPr>
        <w:t xml:space="preserve"> речной воды в год.</w:t>
      </w:r>
      <w:r>
        <w:br/>
      </w:r>
      <w:r>
        <w:rPr>
          <w:rFonts w:ascii="Times New Roman"/>
          <w:b w:val="false"/>
          <w:i w:val="false"/>
          <w:color w:val="000000"/>
          <w:sz w:val="28"/>
        </w:rPr>
        <w:t>
      Общие эксплуатационные запасы подземных вод составляют 15,44 км3/год, или около 38% от прогнозных ресурсов.</w:t>
      </w:r>
      <w:r>
        <w:br/>
      </w:r>
      <w:r>
        <w:rPr>
          <w:rFonts w:ascii="Times New Roman"/>
          <w:b w:val="false"/>
          <w:i w:val="false"/>
          <w:color w:val="000000"/>
          <w:sz w:val="28"/>
        </w:rPr>
        <w:t>
      Среди эксплуатационных запасов пресные воды составляют 13,52 км3/год, или около 88% от их общего количества. По целевому назначению разведанные запасы подземных вод распределяются следующим образом, км3/год: хозяйственно-питьевое водоснабжение (ХПВ) – 5,76; производственно-техническое водоснабжение (ПТВ) – 1,4; орошение земель (ОРЗ) – 8,26; бальнеологические цели (минеральные воды) – 0,014.</w:t>
      </w:r>
      <w:r>
        <w:br/>
      </w:r>
      <w:r>
        <w:rPr>
          <w:rFonts w:ascii="Times New Roman"/>
          <w:b w:val="false"/>
          <w:i w:val="false"/>
          <w:color w:val="000000"/>
          <w:sz w:val="28"/>
        </w:rPr>
        <w:t>
      Водохозяйственные расчеты показывают, что имеющиеся водные ресурсы на современном уровне удовлетворяют практически все потребности отраслей экономики.</w:t>
      </w:r>
      <w:r>
        <w:br/>
      </w:r>
      <w:r>
        <w:rPr>
          <w:rFonts w:ascii="Times New Roman"/>
          <w:b w:val="false"/>
          <w:i w:val="false"/>
          <w:color w:val="000000"/>
          <w:sz w:val="28"/>
        </w:rPr>
        <w:t>
      В целом, после 2000 года (особенно в последние 3 - 4 года) наблюдается достаточно заметный рост экономики в стране, однако, существенного роста объемов водопотребления не наблюдается. Это связано с более рациональным использованием воды в технологическом цикле промышленного производства и продолжающимся застойным периодом в орошаемом земледелии.</w:t>
      </w:r>
      <w:r>
        <w:br/>
      </w:r>
      <w:r>
        <w:rPr>
          <w:rFonts w:ascii="Times New Roman"/>
          <w:b w:val="false"/>
          <w:i w:val="false"/>
          <w:color w:val="000000"/>
          <w:sz w:val="28"/>
        </w:rPr>
        <w:t>
      Водозабор в 2012 году составил всего по Республике Казахстан 21,4 км</w:t>
      </w:r>
      <w:r>
        <w:rPr>
          <w:rFonts w:ascii="Times New Roman"/>
          <w:b w:val="false"/>
          <w:i w:val="false"/>
          <w:color w:val="000000"/>
          <w:vertAlign w:val="superscript"/>
        </w:rPr>
        <w:t>3</w:t>
      </w:r>
      <w:r>
        <w:rPr>
          <w:rFonts w:ascii="Times New Roman"/>
          <w:b w:val="false"/>
          <w:i w:val="false"/>
          <w:color w:val="000000"/>
          <w:sz w:val="28"/>
        </w:rPr>
        <w:t>, при лимите 26,5 км</w:t>
      </w:r>
      <w:r>
        <w:rPr>
          <w:rFonts w:ascii="Times New Roman"/>
          <w:b w:val="false"/>
          <w:i w:val="false"/>
          <w:color w:val="000000"/>
          <w:vertAlign w:val="superscript"/>
        </w:rPr>
        <w:t>3</w:t>
      </w:r>
      <w:r>
        <w:rPr>
          <w:rFonts w:ascii="Times New Roman"/>
          <w:b w:val="false"/>
          <w:i w:val="false"/>
          <w:color w:val="000000"/>
          <w:sz w:val="28"/>
        </w:rPr>
        <w:t>. Из них в отчетном году, использовано всего – 18,4 км</w:t>
      </w:r>
      <w:r>
        <w:rPr>
          <w:rFonts w:ascii="Times New Roman"/>
          <w:b w:val="false"/>
          <w:i w:val="false"/>
          <w:color w:val="000000"/>
          <w:vertAlign w:val="superscript"/>
        </w:rPr>
        <w:t>3</w:t>
      </w:r>
      <w:r>
        <w:rPr>
          <w:rFonts w:ascii="Times New Roman"/>
          <w:b w:val="false"/>
          <w:i w:val="false"/>
          <w:color w:val="000000"/>
          <w:sz w:val="28"/>
        </w:rPr>
        <w:t>, в том числе на коммунально-бытовые нужды 0,72 км</w:t>
      </w:r>
      <w:r>
        <w:rPr>
          <w:rFonts w:ascii="Times New Roman"/>
          <w:b w:val="false"/>
          <w:i w:val="false"/>
          <w:color w:val="000000"/>
          <w:vertAlign w:val="superscript"/>
        </w:rPr>
        <w:t>3</w:t>
      </w:r>
      <w:r>
        <w:rPr>
          <w:rFonts w:ascii="Times New Roman"/>
          <w:b w:val="false"/>
          <w:i w:val="false"/>
          <w:color w:val="000000"/>
          <w:sz w:val="28"/>
        </w:rPr>
        <w:t>, промышленные – 5,2 км</w:t>
      </w:r>
      <w:r>
        <w:rPr>
          <w:rFonts w:ascii="Times New Roman"/>
          <w:b w:val="false"/>
          <w:i w:val="false"/>
          <w:color w:val="000000"/>
          <w:vertAlign w:val="superscript"/>
        </w:rPr>
        <w:t>3</w:t>
      </w:r>
      <w:r>
        <w:rPr>
          <w:rFonts w:ascii="Times New Roman"/>
          <w:b w:val="false"/>
          <w:i w:val="false"/>
          <w:color w:val="000000"/>
          <w:sz w:val="28"/>
        </w:rPr>
        <w:t>, сельское хозяйство всего 9,1 км</w:t>
      </w:r>
      <w:r>
        <w:rPr>
          <w:rFonts w:ascii="Times New Roman"/>
          <w:b w:val="false"/>
          <w:i w:val="false"/>
          <w:color w:val="000000"/>
          <w:vertAlign w:val="superscript"/>
        </w:rPr>
        <w:t>3</w:t>
      </w:r>
      <w:r>
        <w:rPr>
          <w:rFonts w:ascii="Times New Roman"/>
          <w:b w:val="false"/>
          <w:i w:val="false"/>
          <w:color w:val="000000"/>
          <w:sz w:val="28"/>
        </w:rPr>
        <w:t>, рыбное хозяйство 0,27 км</w:t>
      </w:r>
      <w:r>
        <w:rPr>
          <w:rFonts w:ascii="Times New Roman"/>
          <w:b w:val="false"/>
          <w:i w:val="false"/>
          <w:color w:val="000000"/>
          <w:vertAlign w:val="superscript"/>
        </w:rPr>
        <w:t>3</w:t>
      </w:r>
      <w:r>
        <w:rPr>
          <w:rFonts w:ascii="Times New Roman"/>
          <w:b w:val="false"/>
          <w:i w:val="false"/>
          <w:color w:val="000000"/>
          <w:sz w:val="28"/>
        </w:rPr>
        <w:t>, прочие 1,77 км</w:t>
      </w:r>
      <w:r>
        <w:rPr>
          <w:rFonts w:ascii="Times New Roman"/>
          <w:b w:val="false"/>
          <w:i w:val="false"/>
          <w:color w:val="000000"/>
          <w:vertAlign w:val="superscript"/>
        </w:rPr>
        <w:t>3</w:t>
      </w:r>
      <w:r>
        <w:rPr>
          <w:rFonts w:ascii="Times New Roman"/>
          <w:b w:val="false"/>
          <w:i w:val="false"/>
          <w:color w:val="000000"/>
          <w:sz w:val="28"/>
        </w:rPr>
        <w:t>. В 2012 году забрано всего подземных вод 1,13 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Вследствие отсутствия долговременных межгосударственных соглашений складывается напряженная обстановка по трансграничным рекам среднеазиатского региона, где страны реализуют национальные водные стратегии, основанные на принципах независимости. Таджикистан активно рассматривает вопрос о строительстве Рогунской гидро-электро станции (далее – ГЭС) в бассейне реки Амударии, Кыргызстан намерен ввести в эксплуатацию Камбаратинские ГЭС в бассейне реки Сырдария.   Узбекистан планирует аккумулировать на своей территории около 3 км3 стока Сырдарии сверх установленных межгосударственных лимитов.</w:t>
      </w:r>
      <w:r>
        <w:br/>
      </w:r>
      <w:r>
        <w:rPr>
          <w:rFonts w:ascii="Times New Roman"/>
          <w:b w:val="false"/>
          <w:i w:val="false"/>
          <w:color w:val="000000"/>
          <w:sz w:val="28"/>
        </w:rPr>
        <w:t>
      Имеется ряд нерешенных проблем в водных отношениях Казахстана и России по трансграничным рекам Ертис, Жайык, Тобыл, Улькен и Киши Узень. Китай ведет активную водохозяйственную деятельность в бассейнах трансграничных рек Иле и Кара Ертиса. В области межгосударственного вододеления в трансграничных бассейнах Китай традиционно занимает жесткую позицию.</w:t>
      </w:r>
      <w:r>
        <w:br/>
      </w:r>
      <w:r>
        <w:rPr>
          <w:rFonts w:ascii="Times New Roman"/>
          <w:b w:val="false"/>
          <w:i w:val="false"/>
          <w:color w:val="000000"/>
          <w:sz w:val="28"/>
        </w:rPr>
        <w:t>
      Анализ выполнения межгосударственных обязательств по использованию водно-энергетических ресурсов показывает, что с 1992 года по настоящее время ни разу ни одно соглашение не было выполнено всеми сторонами в полном объеме. Основными причинами этого являются несовершенство межгосударственной правовой базы по управлению водными ресурсами и отсутствие взаимовыгодного и эффективного механизма водно-топливно-энергетического обмена.</w:t>
      </w:r>
      <w:r>
        <w:br/>
      </w:r>
      <w:r>
        <w:rPr>
          <w:rFonts w:ascii="Times New Roman"/>
          <w:b w:val="false"/>
          <w:i w:val="false"/>
          <w:color w:val="000000"/>
          <w:sz w:val="28"/>
        </w:rPr>
        <w:t>
      По результатам реализации программы «Питьевая вода» численность сельского населения, пользующегося привозной водой сократилась в 5 раз и составила 82,9 тыс. человек. Состояние водопроводов, не отвечающих санитарным нормам, снизилось с 336 до 133 единиц.</w:t>
      </w:r>
      <w:r>
        <w:br/>
      </w:r>
      <w:r>
        <w:rPr>
          <w:rFonts w:ascii="Times New Roman"/>
          <w:b w:val="false"/>
          <w:i w:val="false"/>
          <w:color w:val="000000"/>
          <w:sz w:val="28"/>
        </w:rPr>
        <w:t>
      Несмотря на определенные позитивные результаты реализации Программы, проблема обеспечения водой сельского населения до настоящего времени сохраняется.</w:t>
      </w:r>
      <w:r>
        <w:br/>
      </w:r>
      <w:r>
        <w:rPr>
          <w:rFonts w:ascii="Times New Roman"/>
          <w:b w:val="false"/>
          <w:i w:val="false"/>
          <w:color w:val="000000"/>
          <w:sz w:val="28"/>
        </w:rPr>
        <w:t>
      Доступность в сельских населенных пунктах (далее – СНП) к централизованному водоснабжению выросла лишь на 12 % и составила 41 %.</w:t>
      </w:r>
      <w:r>
        <w:br/>
      </w:r>
      <w:r>
        <w:rPr>
          <w:rFonts w:ascii="Times New Roman"/>
          <w:b w:val="false"/>
          <w:i w:val="false"/>
          <w:color w:val="000000"/>
          <w:sz w:val="28"/>
        </w:rPr>
        <w:t>
      На сегодняшний день из общего количества СНП – 7 031 к необеспеченным питьевой водой (проблемным) отнесены 3 849 СНП с численностью около 3 миллионов человек или 40 % от всего сельского населения.</w:t>
      </w:r>
      <w:r>
        <w:br/>
      </w:r>
      <w:r>
        <w:rPr>
          <w:rFonts w:ascii="Times New Roman"/>
          <w:b w:val="false"/>
          <w:i w:val="false"/>
          <w:color w:val="000000"/>
          <w:sz w:val="28"/>
        </w:rPr>
        <w:t>
      В результате быстро растущей потребности в воде в будущем ожидается дефицит воды, что может стать основным препятствием для устойчивого экономического роста и социального развития Казахстана.</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За последние 50 лет по поводу трансграничных вод в мире возникло более 500 конфликтных ситуаций, обсуждено и подписано около 200 договоров.</w:t>
      </w:r>
      <w:r>
        <w:br/>
      </w:r>
      <w:r>
        <w:rPr>
          <w:rFonts w:ascii="Times New Roman"/>
          <w:b w:val="false"/>
          <w:i w:val="false"/>
          <w:color w:val="000000"/>
          <w:sz w:val="28"/>
        </w:rPr>
        <w:t>
      В настоящее время водные отношения с сопредельными государствами регулируются на основе отдельных Межправительственных соглашений. В соответствии с положениями Межправительственных соглашений, были созданы и функционируют:</w:t>
      </w:r>
      <w:r>
        <w:br/>
      </w:r>
      <w:r>
        <w:rPr>
          <w:rFonts w:ascii="Times New Roman"/>
          <w:b w:val="false"/>
          <w:i w:val="false"/>
          <w:color w:val="000000"/>
          <w:sz w:val="28"/>
        </w:rPr>
        <w:t>
      1) Казахстанско-Российская комиссия по совместному использованию и охране трансграничных водных объектов;</w:t>
      </w:r>
      <w:r>
        <w:br/>
      </w:r>
      <w:r>
        <w:rPr>
          <w:rFonts w:ascii="Times New Roman"/>
          <w:b w:val="false"/>
          <w:i w:val="false"/>
          <w:color w:val="000000"/>
          <w:sz w:val="28"/>
        </w:rPr>
        <w:t>
      2) Казахстанско-Китайская Совместная комиссия по использованию и охране трансграничных рек;</w:t>
      </w:r>
      <w:r>
        <w:br/>
      </w:r>
      <w:r>
        <w:rPr>
          <w:rFonts w:ascii="Times New Roman"/>
          <w:b w:val="false"/>
          <w:i w:val="false"/>
          <w:color w:val="000000"/>
          <w:sz w:val="28"/>
        </w:rPr>
        <w:t>
      3) Казахстанско-Кыргызская комиссия по использованию водохозяйственных сооружений межгосударственного пользования на реках Шу и Талас;</w:t>
      </w:r>
      <w:r>
        <w:br/>
      </w:r>
      <w:r>
        <w:rPr>
          <w:rFonts w:ascii="Times New Roman"/>
          <w:b w:val="false"/>
          <w:i w:val="false"/>
          <w:color w:val="000000"/>
          <w:sz w:val="28"/>
        </w:rPr>
        <w:t>
      4) Межгосударственная Координационная Водохозяйственная Комиссия (далее – МКВК) по использованию водных ресурсов рек бассейна Аральского моря.</w:t>
      </w:r>
    </w:p>
    <w:bookmarkEnd w:id="9"/>
    <w:bookmarkStart w:name="z26" w:id="10"/>
    <w:p>
      <w:pPr>
        <w:spacing w:after="0"/>
        <w:ind w:left="0"/>
        <w:jc w:val="both"/>
      </w:pPr>
      <w:r>
        <w:rPr>
          <w:rFonts w:ascii="Times New Roman"/>
          <w:b w:val="false"/>
          <w:i w:val="false"/>
          <w:color w:val="000000"/>
          <w:sz w:val="28"/>
        </w:rPr>
        <w:t>
      </w:t>
      </w:r>
      <w:r>
        <w:rPr>
          <w:rFonts w:ascii="Times New Roman"/>
          <w:b/>
          <w:i w:val="false"/>
          <w:color w:val="000000"/>
          <w:sz w:val="28"/>
        </w:rPr>
        <w:t>3. Стратегическое направление 3. Обеспечение охраны, воспроизводства и рационального использования растительного и животного мира, особо охраняемых природных территорий</w:t>
      </w:r>
      <w:r>
        <w:br/>
      </w:r>
      <w:r>
        <w:rPr>
          <w:rFonts w:ascii="Times New Roman"/>
          <w:b w:val="false"/>
          <w:i w:val="false"/>
          <w:color w:val="000000"/>
          <w:sz w:val="28"/>
        </w:rPr>
        <w:t>
      </w:t>
      </w:r>
      <w:r>
        <w:rPr>
          <w:rFonts w:ascii="Times New Roman"/>
          <w:b w:val="false"/>
          <w:i w:val="false"/>
          <w:color w:val="ff0000"/>
          <w:sz w:val="28"/>
        </w:rPr>
        <w:t xml:space="preserve">Сноска. Подраздел 3 с изменениями, внесенными постановлением Правительства РК от 08.07.2014 </w:t>
      </w:r>
      <w:r>
        <w:rPr>
          <w:rFonts w:ascii="Times New Roman"/>
          <w:b w:val="false"/>
          <w:i w:val="false"/>
          <w:color w:val="000000"/>
          <w:sz w:val="28"/>
        </w:rPr>
        <w:t>№ 779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Лесное хозяйство и животный мир.</w:t>
      </w:r>
      <w:r>
        <w:br/>
      </w:r>
      <w:r>
        <w:rPr>
          <w:rFonts w:ascii="Times New Roman"/>
          <w:b w:val="false"/>
          <w:i w:val="false"/>
          <w:color w:val="000000"/>
          <w:sz w:val="28"/>
        </w:rPr>
        <w:t>
      В целях реализации </w:t>
      </w:r>
      <w:r>
        <w:rPr>
          <w:rFonts w:ascii="Times New Roman"/>
          <w:b w:val="false"/>
          <w:i w:val="false"/>
          <w:color w:val="000000"/>
          <w:sz w:val="28"/>
        </w:rPr>
        <w:t>Программы</w:t>
      </w:r>
      <w:r>
        <w:rPr>
          <w:rFonts w:ascii="Times New Roman"/>
          <w:b w:val="false"/>
          <w:i w:val="false"/>
          <w:color w:val="000000"/>
          <w:sz w:val="28"/>
        </w:rPr>
        <w:t xml:space="preserve"> «Жасыл даму» на 2010 – 2014 годы», утвержденной постановлением Правительства Республики Казахстан от 10 сентября 2010 года № 924, в 2012 году лесоохранными учреждениями акиматов областей и природоохранными учреждениями Комитета лесного и охотничьего хозяйства проведены лесопосадочные работы на площади 74,0 тыс. га, в том числе методом посадки и посева леса на площади 60,8 тыс. га и содействия естественному возобновлению леса на площади 13,2 тыс. га. Объемы воспроизводства лесов по сравнению с 2010 годом выросли на 30 %, а в сравнении с 2005 годом на 58 %.</w:t>
      </w:r>
      <w:r>
        <w:br/>
      </w:r>
      <w:r>
        <w:rPr>
          <w:rFonts w:ascii="Times New Roman"/>
          <w:b w:val="false"/>
          <w:i w:val="false"/>
          <w:color w:val="000000"/>
          <w:sz w:val="28"/>
        </w:rPr>
        <w:t>
      Ежегодный объем лесопосадок к 2014 году составит 54 тыс. га. Объемы воспроизводства лесов на территории государственного лесного фонда, находящегося в ведении местных исполнительных органов, на территории государственных национальных природных парков (далее – ГНПП) и государственных лесных природных резерватов (далее – ГЛПР), Сандыктауского учебно-производственного лесного хозяйства (далее – УПЛХ) и республиканского государственного предприятия «Жасыл аймак» (далее – РГП) распределились в нижеуказанной таблице.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7"/>
        <w:gridCol w:w="3803"/>
        <w:gridCol w:w="1187"/>
        <w:gridCol w:w="1186"/>
        <w:gridCol w:w="1187"/>
      </w:tblGrid>
      <w:tr>
        <w:trPr>
          <w:trHeight w:val="150" w:hRule="atLeast"/>
        </w:trPr>
        <w:tc>
          <w:tcPr>
            <w:tcW w:w="5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 и учреждений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лесов, тыс. га</w:t>
            </w:r>
          </w:p>
        </w:tc>
      </w:tr>
      <w:tr>
        <w:trPr>
          <w:trHeight w:val="150"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19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0,825</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5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ГНПП</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22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Иле-Алатауский ГНПП</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2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ГНПП</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ГНПП</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2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ГНПП «Кокшетау»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22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ГЛПР «Семей орманы»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ГЛПР «Ертіс орманы»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22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ГНПП «Кольсай колдеры»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Сайрам-Угамский ГНПП</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2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Жонгар-Алатауский ГНПП</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2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ГНПП «Бурабай»</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5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УПЛХ</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10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22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«Жасыл аймак»</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bookmarkStart w:name="z28" w:id="11"/>
    <w:p>
      <w:pPr>
        <w:spacing w:after="0"/>
        <w:ind w:left="0"/>
        <w:jc w:val="both"/>
      </w:pPr>
      <w:r>
        <w:rPr>
          <w:rFonts w:ascii="Times New Roman"/>
          <w:b w:val="false"/>
          <w:i w:val="false"/>
          <w:color w:val="000000"/>
          <w:sz w:val="28"/>
        </w:rPr>
        <w:t>      Ежегодно увеличивается площадь зеленой зоны города Астаны. Весной 2012 года проведены работы по ее созданию на площади 5 тыс. га. Всего с 1997 года посажено 60 тыс. га лесонасаждений.</w:t>
      </w:r>
      <w:r>
        <w:br/>
      </w:r>
      <w:r>
        <w:rPr>
          <w:rFonts w:ascii="Times New Roman"/>
          <w:b w:val="false"/>
          <w:i w:val="false"/>
          <w:color w:val="000000"/>
          <w:sz w:val="28"/>
        </w:rPr>
        <w:t>
      В течение 2012 года проводились работы по сохранению и восстановлению численности редких и исчезающих видов диких копытных животных и сайгаков. Осуществлялась охрана охотничьих видов животных силами егерского состава охотничьих хозяйств и инспекторами областных территориальных управлений лесного и охотничьего хозяйства.</w:t>
      </w:r>
      <w:r>
        <w:br/>
      </w:r>
      <w:r>
        <w:rPr>
          <w:rFonts w:ascii="Times New Roman"/>
          <w:b w:val="false"/>
          <w:i w:val="false"/>
          <w:color w:val="000000"/>
          <w:sz w:val="28"/>
        </w:rPr>
        <w:t>
      По результатам учета сайгаков, проведенного Республиканским государственным казенным предприятием «ПО Охотзоопром» и Республиканским государственным предприятием «Институт зоологии» Комитета науки Министерства образования и науки Республики Казахстан, общая численность сайгаков составляет – 137,5 тыс. особей (на 35,5 тысяч особей или на 34,8 % больше чем в 2011 году), в том числе: бетпакдалинская – 110,1 тыс., устюртская – 6,5 тыс. и уральская – 20,9 тыс. особей.</w:t>
      </w:r>
      <w:r>
        <w:br/>
      </w:r>
      <w:r>
        <w:rPr>
          <w:rFonts w:ascii="Times New Roman"/>
          <w:b w:val="false"/>
          <w:i w:val="false"/>
          <w:color w:val="000000"/>
          <w:sz w:val="28"/>
        </w:rPr>
        <w:t>
      Эффективной мерой сохранения биологического разнообразия является создание особо охраняемых природных территорий (далее – ООПТ). Для сохранения сайгаков и степных экосистем в ноябре 2012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1496 создан государственный природный резерват «Алтын Дала» в Костанайской области общей площадью 489,7 тыс. га.</w:t>
      </w:r>
      <w:r>
        <w:br/>
      </w:r>
      <w:r>
        <w:rPr>
          <w:rFonts w:ascii="Times New Roman"/>
          <w:b w:val="false"/>
          <w:i w:val="false"/>
          <w:color w:val="000000"/>
          <w:sz w:val="28"/>
        </w:rPr>
        <w:t>
      Охотничьи угодья в республике занимают 234,0 млн. га территорий, из которых на 1 января 2013 года закреплены за охотничьими хозяйствами 120,0 млн. га (51,2 %). На указанной территории охрана объектов животного мира обеспечивается силами егерских служб охотничьих хозяйств, на содержание которых в 2012 году израсходовано 1,12 млрд. тенге за счет собственных средств. В 2012 году в девяти областях проведены работы по межхозяйственному охотоустройству на площади более 3,66 млн. га резервного фонда охотничьих угодий, по материалам которых в 2013 году планируется создание 38 охотничьих хозяйств.</w:t>
      </w:r>
      <w:r>
        <w:br/>
      </w:r>
      <w:r>
        <w:rPr>
          <w:rFonts w:ascii="Times New Roman"/>
          <w:b w:val="false"/>
          <w:i w:val="false"/>
          <w:color w:val="000000"/>
          <w:sz w:val="28"/>
        </w:rPr>
        <w:t>
      Рыбное хозяйство.</w:t>
      </w:r>
      <w:r>
        <w:br/>
      </w:r>
      <w:r>
        <w:rPr>
          <w:rFonts w:ascii="Times New Roman"/>
          <w:b w:val="false"/>
          <w:i w:val="false"/>
          <w:color w:val="000000"/>
          <w:sz w:val="28"/>
        </w:rPr>
        <w:t>
      Одной из основных задач в области рыбного хозяйства является предупреждение и пресечение фактов нарушения природоохранного законодательства, где особое внимание уделяется охране осетровых видов рыб.</w:t>
      </w:r>
      <w:r>
        <w:br/>
      </w:r>
      <w:r>
        <w:rPr>
          <w:rFonts w:ascii="Times New Roman"/>
          <w:b w:val="false"/>
          <w:i w:val="false"/>
          <w:color w:val="000000"/>
          <w:sz w:val="28"/>
        </w:rPr>
        <w:t>
      За 2013 год инспекциями рыбного хозяйства было зафиксировано 7 639 административных правонарушений, в результате чего судом 35 лиц привлечены к уголовной и 1 122 лиц – к административной ответственности. Наложено штрафов на сумму 53,2 млн. тенге, взыскано 43,6 млн. тенге или 82,0%. За нанесенный ущерб рыбным ресурсам предъявлено исков на сумму 20,0 млн. тенге, из них взыскано 6,6 млн. тенге (33%). За отчетный период у нарушителей изъято 82,5 тонн рыбы, 6742 единиц орудий лова, 451 единиц плавательных средств.</w:t>
      </w:r>
      <w:r>
        <w:br/>
      </w:r>
      <w:r>
        <w:rPr>
          <w:rFonts w:ascii="Times New Roman"/>
          <w:b w:val="false"/>
          <w:i w:val="false"/>
          <w:color w:val="000000"/>
          <w:sz w:val="28"/>
        </w:rPr>
        <w:t>
      Из 344 водоемов и (или) участков международного и республиканского значения за 152 пользователями закреплено 292 водоема и (или) участка.</w:t>
      </w:r>
      <w:r>
        <w:br/>
      </w:r>
      <w:r>
        <w:rPr>
          <w:rFonts w:ascii="Times New Roman"/>
          <w:b w:val="false"/>
          <w:i w:val="false"/>
          <w:color w:val="000000"/>
          <w:sz w:val="28"/>
        </w:rPr>
        <w:t>
      По водоемам местного значения из имеющихся 2 742 водоемов за 865 рыбохозяйственными организациями закреплено 1536 водоема.</w:t>
      </w:r>
      <w:r>
        <w:br/>
      </w:r>
      <w:r>
        <w:rPr>
          <w:rFonts w:ascii="Times New Roman"/>
          <w:b w:val="false"/>
          <w:i w:val="false"/>
          <w:color w:val="000000"/>
          <w:sz w:val="28"/>
        </w:rPr>
        <w:t>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15 февраля 2013 года № 135 на 2013 год по республике утвержден лимит вылова рыбы и других водных животных (без учета морских видов рыб Каспийского моря) – 60,6 тыс. тонн, из них освоено 42,9 тыс. тонн или 70,7 %. При этом лимиты утверждаются Правительством с 15 февраля предыдущего года по 15 февраля текущего года. Поступило платежей за пользование животным миром в 2013 году на сумму 593,1 млн. тенге.</w:t>
      </w:r>
      <w:r>
        <w:br/>
      </w:r>
      <w:r>
        <w:rPr>
          <w:rFonts w:ascii="Times New Roman"/>
          <w:b w:val="false"/>
          <w:i w:val="false"/>
          <w:color w:val="000000"/>
          <w:sz w:val="28"/>
        </w:rPr>
        <w:t>
      Одним из направлений деятельности в области рыбного хозяйства является создание условий для естественного и искусственного воспроизводства рыбных ресурсов.</w:t>
      </w:r>
      <w:r>
        <w:br/>
      </w:r>
      <w:r>
        <w:rPr>
          <w:rFonts w:ascii="Times New Roman"/>
          <w:b w:val="false"/>
          <w:i w:val="false"/>
          <w:color w:val="000000"/>
          <w:sz w:val="28"/>
        </w:rPr>
        <w:t>
      В этой связи государственными предприятиями воспроизводственного комплекса в 2013 году было выпущено 158,42 млн. штук молоди рыб, в том числе 7 млн. штук молоди осетровых видов рыб.</w:t>
      </w:r>
      <w:r>
        <w:br/>
      </w:r>
      <w:r>
        <w:rPr>
          <w:rFonts w:ascii="Times New Roman"/>
          <w:b w:val="false"/>
          <w:i w:val="false"/>
          <w:color w:val="000000"/>
          <w:sz w:val="28"/>
        </w:rPr>
        <w:t>
</w:t>
      </w:r>
      <w:r>
        <w:rPr>
          <w:rFonts w:ascii="Times New Roman"/>
          <w:b w:val="false"/>
          <w:i w:val="false"/>
          <w:color w:val="000000"/>
          <w:sz w:val="28"/>
        </w:rPr>
        <w:t xml:space="preserve">
      2. Анализ основных проблем </w:t>
      </w:r>
      <w:r>
        <w:br/>
      </w:r>
      <w:r>
        <w:rPr>
          <w:rFonts w:ascii="Times New Roman"/>
          <w:b w:val="false"/>
          <w:i w:val="false"/>
          <w:color w:val="000000"/>
          <w:sz w:val="28"/>
        </w:rPr>
        <w:t>
      К наиболее значимым проблемам лесного и охотничьего хозяйства в настоящее время можно отнести:</w:t>
      </w:r>
      <w:r>
        <w:br/>
      </w:r>
      <w:r>
        <w:rPr>
          <w:rFonts w:ascii="Times New Roman"/>
          <w:b w:val="false"/>
          <w:i w:val="false"/>
          <w:color w:val="000000"/>
          <w:sz w:val="28"/>
        </w:rPr>
        <w:t>
      1) лесные пожары, причиняющие огромный ущерб лесному хозяйству;</w:t>
      </w:r>
      <w:r>
        <w:br/>
      </w:r>
      <w:r>
        <w:rPr>
          <w:rFonts w:ascii="Times New Roman"/>
          <w:b w:val="false"/>
          <w:i w:val="false"/>
          <w:color w:val="000000"/>
          <w:sz w:val="28"/>
        </w:rPr>
        <w:t>
      2) степные пожары, оказывающие большое влияние на возникновение лесных пожаров. Они также губительно сказываются на состоянии животного мира и в целом биологического разнообразия, наносят значительный ущерб сельскому хозяйству;</w:t>
      </w:r>
      <w:r>
        <w:br/>
      </w:r>
      <w:r>
        <w:rPr>
          <w:rFonts w:ascii="Times New Roman"/>
          <w:b w:val="false"/>
          <w:i w:val="false"/>
          <w:color w:val="000000"/>
          <w:sz w:val="28"/>
        </w:rPr>
        <w:t>
      3) слабое материально техническое обеспечение государственных учреждений лесного хозяйства;</w:t>
      </w:r>
      <w:r>
        <w:br/>
      </w:r>
      <w:r>
        <w:rPr>
          <w:rFonts w:ascii="Times New Roman"/>
          <w:b w:val="false"/>
          <w:i w:val="false"/>
          <w:color w:val="000000"/>
          <w:sz w:val="28"/>
        </w:rPr>
        <w:t>
      4) недостаточное финансирование противопожарных мероприятий в государственных учреждениях лесного хозяйства;</w:t>
      </w:r>
      <w:r>
        <w:br/>
      </w:r>
      <w:r>
        <w:rPr>
          <w:rFonts w:ascii="Times New Roman"/>
          <w:b w:val="false"/>
          <w:i w:val="false"/>
          <w:color w:val="000000"/>
          <w:sz w:val="28"/>
        </w:rPr>
        <w:t>
      5) отсутствие узкоспециализированного структурного подразделения в составе РГКП «ПО Охотзоопром» для целенаправленных работ по переселению диких животных для реинтродукции в исторические ареалы обитания, для сохранения генофонда, для развития охотничьих хозяйств (поимка животных, карантин, транспортировка и т.д.);</w:t>
      </w:r>
      <w:r>
        <w:br/>
      </w:r>
      <w:r>
        <w:rPr>
          <w:rFonts w:ascii="Times New Roman"/>
          <w:b w:val="false"/>
          <w:i w:val="false"/>
          <w:color w:val="000000"/>
          <w:sz w:val="28"/>
        </w:rPr>
        <w:t>
      6) недостаточная изученность территории резервного фонда охотничьих угодий в целях определения перспективных участков для дальнейшего закрепления на конкурсной основе за пользователями животного мира с возложением на них обязанностей по охране объектов животного мира;</w:t>
      </w:r>
      <w:r>
        <w:br/>
      </w:r>
      <w:r>
        <w:rPr>
          <w:rFonts w:ascii="Times New Roman"/>
          <w:b w:val="false"/>
          <w:i w:val="false"/>
          <w:color w:val="000000"/>
          <w:sz w:val="28"/>
        </w:rPr>
        <w:t>
      7) неизученность вопросов дичеразведения, содержания животных в неволе и полувольных условиях в охотничьих хозяйствах, в целях воспроизводства и использования животного мира для целей охоты и развития интурохоты;</w:t>
      </w:r>
      <w:r>
        <w:br/>
      </w:r>
      <w:r>
        <w:rPr>
          <w:rFonts w:ascii="Times New Roman"/>
          <w:b w:val="false"/>
          <w:i w:val="false"/>
          <w:color w:val="000000"/>
          <w:sz w:val="28"/>
        </w:rPr>
        <w:t>
      8) неизученность вопросов по учету численности и оптимальной численности хищников на территории республики, для принятия профилактических мер по минимизации наносимого ими вреда населению, сельскому хозяйству и дикой фауне;</w:t>
      </w:r>
      <w:r>
        <w:br/>
      </w:r>
      <w:r>
        <w:rPr>
          <w:rFonts w:ascii="Times New Roman"/>
          <w:b w:val="false"/>
          <w:i w:val="false"/>
          <w:color w:val="000000"/>
          <w:sz w:val="28"/>
        </w:rPr>
        <w:t>
      9) неизученность вопросов оптимальной численности диких копытных животных в ареалах распространения (архар, кулан, джейран, тугайный олень, сайгак) с учетом развития сельского хозяйства, наличия кормовой базы в целях регулирования их численности и осуществления работ по полувольному содержанию и переселению животных для реинтродукции в исторические ареалы обитания, для сохранения их генофонда;</w:t>
      </w:r>
      <w:r>
        <w:br/>
      </w:r>
      <w:r>
        <w:rPr>
          <w:rFonts w:ascii="Times New Roman"/>
          <w:b w:val="false"/>
          <w:i w:val="false"/>
          <w:color w:val="000000"/>
          <w:sz w:val="28"/>
        </w:rPr>
        <w:t>
      10) определение мероприятий с финансированием по решению проблемы сохранения снежного барса (Pantheraunica) в Казахстане и малого белолобого гуся (Ansererythropus) в рамках международных мер по их сохранению.</w:t>
      </w:r>
      <w:r>
        <w:br/>
      </w:r>
      <w:r>
        <w:rPr>
          <w:rFonts w:ascii="Times New Roman"/>
          <w:b w:val="false"/>
          <w:i w:val="false"/>
          <w:color w:val="000000"/>
          <w:sz w:val="28"/>
        </w:rPr>
        <w:t xml:space="preserve">
      Наиболее значимые проблемы рыбного хозяйства: </w:t>
      </w:r>
      <w:r>
        <w:br/>
      </w:r>
      <w:r>
        <w:rPr>
          <w:rFonts w:ascii="Times New Roman"/>
          <w:b w:val="false"/>
          <w:i w:val="false"/>
          <w:color w:val="000000"/>
          <w:sz w:val="28"/>
        </w:rPr>
        <w:t>
      1) реконструкция двух действующих в городе Атырау осетровых рыбоводных заводов;</w:t>
      </w:r>
      <w:r>
        <w:br/>
      </w:r>
      <w:r>
        <w:rPr>
          <w:rFonts w:ascii="Times New Roman"/>
          <w:b w:val="false"/>
          <w:i w:val="false"/>
          <w:color w:val="000000"/>
          <w:sz w:val="28"/>
        </w:rPr>
        <w:t>
      2) в целях улучшения условий для естественного воспроизводства ценных промысловых видов рыб необходимо проведение мелиоративных (дноуглубительных) работ в дельтовой, русловой и пойменной части основных трансграничных рек;</w:t>
      </w:r>
      <w:r>
        <w:br/>
      </w:r>
      <w:r>
        <w:rPr>
          <w:rFonts w:ascii="Times New Roman"/>
          <w:b w:val="false"/>
          <w:i w:val="false"/>
          <w:color w:val="000000"/>
          <w:sz w:val="28"/>
        </w:rPr>
        <w:t>
      3) необходимо увеличить выделение финансовых средств для проведения научных исследований в сфере рыбного хозяйства, предусмотрев целевые финансовые средства для изучения факторов, отрицательно влияющих на популяцию каспийского тюленя;</w:t>
      </w:r>
      <w:r>
        <w:br/>
      </w:r>
      <w:r>
        <w:rPr>
          <w:rFonts w:ascii="Times New Roman"/>
          <w:b w:val="false"/>
          <w:i w:val="false"/>
          <w:color w:val="000000"/>
          <w:sz w:val="28"/>
        </w:rPr>
        <w:t>
      4) кроме того, одной из основных проблем является недостаточное количество инспекторского состава межобластных бассейновых инспекций рыбного хозяйства и их слабое материально-техническое обеспечение;</w:t>
      </w:r>
      <w:r>
        <w:br/>
      </w:r>
      <w:r>
        <w:rPr>
          <w:rFonts w:ascii="Times New Roman"/>
          <w:b w:val="false"/>
          <w:i w:val="false"/>
          <w:color w:val="000000"/>
          <w:sz w:val="28"/>
        </w:rPr>
        <w:t>
      5) изношенность производственной базы предприятий воспроизводственного комплекса;</w:t>
      </w:r>
      <w:r>
        <w:br/>
      </w:r>
      <w:r>
        <w:rPr>
          <w:rFonts w:ascii="Times New Roman"/>
          <w:b w:val="false"/>
          <w:i w:val="false"/>
          <w:color w:val="000000"/>
          <w:sz w:val="28"/>
        </w:rPr>
        <w:t>
      6) слабое материально-техническое обеспечение межобластных бассейновых инспекций рыбного хозяйства;</w:t>
      </w:r>
      <w:r>
        <w:br/>
      </w:r>
      <w:r>
        <w:rPr>
          <w:rFonts w:ascii="Times New Roman"/>
          <w:b w:val="false"/>
          <w:i w:val="false"/>
          <w:color w:val="000000"/>
          <w:sz w:val="28"/>
        </w:rPr>
        <w:t>
      7) недостаточное финансирование на проведение научных исследований;</w:t>
      </w:r>
      <w:r>
        <w:br/>
      </w:r>
      <w:r>
        <w:rPr>
          <w:rFonts w:ascii="Times New Roman"/>
          <w:b w:val="false"/>
          <w:i w:val="false"/>
          <w:color w:val="000000"/>
          <w:sz w:val="28"/>
        </w:rPr>
        <w:t>
      8) недостаточная обеспеченность высококвалифицированными кадрами.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08.07.2014 </w:t>
      </w:r>
      <w:r>
        <w:rPr>
          <w:rFonts w:ascii="Times New Roman"/>
          <w:b w:val="false"/>
          <w:i w:val="false"/>
          <w:color w:val="000000"/>
          <w:sz w:val="28"/>
        </w:rPr>
        <w:t>№ 779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Лесное хозяйство и животный мир.</w:t>
      </w:r>
      <w:r>
        <w:br/>
      </w:r>
      <w:r>
        <w:rPr>
          <w:rFonts w:ascii="Times New Roman"/>
          <w:b w:val="false"/>
          <w:i w:val="false"/>
          <w:color w:val="000000"/>
          <w:sz w:val="28"/>
        </w:rPr>
        <w:t>
      В 2012 году на территории государственного лесного фонда и особо охраняемых природных территориях республики произошло 665 случаев лесных пожаров на площади 6,6 тыс. га, в том числе лесопокрытая составила 4,7 тыс. га. Ущерб от лесных пожаров – 165327 тысяч тенге.</w:t>
      </w:r>
      <w:r>
        <w:br/>
      </w:r>
      <w:r>
        <w:rPr>
          <w:rFonts w:ascii="Times New Roman"/>
          <w:b w:val="false"/>
          <w:i w:val="false"/>
          <w:color w:val="000000"/>
          <w:sz w:val="28"/>
        </w:rPr>
        <w:t>
      Анализ лесных пожаров за 2012 год показал, что по сравнению с 2011 годом их площади увеличились на 52 %, но по сравнению со средним показателем за последние 5 лет площадь лесных пожаров уменьшилась на 1,5 %.</w:t>
      </w:r>
      <w:r>
        <w:br/>
      </w:r>
      <w:r>
        <w:rPr>
          <w:rFonts w:ascii="Times New Roman"/>
          <w:b w:val="false"/>
          <w:i w:val="false"/>
          <w:color w:val="000000"/>
          <w:sz w:val="28"/>
        </w:rPr>
        <w:t>
      Своевременность обнаружения и ликвидация степных пожаров, угрожающих лесному фонду, достигается и проведением авиационного патрулирования. В 2012 году патрулирование было осуществлено в объеме 8897 часов на площади 8869 тыс. га. При этом службами авиалесохраны было обнаружено и ликвидировано 351 случаев лесных пожаров, что составляет по охраняемой территории 81% от их общего числа.</w:t>
      </w:r>
      <w:r>
        <w:br/>
      </w:r>
      <w:r>
        <w:rPr>
          <w:rFonts w:ascii="Times New Roman"/>
          <w:b w:val="false"/>
          <w:i w:val="false"/>
          <w:color w:val="000000"/>
          <w:sz w:val="28"/>
        </w:rPr>
        <w:t>
      За последние годы в результате принятых мер по совершенствованию нормативной правовой базы лесного хозяйства, увеличения бюджетного финансирования отрасли удалось значительно снизить объемы незаконных рубок. Так в 2012 году выявлено 869 случаев незаконной рубки леса в объеме 4,2 тыс. кубометров незаконно заготовленной древесины, что в 51 раз меньше по сравнению с объемом 2006 года.</w:t>
      </w:r>
      <w:r>
        <w:br/>
      </w:r>
      <w:r>
        <w:rPr>
          <w:rFonts w:ascii="Times New Roman"/>
          <w:b w:val="false"/>
          <w:i w:val="false"/>
          <w:color w:val="000000"/>
          <w:sz w:val="28"/>
        </w:rPr>
        <w:t xml:space="preserve">
      Государственными инспекторами по охране растительного и животного мира особо охраняемых природных территорий совместно с правоохранительными органами с начала текущего года проведено </w:t>
      </w:r>
      <w:r>
        <w:br/>
      </w:r>
      <w:r>
        <w:rPr>
          <w:rFonts w:ascii="Times New Roman"/>
          <w:b w:val="false"/>
          <w:i w:val="false"/>
          <w:color w:val="000000"/>
          <w:sz w:val="28"/>
        </w:rPr>
        <w:t>
17324 рейдов, при этом выявлено 830 факта незаконных рубок леса, объем от которых составил 398 кубометров. Наложено штрафов на 448 нарушителей лесного законодательства в сумме 4999 тыс. тенге, из них взыскано с 316 нарушителей 3878 тыс. тенге. Предъявлено исков 651 нарушителям в сумме 12177 тыс. тенге, из них взыскано с 477 нарушителей 8987 тыс. тенге.</w:t>
      </w:r>
      <w:r>
        <w:br/>
      </w:r>
      <w:r>
        <w:rPr>
          <w:rFonts w:ascii="Times New Roman"/>
          <w:b w:val="false"/>
          <w:i w:val="false"/>
          <w:color w:val="000000"/>
          <w:sz w:val="28"/>
        </w:rPr>
        <w:t>
      У нарушителей изъято 1046 кубометров незаконно заготовленной древесины, а также 30 орудий правонарушений.</w:t>
      </w:r>
      <w:r>
        <w:br/>
      </w:r>
      <w:r>
        <w:rPr>
          <w:rFonts w:ascii="Times New Roman"/>
          <w:b w:val="false"/>
          <w:i w:val="false"/>
          <w:color w:val="000000"/>
          <w:sz w:val="28"/>
        </w:rPr>
        <w:t>
      Передано в суды 246 и в правоохранительные органы 186 дел по фактам незаконной рубки леса, при этом судами рассмотрено 219 административных и 9 уголовных дел.</w:t>
      </w:r>
      <w:r>
        <w:br/>
      </w:r>
      <w:r>
        <w:rPr>
          <w:rFonts w:ascii="Times New Roman"/>
          <w:b w:val="false"/>
          <w:i w:val="false"/>
          <w:color w:val="000000"/>
          <w:sz w:val="28"/>
        </w:rPr>
        <w:t>
      Рыбное хозяйство.</w:t>
      </w:r>
      <w:r>
        <w:br/>
      </w:r>
      <w:r>
        <w:rPr>
          <w:rFonts w:ascii="Times New Roman"/>
          <w:b w:val="false"/>
          <w:i w:val="false"/>
          <w:color w:val="000000"/>
          <w:sz w:val="28"/>
        </w:rPr>
        <w:t>
      К основным внешним и внутренним факторам, оказывающим влияние на развитие рыбного хозяйства, относятся:</w:t>
      </w:r>
      <w:r>
        <w:br/>
      </w:r>
      <w:r>
        <w:rPr>
          <w:rFonts w:ascii="Times New Roman"/>
          <w:b w:val="false"/>
          <w:i w:val="false"/>
          <w:color w:val="000000"/>
          <w:sz w:val="28"/>
        </w:rPr>
        <w:t xml:space="preserve">
      1) негативное антропогенное и техногенное воздействие; </w:t>
      </w:r>
      <w:r>
        <w:br/>
      </w:r>
      <w:r>
        <w:rPr>
          <w:rFonts w:ascii="Times New Roman"/>
          <w:b w:val="false"/>
          <w:i w:val="false"/>
          <w:color w:val="000000"/>
          <w:sz w:val="28"/>
        </w:rPr>
        <w:t>
      2) риски природного характера (возрастающий дефицит водных ресурсов, неблагоприятный гидрологический режим (маловодность), ухудшение гидрохимического состава воды (кислородный режим).</w:t>
      </w:r>
      <w:r>
        <w:br/>
      </w:r>
      <w:r>
        <w:rPr>
          <w:rFonts w:ascii="Times New Roman"/>
          <w:b w:val="false"/>
          <w:i w:val="false"/>
          <w:color w:val="000000"/>
          <w:sz w:val="28"/>
        </w:rPr>
        <w:t>
      Рыбное хозяйство является одним из секторов экономики Казахстана, где имеются потенциальные резервы для роста производства.</w:t>
      </w:r>
      <w:r>
        <w:br/>
      </w:r>
      <w:r>
        <w:rPr>
          <w:rFonts w:ascii="Times New Roman"/>
          <w:b w:val="false"/>
          <w:i w:val="false"/>
          <w:color w:val="000000"/>
          <w:sz w:val="28"/>
        </w:rPr>
        <w:t>
      Рыбное хозяйство, как ключевой фактор «зеленой экономики», имеет большое значение для обеспечения экологически чистого, полноценно сбалансированного белкового питания, а также в деле решения социальных вопросов в качестве источника доходов и обеспечения занятости населения.</w:t>
      </w:r>
      <w:r>
        <w:br/>
      </w:r>
      <w:r>
        <w:rPr>
          <w:rFonts w:ascii="Times New Roman"/>
          <w:b w:val="false"/>
          <w:i w:val="false"/>
          <w:color w:val="000000"/>
          <w:sz w:val="28"/>
        </w:rPr>
        <w:t>
      Основными направлениями развития рыбного хозяйства являются:</w:t>
      </w:r>
      <w:r>
        <w:br/>
      </w:r>
      <w:r>
        <w:rPr>
          <w:rFonts w:ascii="Times New Roman"/>
          <w:b w:val="false"/>
          <w:i w:val="false"/>
          <w:color w:val="000000"/>
          <w:sz w:val="28"/>
        </w:rPr>
        <w:t>
      1) осуществление охраны рыбных ресурсов и других водных животных;</w:t>
      </w:r>
      <w:r>
        <w:br/>
      </w:r>
      <w:r>
        <w:rPr>
          <w:rFonts w:ascii="Times New Roman"/>
          <w:b w:val="false"/>
          <w:i w:val="false"/>
          <w:color w:val="000000"/>
          <w:sz w:val="28"/>
        </w:rPr>
        <w:t>
      2) регулирование устойчивого использования рыбных ресурсов;</w:t>
      </w:r>
      <w:r>
        <w:br/>
      </w:r>
      <w:r>
        <w:rPr>
          <w:rFonts w:ascii="Times New Roman"/>
          <w:b w:val="false"/>
          <w:i w:val="false"/>
          <w:color w:val="000000"/>
          <w:sz w:val="28"/>
        </w:rPr>
        <w:t>
      3) воспроизводство рыбных ресурсов.</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08.07.2014 </w:t>
      </w:r>
      <w:r>
        <w:rPr>
          <w:rFonts w:ascii="Times New Roman"/>
          <w:b w:val="false"/>
          <w:i w:val="false"/>
          <w:color w:val="000000"/>
          <w:sz w:val="28"/>
        </w:rPr>
        <w:t>№ 779</w:t>
      </w:r>
      <w:r>
        <w:rPr>
          <w:rFonts w:ascii="Times New Roman"/>
          <w:b w:val="false"/>
          <w:i w:val="false"/>
          <w:color w:val="ff0000"/>
          <w:sz w:val="28"/>
        </w:rPr>
        <w:t>.</w:t>
      </w:r>
    </w:p>
    <w:bookmarkEnd w:id="11"/>
    <w:bookmarkStart w:name="z30" w:id="12"/>
    <w:p>
      <w:pPr>
        <w:spacing w:after="0"/>
        <w:ind w:left="0"/>
        <w:jc w:val="both"/>
      </w:pPr>
      <w:r>
        <w:rPr>
          <w:rFonts w:ascii="Times New Roman"/>
          <w:b w:val="false"/>
          <w:i w:val="false"/>
          <w:color w:val="000000"/>
          <w:sz w:val="28"/>
        </w:rPr>
        <w:t>
</w:t>
      </w:r>
      <w:r>
        <w:rPr>
          <w:rFonts w:ascii="Times New Roman"/>
          <w:b/>
          <w:i w:val="false"/>
          <w:color w:val="000000"/>
          <w:sz w:val="28"/>
        </w:rPr>
        <w:t>      Раздел 3. Стратегические направления, цели, задачи, целевые индикаторы, мероприятия и показатели результатов</w:t>
      </w:r>
    </w:p>
    <w:bookmarkEnd w:id="12"/>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08.07.2014 </w:t>
      </w:r>
      <w:r>
        <w:rPr>
          <w:rFonts w:ascii="Times New Roman"/>
          <w:b w:val="false"/>
          <w:i w:val="false"/>
          <w:color w:val="ff0000"/>
          <w:sz w:val="28"/>
        </w:rPr>
        <w:t>№ 779</w:t>
      </w:r>
      <w:r>
        <w:rPr>
          <w:rFonts w:ascii="Times New Roman"/>
          <w:b w:val="false"/>
          <w:i w:val="false"/>
          <w:color w:val="ff0000"/>
          <w:sz w:val="28"/>
        </w:rPr>
        <w:t>.</w:t>
      </w:r>
    </w:p>
    <w:bookmarkStart w:name="z31" w:id="13"/>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3"/>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постановлением Правительства РК от 08.07.2014 </w:t>
      </w:r>
      <w:r>
        <w:rPr>
          <w:rFonts w:ascii="Times New Roman"/>
          <w:b w:val="false"/>
          <w:i w:val="false"/>
          <w:color w:val="ff0000"/>
          <w:sz w:val="28"/>
        </w:rPr>
        <w:t>№ 779</w:t>
      </w:r>
      <w:r>
        <w:rPr>
          <w:rFonts w:ascii="Times New Roman"/>
          <w:b w:val="false"/>
          <w:i w:val="false"/>
          <w:color w:val="ff0000"/>
          <w:sz w:val="28"/>
        </w:rPr>
        <w:t>.</w:t>
      </w:r>
    </w:p>
    <w:bookmarkStart w:name="z32" w:id="14"/>
    <w:p>
      <w:pPr>
        <w:spacing w:after="0"/>
        <w:ind w:left="0"/>
        <w:jc w:val="both"/>
      </w:pPr>
      <w:r>
        <w:rPr>
          <w:rFonts w:ascii="Times New Roman"/>
          <w:b w:val="false"/>
          <w:i w:val="false"/>
          <w:color w:val="000000"/>
          <w:sz w:val="28"/>
        </w:rPr>
        <w:t>
      Стратегическое направление 1. Стабилизация и улучшение качества окружающей среды</w:t>
      </w:r>
    </w:p>
    <w:bookmarkEnd w:id="14"/>
    <w:bookmarkStart w:name="z33" w:id="15"/>
    <w:p>
      <w:pPr>
        <w:spacing w:after="0"/>
        <w:ind w:left="0"/>
        <w:jc w:val="both"/>
      </w:pPr>
      <w:r>
        <w:rPr>
          <w:rFonts w:ascii="Times New Roman"/>
          <w:b w:val="false"/>
          <w:i w:val="false"/>
          <w:color w:val="000000"/>
          <w:sz w:val="28"/>
        </w:rPr>
        <w:t>
      Цель 1.1 Создание условий по сохранению и восстановлению экосистем и обеспечение соблюдения экологического законодательства.</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001, 002, 003, 004, 009, 010, 012, 018, 020, 021, 022, 024, 040</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648"/>
        <w:gridCol w:w="1132"/>
        <w:gridCol w:w="1132"/>
        <w:gridCol w:w="1117"/>
        <w:gridCol w:w="1259"/>
        <w:gridCol w:w="860"/>
        <w:gridCol w:w="763"/>
        <w:gridCol w:w="796"/>
        <w:gridCol w:w="764"/>
        <w:gridCol w:w="956"/>
      </w:tblGrid>
      <w:tr>
        <w:trPr>
          <w:trHeight w:val="13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установленных значений нормативов валовых выбросов загрязняющих веществ не превысят 5 млн. тонн (ежегодно до 2020 года)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установленных значений нормативов сбросов загрязняющих веществ не превысят 5 млн. тонн (ежегодно до 2020 года)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переработки отходов производства к их образованию</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коммунальных отходов, направленных на переработку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переработки отходов от общего объема ТБО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5" w:id="16"/>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1.1.1. Стабилизация эмиссий в окружающую среду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651"/>
        <w:gridCol w:w="1133"/>
        <w:gridCol w:w="1133"/>
        <w:gridCol w:w="1116"/>
        <w:gridCol w:w="1258"/>
        <w:gridCol w:w="850"/>
        <w:gridCol w:w="754"/>
        <w:gridCol w:w="786"/>
        <w:gridCol w:w="788"/>
        <w:gridCol w:w="960"/>
      </w:tblGrid>
      <w:tr>
        <w:trPr>
          <w:trHeight w:val="36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Выбросы в атмосферу загрязняющих веществ, отходящих от стационарных источников*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 данные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установленных значений нормативов валовых выбросов загрязняющих веществ приходящиеся на добывающие предприятия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фактических значений сбросов загрязняющих веществ*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2,95 85</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установленных значений нормативов сбросов загрязняющих веществ приходящиеся на добывающие предприятия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 в текущем году предоставляются оперативные данные, окончательные – в апреле года, следующего за отчетным</w:t>
            </w:r>
          </w:p>
        </w:tc>
      </w:tr>
      <w:tr>
        <w:trPr>
          <w:trHeight w:val="36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нормативно-методических документов в области регулирования эмиссий в окружающую среду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экологической экспертизы проектов на предмет внедрения экологически безвредных технологий добывающими предприятиями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на эмиссии в окружающую среду в соответствии с требованиями экологического законодательства Республики Казахстан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отчетности по результатам производственного экологического контроля по выбросам в атмосферу и сбросам в воду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7" w:id="17"/>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1.1.2. Ликвидация исторических загрязнений, восстановление природной среды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619"/>
        <w:gridCol w:w="1125"/>
        <w:gridCol w:w="1125"/>
        <w:gridCol w:w="1109"/>
        <w:gridCol w:w="1249"/>
        <w:gridCol w:w="849"/>
        <w:gridCol w:w="753"/>
        <w:gridCol w:w="786"/>
        <w:gridCol w:w="754"/>
        <w:gridCol w:w="944"/>
      </w:tblGrid>
      <w:tr>
        <w:trPr>
          <w:trHeight w:val="36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обследуемых объектов, переданных решением суда в республиканскую собственность, для определения видов и состава отходов, подлежащих переработке, утилизации и/или принятия мер по уменьшению воздействия на окружающую среду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проектов по ликвидации исторических загрязнений и восстановлению природной среды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проектов по ликвидации «исторических» загрязнений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проектов по реконструкции и восстановлению объектов охраны окружающей среды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реализация программ по инвентаризации бесхозяйных отходов (объектов), переданных решением суда в республиканскую собственность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тендерной документации и проведение тендера в целях продажи отходов, переданных решением суда в республиканскую собственность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технологий утилизации/переработки и/или принятие природоохранных мер по снижению экологического риска от невостребованных отходов (объектов), переданных решением суда в республиканскую собственность.</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обследования состояния бассейна реки Нура и определение объема работ по комплексной очистке и предотвращению загрязнения реки Нура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плана выполнения обязательств Республики Казахстан по Стокгольмской конвенции о стойких органических загрязнителях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9" w:id="18"/>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1.1.3. Управление отходами производства и потреблен</w:t>
      </w:r>
      <w:r>
        <w:rPr>
          <w:rFonts w:ascii="Times New Roman"/>
          <w:b w:val="false"/>
          <w:i w:val="false"/>
          <w:color w:val="000000"/>
          <w:sz w:val="28"/>
        </w:rPr>
        <w:t>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603"/>
        <w:gridCol w:w="1121"/>
        <w:gridCol w:w="1121"/>
        <w:gridCol w:w="1105"/>
        <w:gridCol w:w="1244"/>
        <w:gridCol w:w="846"/>
        <w:gridCol w:w="818"/>
        <w:gridCol w:w="818"/>
        <w:gridCol w:w="818"/>
        <w:gridCol w:w="940"/>
      </w:tblGrid>
      <w:tr>
        <w:trPr>
          <w:trHeight w:val="36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утилизированных отходов производства и потребления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узаконенных полигонов ТБО</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Республики Казахстан услугами по сбору и транспортировке отходов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6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обоснования инвестиций модернизации системы управления твердыми бытовыми отходами с положительным заключением государственной экспертизы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нормативно-инструктивных документов в области ТБО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совместно с местными исполнительными органами ревизии существующих полигонов ТБО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1" w:id="19"/>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Задача 1.1.4. Повышение эффективности государственного экологического контроля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4658"/>
        <w:gridCol w:w="1135"/>
        <w:gridCol w:w="1135"/>
        <w:gridCol w:w="1118"/>
        <w:gridCol w:w="1259"/>
        <w:gridCol w:w="857"/>
        <w:gridCol w:w="760"/>
        <w:gridCol w:w="793"/>
        <w:gridCol w:w="761"/>
        <w:gridCol w:w="952"/>
      </w:tblGrid>
      <w:tr>
        <w:trPr>
          <w:trHeight w:val="36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выполненных предписаний государственного контроля к общему числу выданных предписаний</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природопользователей, представителей общественных организаций и ВУЗов курсами повышения квалификации в области охраны окружающей среды по отношению к 2013 году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инспекционных проверок (плановые, внеплановые)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с природопользователями по разъяснению соблюдения норм и требований экологического законодательства при проведении проверок</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повышению эффективности системы рисков по вопросам государственного экологического контроля (пересмотр критериев системы оценки рисков природопользователей и закрепление соответствующих изменений на нормативном уровне)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0"/>
    <w:p>
      <w:pPr>
        <w:spacing w:after="0"/>
        <w:ind w:left="0"/>
        <w:jc w:val="both"/>
      </w:pPr>
      <w:r>
        <w:rPr>
          <w:rFonts w:ascii="Times New Roman"/>
          <w:b w:val="false"/>
          <w:i w:val="false"/>
          <w:color w:val="000000"/>
          <w:sz w:val="28"/>
        </w:rPr>
        <w:t>
      Цель 1.2 Совершенствование гидрометеорологического и экологического мониторинга</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006, 008, 021, 025</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4003"/>
        <w:gridCol w:w="989"/>
        <w:gridCol w:w="989"/>
        <w:gridCol w:w="995"/>
        <w:gridCol w:w="1085"/>
        <w:gridCol w:w="887"/>
        <w:gridCol w:w="887"/>
        <w:gridCol w:w="888"/>
        <w:gridCol w:w="888"/>
        <w:gridCol w:w="1001"/>
      </w:tblGrid>
      <w:tr>
        <w:trPr>
          <w:trHeight w:val="135"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5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времени заблаговременности штормовых предупреждений об опасных и стихийных гидрометеорологических явлениях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территории республики: агрометеорологическим мониторингом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метеорологическим мониторингом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2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гидрологическим мониторингом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5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территории республики мониторингом о состоянии загрязнения атмосферного воздуха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оправдываемости опасных явлений погоды для авиации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 </w:t>
            </w:r>
            <w:r>
              <w:rPr>
                <w:rFonts w:ascii="Times New Roman"/>
                <w:b w:val="false"/>
                <w:i w:val="false"/>
                <w:color w:val="000000"/>
                <w:sz w:val="20"/>
              </w:rPr>
              <w:t>данные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bookmarkStart w:name="z45" w:id="21"/>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21"/>
    <w:bookmarkStart w:name="z46" w:id="22"/>
    <w:p>
      <w:pPr>
        <w:spacing w:after="0"/>
        <w:ind w:left="0"/>
        <w:jc w:val="both"/>
      </w:pPr>
      <w:r>
        <w:rPr>
          <w:rFonts w:ascii="Times New Roman"/>
          <w:b w:val="false"/>
          <w:i w:val="false"/>
          <w:color w:val="000000"/>
          <w:sz w:val="28"/>
        </w:rPr>
        <w:t>
Задача 1.2.1. Повышение качества обеспечения государства и населения гидрометеорологической информацией</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4012"/>
        <w:gridCol w:w="991"/>
        <w:gridCol w:w="991"/>
        <w:gridCol w:w="996"/>
        <w:gridCol w:w="1086"/>
        <w:gridCol w:w="885"/>
        <w:gridCol w:w="885"/>
        <w:gridCol w:w="885"/>
        <w:gridCol w:w="885"/>
        <w:gridCol w:w="998"/>
      </w:tblGrid>
      <w:tr>
        <w:trPr>
          <w:trHeight w:val="36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метеорологических станций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агрометеорологических постов</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гидрологических постов</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радиолокационных метеорологических систем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карт по климатическим нагрузкам (объем выполнения всех работ)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автоматических метеорологических станций, агрометеорологических станций</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Перевооружение и переоснащение пунктов наблюдений, в том числе пунктов Щучинско-Боровской курортной зоны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Районирование территории Казахстана по климатическим характеристикам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автоматической/автоматизированной передачи данных с автоматических гидрометеорологических постов мониторинга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прирост численности персонала гидрометеорологической службы, владеющего компьютерной грамотностью, составит 1% с 2014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работников гидрометеорологической и экологической службы прошедших курсы повышения квалификации от общей численности работников предприятия, 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3"/>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23"/>
    <w:bookmarkStart w:name="z48" w:id="24"/>
    <w:p>
      <w:pPr>
        <w:spacing w:after="0"/>
        <w:ind w:left="0"/>
        <w:jc w:val="both"/>
      </w:pPr>
      <w:r>
        <w:rPr>
          <w:rFonts w:ascii="Times New Roman"/>
          <w:b w:val="false"/>
          <w:i w:val="false"/>
          <w:color w:val="000000"/>
          <w:sz w:val="28"/>
        </w:rPr>
        <w:t>
Задача 1.2.2. Повышение качества мониторинга атмосферного воздуха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4011"/>
        <w:gridCol w:w="991"/>
        <w:gridCol w:w="991"/>
        <w:gridCol w:w="998"/>
        <w:gridCol w:w="1085"/>
        <w:gridCol w:w="885"/>
        <w:gridCol w:w="885"/>
        <w:gridCol w:w="885"/>
        <w:gridCol w:w="885"/>
        <w:gridCol w:w="998"/>
      </w:tblGrid>
      <w:tr>
        <w:trPr>
          <w:trHeight w:val="36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постов наблюдений за состоянием атмосферного воздуха, работающих в автоматическом режиме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6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Дооснащение химико-аналитических лабораторий приборами и оборудованием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автоматических станций мониторинга атмосферного воздуха и передвижных лабораторий</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производственных помещений для химико-аналитических лабораторий филиалов РГП «Казгидромет»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химических лабораторий и постов наблюдений (ПНЗ)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автоматической/автоматизированной передачи данных с автоматических постов мониторинга атмосферного воздуха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5"/>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25"/>
    <w:bookmarkStart w:name="z50" w:id="26"/>
    <w:p>
      <w:pPr>
        <w:spacing w:after="0"/>
        <w:ind w:left="0"/>
        <w:jc w:val="both"/>
      </w:pPr>
      <w:r>
        <w:rPr>
          <w:rFonts w:ascii="Times New Roman"/>
          <w:b w:val="false"/>
          <w:i w:val="false"/>
          <w:color w:val="000000"/>
          <w:sz w:val="28"/>
        </w:rPr>
        <w:t>
Задача 1.2.3. Повышение авиационной безопасности в части метеорологического обеспечения полетов воздушных судов гражданской авиации и повышение качества авиационной метеорологической продукции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3865"/>
        <w:gridCol w:w="955"/>
        <w:gridCol w:w="955"/>
        <w:gridCol w:w="959"/>
        <w:gridCol w:w="1044"/>
        <w:gridCol w:w="851"/>
        <w:gridCol w:w="851"/>
        <w:gridCol w:w="851"/>
        <w:gridCol w:w="852"/>
        <w:gridCol w:w="960"/>
      </w:tblGrid>
      <w:tr>
        <w:trPr>
          <w:trHeight w:val="36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w:t>
            </w:r>
            <w:r>
              <w:rPr>
                <w:rFonts w:ascii="Times New Roman"/>
                <w:b w:val="false"/>
                <w:i w:val="false"/>
                <w:color w:val="000000"/>
                <w:sz w:val="20"/>
              </w:rPr>
              <w:t>ции</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rPr>
                <w:rFonts w:ascii="Times New Roman"/>
                <w:b w:val="false"/>
                <w:i w:val="false"/>
                <w:color w:val="000000"/>
                <w:sz w:val="20"/>
              </w:rPr>
              <w:t>изме</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год (отчет)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rPr>
                <w:rFonts w:ascii="Times New Roman"/>
                <w:b w:val="false"/>
                <w:i w:val="false"/>
                <w:color w:val="000000"/>
                <w:sz w:val="20"/>
              </w:rPr>
              <w:t>год (план текущего)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22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7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радиолокационной информации по аэропортам Казахстана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Заблаговременность предоставления предупреждений об опасных явлениях погоды для гражданской авиации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сети доплеровских метеорологических радиолокаторов двойной поляризации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метеорологического оборудования для местных аэродромов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резервным оборудованием 16 представительств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1" w:id="27"/>
    <w:p>
      <w:pPr>
        <w:spacing w:after="0"/>
        <w:ind w:left="0"/>
        <w:jc w:val="both"/>
      </w:pPr>
      <w:r>
        <w:rPr>
          <w:rFonts w:ascii="Times New Roman"/>
          <w:b w:val="false"/>
          <w:i w:val="false"/>
          <w:color w:val="000000"/>
          <w:sz w:val="28"/>
        </w:rPr>
        <w:t>
      Цель 1.3 Расширение сфер взаимодействия с общественностью и укрепление международного сотрудничества</w:t>
      </w:r>
    </w:p>
    <w:bookmarkEnd w:id="27"/>
    <w:bookmarkStart w:name="z52" w:id="28"/>
    <w:p>
      <w:pPr>
        <w:spacing w:after="0"/>
        <w:ind w:left="0"/>
        <w:jc w:val="both"/>
      </w:pPr>
      <w:r>
        <w:rPr>
          <w:rFonts w:ascii="Times New Roman"/>
          <w:b w:val="false"/>
          <w:i w:val="false"/>
          <w:color w:val="000000"/>
          <w:sz w:val="28"/>
        </w:rPr>
        <w:t>
      Коды бюджетных программ, направленных на достижение данной цели: 001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496"/>
        <w:gridCol w:w="1793"/>
        <w:gridCol w:w="1239"/>
        <w:gridCol w:w="789"/>
        <w:gridCol w:w="800"/>
        <w:gridCol w:w="751"/>
        <w:gridCol w:w="751"/>
        <w:gridCol w:w="751"/>
        <w:gridCol w:w="751"/>
        <w:gridCol w:w="871"/>
      </w:tblGrid>
      <w:tr>
        <w:trPr>
          <w:trHeight w:val="13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rPr>
                <w:rFonts w:ascii="Times New Roman"/>
                <w:b w:val="false"/>
                <w:i w:val="false"/>
                <w:color w:val="000000"/>
                <w:sz w:val="20"/>
              </w:rPr>
              <w:t>изме</w:t>
            </w:r>
            <w:r>
              <w:rPr>
                <w:rFonts w:ascii="Times New Roman"/>
                <w:b w:val="false"/>
                <w:i w:val="false"/>
                <w:color w:val="000000"/>
                <w:sz w:val="20"/>
              </w:rPr>
              <w:t>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год (отчет)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позиции Республики Казахстан в рейтинге Глобального индекса конкурентоспособности Всемирного экономического форума (ГИК ВЭФ) по индикатору «Прозрачность принимаемых решений государственными органами»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позиции Республики Казахстан в рейтинге Глобального индекса конкурентоспособности Всемирного экономического форума (ГИК ВЭФ) по индикатору «Фаворитизм в решениях государственных служащих»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позиции Республики Казахстан в рейтинге Глобального индекса конкурентоспособности Всемирного экономического форума (ГИК ВЭФ) по индикатору «Общественное доверие политикам»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населения Казахстана качеством оказания государственных услуг Министерства, оказываемых в электронном формате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осведомленности населения информацией в области окружающей среды и водных ресурсов посредством Интернет-ресурсов по отношению к 2013 году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53" w:id="29"/>
    <w:p>
      <w:pPr>
        <w:spacing w:after="0"/>
        <w:ind w:left="0"/>
        <w:jc w:val="both"/>
      </w:pPr>
      <w:r>
        <w:rPr>
          <w:rFonts w:ascii="Times New Roman"/>
          <w:b w:val="false"/>
          <w:i w:val="false"/>
          <w:color w:val="000000"/>
          <w:sz w:val="28"/>
        </w:rPr>
        <w:t>
</w:t>
      </w:r>
      <w:r>
        <w:rPr>
          <w:rFonts w:ascii="Times New Roman"/>
          <w:b/>
          <w:i w:val="false"/>
          <w:color w:val="000000"/>
          <w:sz w:val="28"/>
        </w:rPr>
        <w:t>      Пути, средства и методы достижения целевого индикатора:</w:t>
      </w:r>
    </w:p>
    <w:bookmarkEnd w:id="29"/>
    <w:bookmarkStart w:name="z54" w:id="30"/>
    <w:p>
      <w:pPr>
        <w:spacing w:after="0"/>
        <w:ind w:left="0"/>
        <w:jc w:val="both"/>
      </w:pPr>
      <w:r>
        <w:rPr>
          <w:rFonts w:ascii="Times New Roman"/>
          <w:b w:val="false"/>
          <w:i w:val="false"/>
          <w:color w:val="000000"/>
          <w:sz w:val="28"/>
        </w:rPr>
        <w:t>
Задача 1.3.1. Взаимодействие с неправительственными организациями, обеспечение доступа населения к экологической информации и повышение качества оказание государственных услуг</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4404"/>
        <w:gridCol w:w="1774"/>
        <w:gridCol w:w="1222"/>
        <w:gridCol w:w="730"/>
        <w:gridCol w:w="895"/>
        <w:gridCol w:w="718"/>
        <w:gridCol w:w="753"/>
        <w:gridCol w:w="739"/>
        <w:gridCol w:w="739"/>
        <w:gridCol w:w="1015"/>
      </w:tblGrid>
      <w:tr>
        <w:trPr>
          <w:trHeight w:val="165"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rPr>
                <w:rFonts w:ascii="Times New Roman"/>
                <w:b w:val="false"/>
                <w:i w:val="false"/>
                <w:color w:val="000000"/>
                <w:sz w:val="20"/>
              </w:rPr>
              <w:t>изме</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год (отчет)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rPr>
                <w:rFonts w:ascii="Times New Roman"/>
                <w:b w:val="false"/>
                <w:i w:val="false"/>
                <w:color w:val="000000"/>
                <w:sz w:val="20"/>
              </w:rPr>
              <w:t>год (план текущего)</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объема экологической информации Государственного фонда экологической информации к предыдущему году (в рамках деятельности Орхусского центра)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социальных проектов в области охраны окружающей среды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удельного веса государственных услуг, предоставляемых в электронном формате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по социальной ответственности бизнеса «Парыз» по номинации «За вклад в экологию»</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данных Государственного фонда экологической информации; Государственного кадастра природных ресурсов; Регистра выбросов и переноса загрязнителей с размещением на интернет ресурсе уполномоченного органа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реализации государственной политики в области охраны окружающей среды и природопользования с использованием интернет ресурсов (блоги, форумы) и средства массовой информации (СМИ), через интернет-ресурс «Зеленый мост»</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специалистов в области охраны окружающей среды и природопользования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бесплатных обучающих семинаров для молодежи в г. Астане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с неправительственными организациями в рамках действующих диалоговых площадок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законопроекта по вопросам доступа к информации, участию общественности в процессе принятия решений и доступе к правосудию по вопросам, касающимся окружающей среды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стандартов и регламентов оказания государственных услуг</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автоматизации процессов оказания государственных услуг</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31"/>
    <w:p>
      <w:pPr>
        <w:spacing w:after="0"/>
        <w:ind w:left="0"/>
        <w:jc w:val="both"/>
      </w:pPr>
      <w:r>
        <w:rPr>
          <w:rFonts w:ascii="Times New Roman"/>
          <w:b w:val="false"/>
          <w:i w:val="false"/>
          <w:color w:val="000000"/>
          <w:sz w:val="28"/>
        </w:rPr>
        <w:t>
</w:t>
      </w:r>
      <w:r>
        <w:rPr>
          <w:rFonts w:ascii="Times New Roman"/>
          <w:b/>
          <w:i w:val="false"/>
          <w:color w:val="000000"/>
          <w:sz w:val="28"/>
        </w:rPr>
        <w:t>      Пути, средства и методы достижения целевого индикатора:</w:t>
      </w:r>
    </w:p>
    <w:bookmarkEnd w:id="31"/>
    <w:bookmarkStart w:name="z56" w:id="32"/>
    <w:p>
      <w:pPr>
        <w:spacing w:after="0"/>
        <w:ind w:left="0"/>
        <w:jc w:val="both"/>
      </w:pPr>
      <w:r>
        <w:rPr>
          <w:rFonts w:ascii="Times New Roman"/>
          <w:b w:val="false"/>
          <w:i w:val="false"/>
          <w:color w:val="000000"/>
          <w:sz w:val="28"/>
        </w:rPr>
        <w:t>
Задача 1.3.2. Формирование и продвижение положительного имиджа Республики Казахстан в области охраны окружающей среды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4408"/>
        <w:gridCol w:w="1776"/>
        <w:gridCol w:w="1224"/>
        <w:gridCol w:w="731"/>
        <w:gridCol w:w="896"/>
        <w:gridCol w:w="719"/>
        <w:gridCol w:w="719"/>
        <w:gridCol w:w="739"/>
        <w:gridCol w:w="739"/>
        <w:gridCol w:w="1017"/>
      </w:tblGrid>
      <w:tr>
        <w:trPr>
          <w:trHeight w:val="165"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прямых </w:t>
            </w:r>
            <w:r>
              <w:rPr>
                <w:rFonts w:ascii="Times New Roman"/>
                <w:b w:val="false"/>
                <w:i w:val="false"/>
                <w:color w:val="000000"/>
                <w:sz w:val="20"/>
              </w:rPr>
              <w:t>результатов</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1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договорно-правовой основы двустороннего взаимодействия в области охраны окружающей среды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 </w:t>
            </w:r>
            <w:r>
              <w:rPr>
                <w:rFonts w:ascii="Times New Roman"/>
                <w:b w:val="false"/>
                <w:i w:val="false"/>
                <w:color w:val="000000"/>
                <w:sz w:val="20"/>
              </w:rPr>
              <w:t>данные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национальных докладов в рамках реализации международных экологических конвенций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 </w:t>
            </w:r>
            <w:r>
              <w:rPr>
                <w:rFonts w:ascii="Times New Roman"/>
                <w:b w:val="false"/>
                <w:i w:val="false"/>
                <w:color w:val="000000"/>
                <w:sz w:val="20"/>
              </w:rPr>
              <w:t>данные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Международной Конференции по Программе партнерства «Зеленый мост»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Восьмой сессии Конференции Сторон Конвенции по охране и использованию трансграничных водотоков и международных озер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подготовительной работы по присоединению к 2-м протоколам Тегеранской конвенции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Ратифицирование протоколов к международным экологическим конвенциям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двусторонних и многосторонних мероприятий в области охраны окружающей среды (Конференции, встречи, заседания, семинары, круглые столы)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7" w:id="33"/>
    <w:p>
      <w:pPr>
        <w:spacing w:after="0"/>
        <w:ind w:left="0"/>
        <w:jc w:val="both"/>
      </w:pPr>
      <w:r>
        <w:rPr>
          <w:rFonts w:ascii="Times New Roman"/>
          <w:b w:val="false"/>
          <w:i w:val="false"/>
          <w:color w:val="000000"/>
          <w:sz w:val="28"/>
        </w:rPr>
        <w:t>
      Цель 1.4 Создание условий по переходу Республики Казахстан к низкоуглеродному развитию и «зеленой» экономике</w:t>
      </w:r>
    </w:p>
    <w:bookmarkEnd w:id="33"/>
    <w:bookmarkStart w:name="z58" w:id="34"/>
    <w:p>
      <w:pPr>
        <w:spacing w:after="0"/>
        <w:ind w:left="0"/>
        <w:jc w:val="both"/>
      </w:pPr>
      <w:r>
        <w:rPr>
          <w:rFonts w:ascii="Times New Roman"/>
          <w:b w:val="false"/>
          <w:i w:val="false"/>
          <w:color w:val="000000"/>
          <w:sz w:val="28"/>
        </w:rPr>
        <w:t>
      Коды бюджетных программ, направленных на достижение данной цели: 001, 002, 019</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4169"/>
        <w:gridCol w:w="1436"/>
        <w:gridCol w:w="1258"/>
        <w:gridCol w:w="926"/>
        <w:gridCol w:w="1370"/>
        <w:gridCol w:w="719"/>
        <w:gridCol w:w="720"/>
        <w:gridCol w:w="720"/>
        <w:gridCol w:w="720"/>
        <w:gridCol w:w="793"/>
      </w:tblGrid>
      <w:tr>
        <w:trPr>
          <w:trHeight w:val="15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7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Непревышение объема выбросов парниковых газов по отношению к 1990 году *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7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нормативно-правовой базы «зеленой» экономики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59" w:id="35"/>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35"/>
    <w:bookmarkStart w:name="z60" w:id="36"/>
    <w:p>
      <w:pPr>
        <w:spacing w:after="0"/>
        <w:ind w:left="0"/>
        <w:jc w:val="both"/>
      </w:pPr>
      <w:r>
        <w:rPr>
          <w:rFonts w:ascii="Times New Roman"/>
          <w:b w:val="false"/>
          <w:i w:val="false"/>
          <w:color w:val="000000"/>
          <w:sz w:val="28"/>
        </w:rPr>
        <w:t>
Задача 1.4.1 Внедрение рыночного механизма сокращения выбросов парниковых газов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4171"/>
        <w:gridCol w:w="1437"/>
        <w:gridCol w:w="1259"/>
        <w:gridCol w:w="926"/>
        <w:gridCol w:w="1371"/>
        <w:gridCol w:w="719"/>
        <w:gridCol w:w="719"/>
        <w:gridCol w:w="719"/>
        <w:gridCol w:w="719"/>
        <w:gridCol w:w="792"/>
      </w:tblGrid>
      <w:tr>
        <w:trPr>
          <w:trHeight w:val="36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установок предприятий, зафиксированных в государственном кадастре источников выбросов парниковых газов</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выбросов углекислого газа в электроэнергетике по отношению к 2012 году*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 В соответствии с решением Конференции Сторон Рамочной Конвенции ООН по изменению климата от 2 июня 1995 года № FCCC/CP/1995/7/Add.1 в национальных кадастрах выбросов с разбивкой по источникам и абсорбции с разбивкой по поглотителям на ежегодной основе с учетом того, что годовые данные по некоторым парниковым газам или секторам деятельности могут быть неполными или не иметь решающего значения, данные (при необходимости обновления) за 1990-1993 годы и при наличии за 1994 год должны быть представлены к 15 апреля 1996 года; данные за последующие годы должны представляться ежегодно с учетом указанных принципов.</w:t>
            </w:r>
            <w:r>
              <w:br/>
            </w:r>
            <w:r>
              <w:rPr>
                <w:rFonts w:ascii="Times New Roman"/>
                <w:b w:val="false"/>
                <w:i w:val="false"/>
                <w:color w:val="000000"/>
                <w:sz w:val="20"/>
              </w:rPr>
              <w:t>
</w:t>
            </w:r>
            <w:r>
              <w:rPr>
                <w:rFonts w:ascii="Times New Roman"/>
                <w:b w:val="false"/>
                <w:i w:val="false"/>
                <w:color w:val="000000"/>
                <w:sz w:val="20"/>
              </w:rPr>
              <w:t>Исходя из указанного решения, в текущем году представляются данные за год, со сдвигом на два года назад</w:t>
            </w:r>
          </w:p>
        </w:tc>
      </w:tr>
      <w:tr>
        <w:trPr>
          <w:trHeight w:val="36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государственного реестра углеродных единиц</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государственного кадастра источников выбросов парниковых газов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и одобрение проектов по снижению и поглощению выбросов парниковых газов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подготовке Национального доклада о кадастре антропогенных выбросов из источников и абсорбции поглотителями ПГ за 1990 – 2012; 1990 – 2013; 1990 – 2014; 1990 – 2015; 1990 – 2016.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двухгодичного отчета по объемам выбросов ПГ, действий по предотвращению изменения климата, финансовым средствам, технологиям и укреплению потенциала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сообщения по Рамочной Конвенции Организации объединенных наций об изменении климата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рынка торговли квотами на выбросы парниковых газов путем создания соответствующей нормативно-правовой основы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1" w:id="37"/>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37"/>
    <w:bookmarkStart w:name="z62" w:id="38"/>
    <w:p>
      <w:pPr>
        <w:spacing w:after="0"/>
        <w:ind w:left="0"/>
        <w:jc w:val="both"/>
      </w:pPr>
      <w:r>
        <w:rPr>
          <w:rFonts w:ascii="Times New Roman"/>
          <w:b w:val="false"/>
          <w:i w:val="false"/>
          <w:color w:val="000000"/>
          <w:sz w:val="28"/>
        </w:rPr>
        <w:t>
Задача 1.4.2 Развитие возобновляемых источников энергии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4171"/>
        <w:gridCol w:w="1437"/>
        <w:gridCol w:w="1259"/>
        <w:gridCol w:w="926"/>
        <w:gridCol w:w="1371"/>
        <w:gridCol w:w="719"/>
        <w:gridCol w:w="719"/>
        <w:gridCol w:w="719"/>
        <w:gridCol w:w="719"/>
        <w:gridCol w:w="792"/>
      </w:tblGrid>
      <w:tr>
        <w:trPr>
          <w:trHeight w:val="36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прямых </w:t>
            </w:r>
            <w:r>
              <w:rPr>
                <w:rFonts w:ascii="Times New Roman"/>
                <w:b w:val="false"/>
                <w:i w:val="false"/>
                <w:color w:val="000000"/>
                <w:sz w:val="20"/>
              </w:rPr>
              <w:t>результатов</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rPr>
                <w:rFonts w:ascii="Times New Roman"/>
                <w:b w:val="false"/>
                <w:i w:val="false"/>
                <w:color w:val="000000"/>
                <w:sz w:val="20"/>
              </w:rPr>
              <w:t>ции</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rPr>
                <w:rFonts w:ascii="Times New Roman"/>
                <w:b w:val="false"/>
                <w:i w:val="false"/>
                <w:color w:val="000000"/>
                <w:sz w:val="20"/>
              </w:rPr>
              <w:t>изме</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год  (отчет)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rPr>
                <w:rFonts w:ascii="Times New Roman"/>
                <w:b w:val="false"/>
                <w:i w:val="false"/>
                <w:color w:val="000000"/>
                <w:sz w:val="20"/>
              </w:rPr>
              <w:t>год (план текущего)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вырабатываемой электроэнергии возобновляемыми источниками энергии</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пересмотр нормативно-технической документации в области возобновляемых источников энергии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нормативных правовых актов, необходимых для реализации </w:t>
            </w:r>
            <w:r>
              <w:rPr>
                <w:rFonts w:ascii="Times New Roman"/>
                <w:b w:val="false"/>
                <w:i w:val="false"/>
                <w:color w:val="000000"/>
                <w:sz w:val="20"/>
              </w:rPr>
              <w:t>Закона</w:t>
            </w:r>
            <w:r>
              <w:rPr>
                <w:rFonts w:ascii="Times New Roman"/>
                <w:b w:val="false"/>
                <w:i w:val="false"/>
                <w:color w:val="000000"/>
                <w:sz w:val="20"/>
              </w:rPr>
              <w:t xml:space="preserve"> РК «О поддержке использования возобновляемых источников энергии»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в области использования ВИЭ</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обеспечению неэлектрофицированных населенных пунктов Казахстана электроэнергией в рамках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поддержке использования возобновляемых источников энергии»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39"/>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39"/>
    <w:bookmarkStart w:name="z64" w:id="40"/>
    <w:p>
      <w:pPr>
        <w:spacing w:after="0"/>
        <w:ind w:left="0"/>
        <w:jc w:val="both"/>
      </w:pPr>
      <w:r>
        <w:rPr>
          <w:rFonts w:ascii="Times New Roman"/>
          <w:b w:val="false"/>
          <w:i w:val="false"/>
          <w:color w:val="000000"/>
          <w:sz w:val="28"/>
        </w:rPr>
        <w:t>
Задача 1.4.3. Создание правовой основы, повышение осведомленности государственных органов и содействие в реализации проектов по вопросам «зеленой» экономики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3928"/>
        <w:gridCol w:w="1353"/>
        <w:gridCol w:w="1185"/>
        <w:gridCol w:w="860"/>
        <w:gridCol w:w="1291"/>
        <w:gridCol w:w="673"/>
        <w:gridCol w:w="674"/>
        <w:gridCol w:w="674"/>
        <w:gridCol w:w="674"/>
        <w:gridCol w:w="747"/>
      </w:tblGrid>
      <w:tr>
        <w:trPr>
          <w:trHeight w:val="36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правовых механизмов, включая законы и подзаконные акты, технические регламенты, и др., содействующих переходу Республики Казахстан к «зеленой» экономике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государственных органов и населения, бизнес-структур информацией о «зеленых» технологиях и «зеленой» экономике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справки, материалы встречи, презентации, публикации в СМИ, шт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количества инвестиционных проектов по чистым технологиям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для государственных органов по учету «зеленых» принципов в стратегическом планировании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«Стратегическая экологическая оценка природно-ресурсного потенциала Казахстана»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1"/>
    <w:p>
      <w:pPr>
        <w:spacing w:after="0"/>
        <w:ind w:left="0"/>
        <w:jc w:val="both"/>
      </w:pPr>
      <w:r>
        <w:rPr>
          <w:rFonts w:ascii="Times New Roman"/>
          <w:b w:val="false"/>
          <w:i w:val="false"/>
          <w:color w:val="000000"/>
          <w:sz w:val="28"/>
        </w:rPr>
        <w:t>
      Стратегическое направление 2. Обеспечение водной безопасности Республики Казахстан</w:t>
      </w:r>
    </w:p>
    <w:bookmarkEnd w:id="41"/>
    <w:bookmarkStart w:name="z66" w:id="42"/>
    <w:p>
      <w:pPr>
        <w:spacing w:after="0"/>
        <w:ind w:left="0"/>
        <w:jc w:val="both"/>
      </w:pPr>
      <w:r>
        <w:rPr>
          <w:rFonts w:ascii="Times New Roman"/>
          <w:b w:val="false"/>
          <w:i w:val="false"/>
          <w:color w:val="000000"/>
          <w:sz w:val="28"/>
        </w:rPr>
        <w:t>
      Цель 2.1 Достижение и поддержание экологически безопасного и экономически оптимального уровня водопользования и охраны водного фонда.</w:t>
      </w:r>
    </w:p>
    <w:bookmarkEnd w:id="42"/>
    <w:bookmarkStart w:name="z67" w:id="43"/>
    <w:p>
      <w:pPr>
        <w:spacing w:after="0"/>
        <w:ind w:left="0"/>
        <w:jc w:val="both"/>
      </w:pPr>
      <w:r>
        <w:rPr>
          <w:rFonts w:ascii="Times New Roman"/>
          <w:b w:val="false"/>
          <w:i w:val="false"/>
          <w:color w:val="000000"/>
          <w:sz w:val="28"/>
        </w:rPr>
        <w:t>
      Коды бюджетных программ, направленных на достижение данной цели: 001, 036.</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4758"/>
        <w:gridCol w:w="886"/>
        <w:gridCol w:w="886"/>
        <w:gridCol w:w="913"/>
        <w:gridCol w:w="978"/>
        <w:gridCol w:w="686"/>
        <w:gridCol w:w="699"/>
        <w:gridCol w:w="687"/>
        <w:gridCol w:w="687"/>
        <w:gridCol w:w="803"/>
      </w:tblGrid>
      <w:tr>
        <w:trPr>
          <w:trHeight w:val="57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 отраслями экономики лимита водопользования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 данные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bl>
    <w:bookmarkStart w:name="z68" w:id="44"/>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44"/>
    <w:bookmarkStart w:name="z69" w:id="45"/>
    <w:p>
      <w:pPr>
        <w:spacing w:after="0"/>
        <w:ind w:left="0"/>
        <w:jc w:val="both"/>
      </w:pPr>
      <w:r>
        <w:rPr>
          <w:rFonts w:ascii="Times New Roman"/>
          <w:b w:val="false"/>
          <w:i w:val="false"/>
          <w:color w:val="000000"/>
          <w:sz w:val="28"/>
        </w:rPr>
        <w:t>
Задача 2.1.1. Охрана и рациональное использование водных ресурсов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487"/>
        <w:gridCol w:w="1534"/>
        <w:gridCol w:w="940"/>
        <w:gridCol w:w="970"/>
        <w:gridCol w:w="1117"/>
        <w:gridCol w:w="745"/>
        <w:gridCol w:w="745"/>
        <w:gridCol w:w="725"/>
        <w:gridCol w:w="726"/>
        <w:gridCol w:w="1052"/>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использованной воды, * в том числе: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 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Хозпитьевые нужды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 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0" w:type="auto"/>
            <w:vMerge/>
            <w:tcBorders>
              <w:top w:val="nil"/>
              <w:left w:val="single" w:color="cfcfcf" w:sz="5"/>
              <w:bottom w:val="single" w:color="cfcfcf" w:sz="5"/>
              <w:right w:val="single" w:color="cfcfcf" w:sz="5"/>
            </w:tcBorders>
          </w:tcP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нужды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 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vMerge/>
            <w:tcBorders>
              <w:top w:val="nil"/>
              <w:left w:val="single" w:color="cfcfcf" w:sz="5"/>
              <w:bottom w:val="single" w:color="cfcfcf" w:sz="5"/>
              <w:right w:val="single" w:color="cfcfcf" w:sz="5"/>
            </w:tcBorders>
          </w:tcP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Регулярное орошение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 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нужды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 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проведенных компенсационных природоохранных попусков</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 в текущем году предоставляются оперативные данные, окончательные – в апреле года, следующего за отчетным</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 ведение контрольно-инспекционной деятельности в области использования и охраны водного фонда в части соблюдения лимитов водопользования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переговоров и подписание/обновление соглашений с соседними странами по вопросам деления трансграничных рек</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70" w:id="46"/>
    <w:p>
      <w:pPr>
        <w:spacing w:after="0"/>
        <w:ind w:left="0"/>
        <w:jc w:val="both"/>
      </w:pPr>
      <w:r>
        <w:rPr>
          <w:rFonts w:ascii="Times New Roman"/>
          <w:b w:val="false"/>
          <w:i w:val="false"/>
          <w:color w:val="000000"/>
          <w:sz w:val="28"/>
        </w:rPr>
        <w:t>
      Цель 2.2 Эффективное управление водными ресурсами.</w:t>
      </w:r>
    </w:p>
    <w:bookmarkEnd w:id="46"/>
    <w:bookmarkStart w:name="z71" w:id="47"/>
    <w:p>
      <w:pPr>
        <w:spacing w:after="0"/>
        <w:ind w:left="0"/>
        <w:jc w:val="both"/>
      </w:pPr>
      <w:r>
        <w:rPr>
          <w:rFonts w:ascii="Times New Roman"/>
          <w:b w:val="false"/>
          <w:i w:val="false"/>
          <w:color w:val="000000"/>
          <w:sz w:val="28"/>
        </w:rPr>
        <w:t>
      Коды бюджетных программ, направленных на достижение данной цели: 033, 034, 035, 037, 038.</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4680"/>
        <w:gridCol w:w="1102"/>
        <w:gridCol w:w="1102"/>
        <w:gridCol w:w="1124"/>
        <w:gridCol w:w="1188"/>
        <w:gridCol w:w="916"/>
        <w:gridCol w:w="917"/>
        <w:gridCol w:w="673"/>
        <w:gridCol w:w="673"/>
        <w:gridCol w:w="1044"/>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w:t>
            </w:r>
            <w:r>
              <w:rPr>
                <w:rFonts w:ascii="Times New Roman"/>
                <w:b w:val="false"/>
                <w:i w:val="false"/>
                <w:color w:val="000000"/>
                <w:sz w:val="20"/>
              </w:rPr>
              <w:t>ции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сверхнормативных потерь воды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72" w:id="48"/>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48"/>
    <w:bookmarkStart w:name="z73" w:id="49"/>
    <w:p>
      <w:pPr>
        <w:spacing w:after="0"/>
        <w:ind w:left="0"/>
        <w:jc w:val="both"/>
      </w:pPr>
      <w:r>
        <w:rPr>
          <w:rFonts w:ascii="Times New Roman"/>
          <w:b w:val="false"/>
          <w:i w:val="false"/>
          <w:color w:val="000000"/>
          <w:sz w:val="28"/>
        </w:rPr>
        <w:t>
Задача 2.2.1. Устойчивое развитие системы водоснабжения и водохозяйственных сооружений</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4683"/>
        <w:gridCol w:w="1102"/>
        <w:gridCol w:w="1102"/>
        <w:gridCol w:w="1125"/>
        <w:gridCol w:w="1188"/>
        <w:gridCol w:w="914"/>
        <w:gridCol w:w="914"/>
        <w:gridCol w:w="675"/>
        <w:gridCol w:w="675"/>
        <w:gridCol w:w="1041"/>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реконструированных и капитально отремонтированных водохозяйственных сооружений, находящихся в республиканской собственности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реконструированных систем водоснабжения, находящихся в республиканской собственности (групповые водопроводы)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эксплуатационных мероприятий на водохозяйственных объектах:</w:t>
            </w:r>
            <w:r>
              <w:br/>
            </w:r>
            <w:r>
              <w:rPr>
                <w:rFonts w:ascii="Times New Roman"/>
                <w:b w:val="false"/>
                <w:i w:val="false"/>
                <w:color w:val="000000"/>
                <w:sz w:val="20"/>
              </w:rPr>
              <w:t>
</w:t>
            </w:r>
            <w:r>
              <w:rPr>
                <w:rFonts w:ascii="Times New Roman"/>
                <w:b w:val="false"/>
                <w:i w:val="false"/>
                <w:color w:val="000000"/>
                <w:sz w:val="20"/>
              </w:rPr>
              <w:t xml:space="preserve">- республиканской собственности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межгосударственных объектах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разработка новых и усовершенствование имеющиеся методических основ в целях совершенствования системы управления водными ресурсами, улучшения мелиоративного состояния орошаемых земель, определения основных направлений и мер для удовлетворения перспективных потребностей в воде населения и отраслей экономики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базовой основы Единой информационно-аналитической системы по управлению водными ресурсами с дальнейшим ее внедрением на всей территории республики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эксплуатации трансграничных и республиканских водохозяйственных объектов, не связанных с подачей воды в соответствии с установленными требованиями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функционирования водохозяйственных объектов и снижение риска возникновения чрезвычайных ситуаций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качественной питьевой водой сельских населенных пунктов, подключаемых к групповым водопроводам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автоматизации и диспетчеризации систем управления водными объектами и водохозяйственными сооружениями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74" w:id="50"/>
    <w:p>
      <w:pPr>
        <w:spacing w:after="0"/>
        <w:ind w:left="0"/>
        <w:jc w:val="both"/>
      </w:pPr>
      <w:r>
        <w:rPr>
          <w:rFonts w:ascii="Times New Roman"/>
          <w:b w:val="false"/>
          <w:i w:val="false"/>
          <w:color w:val="000000"/>
          <w:sz w:val="28"/>
        </w:rPr>
        <w:t>
      Стратегическое направление 3. Обеспечение охраны, воспроизводства и рационального использования растительного и животного мира, особо охраняемых природных территорий</w:t>
      </w:r>
    </w:p>
    <w:bookmarkEnd w:id="50"/>
    <w:bookmarkStart w:name="z75" w:id="51"/>
    <w:p>
      <w:pPr>
        <w:spacing w:after="0"/>
        <w:ind w:left="0"/>
        <w:jc w:val="both"/>
      </w:pPr>
      <w:r>
        <w:rPr>
          <w:rFonts w:ascii="Times New Roman"/>
          <w:b w:val="false"/>
          <w:i w:val="false"/>
          <w:color w:val="000000"/>
          <w:sz w:val="28"/>
        </w:rPr>
        <w:t xml:space="preserve">
      Цель 3.1 Сохранение, рациональное использование и воспроизводство рыбных, лесных ресурсов, ресурсов животного мира, объектов природно-заповедного фонда </w:t>
      </w:r>
    </w:p>
    <w:bookmarkEnd w:id="51"/>
    <w:bookmarkStart w:name="z76" w:id="52"/>
    <w:p>
      <w:pPr>
        <w:spacing w:after="0"/>
        <w:ind w:left="0"/>
        <w:jc w:val="both"/>
      </w:pPr>
      <w:r>
        <w:rPr>
          <w:rFonts w:ascii="Times New Roman"/>
          <w:b w:val="false"/>
          <w:i w:val="false"/>
          <w:color w:val="000000"/>
          <w:sz w:val="28"/>
        </w:rPr>
        <w:t>
      Коды бюджетных программ, направленных на достижение данной цели: 001, 026, 027, 028, 029, 030, 031, 032, 039</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4477"/>
        <w:gridCol w:w="889"/>
        <w:gridCol w:w="889"/>
        <w:gridCol w:w="877"/>
        <w:gridCol w:w="982"/>
        <w:gridCol w:w="745"/>
        <w:gridCol w:w="765"/>
        <w:gridCol w:w="745"/>
        <w:gridCol w:w="766"/>
        <w:gridCol w:w="875"/>
      </w:tblGrid>
      <w:tr>
        <w:trPr>
          <w:trHeight w:val="450" w:hRule="atLeast"/>
        </w:trPr>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w:t>
            </w:r>
            <w:r>
              <w:rPr>
                <w:rFonts w:ascii="Times New Roman"/>
                <w:b w:val="false"/>
                <w:i w:val="false"/>
                <w:color w:val="000000"/>
                <w:sz w:val="20"/>
              </w:rPr>
              <w:t>ции</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rPr>
                <w:rFonts w:ascii="Times New Roman"/>
                <w:b w:val="false"/>
                <w:i w:val="false"/>
                <w:color w:val="000000"/>
                <w:sz w:val="20"/>
              </w:rPr>
              <w:t>изме</w:t>
            </w:r>
            <w:r>
              <w:rPr>
                <w:rFonts w:ascii="Times New Roman"/>
                <w:b w:val="false"/>
                <w:i w:val="false"/>
                <w:color w:val="000000"/>
                <w:sz w:val="20"/>
              </w:rPr>
              <w:t>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год (отчет)</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rPr>
                <w:rFonts w:ascii="Times New Roman"/>
                <w:b w:val="false"/>
                <w:i w:val="false"/>
                <w:color w:val="000000"/>
                <w:sz w:val="20"/>
              </w:rPr>
              <w:t>год (план текущего)</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225"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угодий непокрытых лесом, переведенных в покрытые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отчетные </w:t>
            </w:r>
            <w:r>
              <w:rPr>
                <w:rFonts w:ascii="Times New Roman"/>
                <w:b w:val="false"/>
                <w:i w:val="false"/>
                <w:color w:val="000000"/>
                <w:sz w:val="20"/>
              </w:rPr>
              <w:t>данные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га.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25" w:hRule="atLeast"/>
        </w:trPr>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животного мира, в том числе:</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отчетные </w:t>
            </w:r>
            <w:r>
              <w:rPr>
                <w:rFonts w:ascii="Times New Roman"/>
                <w:b w:val="false"/>
                <w:i w:val="false"/>
                <w:color w:val="000000"/>
                <w:sz w:val="20"/>
              </w:rPr>
              <w:t>данные</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25" w:hRule="atLeast"/>
        </w:trPr>
        <w:tc>
          <w:tcPr>
            <w:tcW w:w="0" w:type="auto"/>
            <w:vMerge/>
            <w:tcBorders>
              <w:top w:val="nil"/>
              <w:left w:val="single" w:color="cfcfcf" w:sz="5"/>
              <w:bottom w:val="single" w:color="cfcfcf" w:sz="5"/>
              <w:right w:val="single" w:color="cfcfcf" w:sz="5"/>
            </w:tcBorders>
          </w:tcP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охотничьи виды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25" w:hRule="atLeast"/>
        </w:trPr>
        <w:tc>
          <w:tcPr>
            <w:tcW w:w="0" w:type="auto"/>
            <w:vMerge/>
            <w:tcBorders>
              <w:top w:val="nil"/>
              <w:left w:val="single" w:color="cfcfcf" w:sz="5"/>
              <w:bottom w:val="single" w:color="cfcfcf" w:sz="5"/>
              <w:right w:val="single" w:color="cfcfcf" w:sz="5"/>
            </w:tcBorders>
          </w:tcP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редкие и находящиеся под угрозой исчезновения виды, охваченные учетом и мониторингом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особо охраняемых природных территорий к общей площади республики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отчетные </w:t>
            </w:r>
            <w:r>
              <w:rPr>
                <w:rFonts w:ascii="Times New Roman"/>
                <w:b w:val="false"/>
                <w:i w:val="false"/>
                <w:color w:val="000000"/>
                <w:sz w:val="20"/>
              </w:rPr>
              <w:t>данные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225"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лимита вылова рыбы и других водных животных (без учета морских видов рыб Каспийского моря)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отчетные </w:t>
            </w:r>
            <w:r>
              <w:rPr>
                <w:rFonts w:ascii="Times New Roman"/>
                <w:b w:val="false"/>
                <w:i w:val="false"/>
                <w:color w:val="000000"/>
                <w:sz w:val="20"/>
              </w:rPr>
              <w:t>данные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bookmarkStart w:name="z77" w:id="53"/>
    <w:p>
      <w:pPr>
        <w:spacing w:after="0"/>
        <w:ind w:left="0"/>
        <w:jc w:val="both"/>
      </w:pPr>
      <w:r>
        <w:rPr>
          <w:rFonts w:ascii="Times New Roman"/>
          <w:b w:val="false"/>
          <w:i w:val="false"/>
          <w:color w:val="000000"/>
          <w:sz w:val="28"/>
        </w:rPr>
        <w:t>
</w:t>
      </w:r>
      <w:r>
        <w:rPr>
          <w:rFonts w:ascii="Times New Roman"/>
          <w:b/>
          <w:i w:val="false"/>
          <w:color w:val="000000"/>
          <w:sz w:val="28"/>
        </w:rPr>
        <w:t>      Пути, средства и методы достижения целевого индикатора:</w:t>
      </w:r>
    </w:p>
    <w:bookmarkEnd w:id="53"/>
    <w:bookmarkStart w:name="z78" w:id="54"/>
    <w:p>
      <w:pPr>
        <w:spacing w:after="0"/>
        <w:ind w:left="0"/>
        <w:jc w:val="both"/>
      </w:pPr>
      <w:r>
        <w:rPr>
          <w:rFonts w:ascii="Times New Roman"/>
          <w:b w:val="false"/>
          <w:i w:val="false"/>
          <w:color w:val="000000"/>
          <w:sz w:val="28"/>
        </w:rPr>
        <w:t>
      Задача 3.1.1. Увеличение лесистости территории республики, предупреждение лесных пожаров, своевременное их обнаружение и ликвидация, воспроизводство и рациональное использование ресурсов животного мира и объектов природно-заповедного фонда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4282"/>
        <w:gridCol w:w="1296"/>
        <w:gridCol w:w="1107"/>
        <w:gridCol w:w="1109"/>
        <w:gridCol w:w="1109"/>
        <w:gridCol w:w="751"/>
        <w:gridCol w:w="773"/>
        <w:gridCol w:w="752"/>
        <w:gridCol w:w="752"/>
        <w:gridCol w:w="964"/>
      </w:tblGrid>
      <w:tr>
        <w:trPr>
          <w:trHeight w:val="36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воспроизводства лесов и лесоразведения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средней площади лесного пожара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 объема 1 случая незаконной рубки леса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численности сайгаков к предыдущему году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 численности редких и находящихся под угрозой исчезновения видов диких копытных животных в ареалах их обитания к предыдущему году:</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 олень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vMerge/>
            <w:tcBorders>
              <w:top w:val="nil"/>
              <w:left w:val="single" w:color="cfcfcf" w:sz="5"/>
              <w:bottom w:val="single" w:color="cfcfcf" w:sz="5"/>
              <w:right w:val="single" w:color="cfcfcf" w:sz="5"/>
            </w:tcBorders>
          </w:tcP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vMerge/>
            <w:tcBorders>
              <w:top w:val="nil"/>
              <w:left w:val="single" w:color="cfcfcf" w:sz="5"/>
              <w:bottom w:val="single" w:color="cfcfcf" w:sz="5"/>
              <w:right w:val="single" w:color="cfcfcf" w:sz="5"/>
            </w:tcBorders>
          </w:tcP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vMerge/>
            <w:tcBorders>
              <w:top w:val="nil"/>
              <w:left w:val="single" w:color="cfcfcf" w:sz="5"/>
              <w:bottom w:val="single" w:color="cfcfcf" w:sz="5"/>
              <w:right w:val="single" w:color="cfcfcf" w:sz="5"/>
            </w:tcBorders>
          </w:tcP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новых и расширенных особо охраняемых природных территорий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6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лесоустроительных работ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получения посадочного материала с улучшенными наследственными качествами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экспертизы качества лесных семян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санитарного состояния лесов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учет и аттестация объектов лесосеменной базы, а также их содержания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лесохозяйственного проектирования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авиационного патрулирования территории государственного лесного фонда республики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противопожарного обустройства территории лесного фонда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охраны, учета и мониторинга сайгаков в ареалах обитания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охраны, учета и мониторинга редких и находящихся под угрозой исчезновения видов диких копытных животных в ареалах обитания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охотничьих угодий</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межхозяйственного охотоустройства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подготовки биологического обоснования на изъятие объектов животного мира для определения лимита изъятия объектов животного мира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реинтродукции редких и исчезающих видов диких копытных животных (кулан, джейран, тугайный олень) на основании биологического обоснования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созданию новых и расширению территорий существующих ООПТ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79" w:id="55"/>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55"/>
    <w:bookmarkStart w:name="z80" w:id="56"/>
    <w:p>
      <w:pPr>
        <w:spacing w:after="0"/>
        <w:ind w:left="0"/>
        <w:jc w:val="both"/>
      </w:pPr>
      <w:r>
        <w:rPr>
          <w:rFonts w:ascii="Times New Roman"/>
          <w:b w:val="false"/>
          <w:i w:val="false"/>
          <w:color w:val="000000"/>
          <w:sz w:val="28"/>
        </w:rPr>
        <w:t>
Задача 3.1.2. Обеспечение охраны и воспроизводства рыбных ресурсов и других водных животных</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4290"/>
        <w:gridCol w:w="852"/>
        <w:gridCol w:w="852"/>
        <w:gridCol w:w="835"/>
        <w:gridCol w:w="937"/>
        <w:gridCol w:w="861"/>
        <w:gridCol w:w="862"/>
        <w:gridCol w:w="862"/>
        <w:gridCol w:w="862"/>
        <w:gridCol w:w="862"/>
      </w:tblGrid>
      <w:tr>
        <w:trPr>
          <w:trHeight w:val="36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прямых </w:t>
            </w:r>
            <w:r>
              <w:rPr>
                <w:rFonts w:ascii="Times New Roman"/>
                <w:b w:val="false"/>
                <w:i w:val="false"/>
                <w:color w:val="000000"/>
                <w:sz w:val="20"/>
              </w:rPr>
              <w:t>результатов</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w:t>
            </w:r>
            <w:r>
              <w:rPr>
                <w:rFonts w:ascii="Times New Roman"/>
                <w:b w:val="false"/>
                <w:i w:val="false"/>
                <w:color w:val="000000"/>
                <w:sz w:val="20"/>
              </w:rPr>
              <w:t>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rPr>
                <w:rFonts w:ascii="Times New Roman"/>
                <w:b w:val="false"/>
                <w:i w:val="false"/>
                <w:color w:val="000000"/>
                <w:sz w:val="20"/>
              </w:rPr>
              <w:t>изме</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год (отчет)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rPr>
                <w:rFonts w:ascii="Times New Roman"/>
                <w:b w:val="false"/>
                <w:i w:val="false"/>
                <w:color w:val="000000"/>
                <w:sz w:val="20"/>
              </w:rPr>
              <w:t>год (план текущего)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выращенной и выпущенной в рыбохозяйственные водоемы молоди ценных видов рыб</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Расчетные данные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закрепления рыбохозяйственных водоемов и (или) участков международного и республиканского значений на долгосрочной основе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6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учета и мониторинга рыбных ресурсов на рыбохозяйственных водоемах республики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искусственного выращивания молоди ценных видов рыб и выпуска в рыбохозяйственные водоемы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материально-технической обеспеченности республиканских государственных казенных предприятий рыбовоспроизводственного комплекса и межобластных бассейновых инспекций рыбного хозяйства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на каналах-рыбоходах рек Урал и Кигач для целесообразности и очередности проведения дноуглубительных работ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комплекса мероприятий по мелиоративным (дноуглубительным) работам на рыбоходных каналах в дельтах рек Урал и Кигач</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мероприятий по выявлению, пресечению браконьерства и незаконного оборота объектами и продукцией биологических ресурсов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проекта по реконструкции Атырауского и Урало-Атырауского осетровых рыбоводных заводов с доведением их суммарной мощности с 7 млн. до 12 млн. штук молоди в год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81" w:id="57"/>
    <w:p>
      <w:pPr>
        <w:spacing w:after="0"/>
        <w:ind w:left="0"/>
        <w:jc w:val="both"/>
      </w:pPr>
      <w:r>
        <w:rPr>
          <w:rFonts w:ascii="Times New Roman"/>
          <w:b w:val="false"/>
          <w:i w:val="false"/>
          <w:color w:val="000000"/>
          <w:sz w:val="28"/>
        </w:rPr>
        <w:t>
</w:t>
      </w:r>
      <w:r>
        <w:rPr>
          <w:rFonts w:ascii="Times New Roman"/>
          <w:b/>
          <w:i w:val="false"/>
          <w:color w:val="000000"/>
          <w:sz w:val="28"/>
        </w:rPr>
        <w:t>      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   государственного органа стратегическим целям государства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9"/>
        <w:gridCol w:w="7781"/>
      </w:tblGrid>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27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Стабилизация и улучшение качества окружающей среды</w:t>
            </w:r>
            <w:r>
              <w:br/>
            </w:r>
            <w:r>
              <w:rPr>
                <w:rFonts w:ascii="Times New Roman"/>
                <w:b w:val="false"/>
                <w:i w:val="false"/>
                <w:color w:val="000000"/>
                <w:sz w:val="20"/>
              </w:rPr>
              <w:t>
</w:t>
            </w:r>
            <w:r>
              <w:rPr>
                <w:rFonts w:ascii="Times New Roman"/>
                <w:b w:val="false"/>
                <w:i w:val="false"/>
                <w:color w:val="000000"/>
                <w:sz w:val="20"/>
              </w:rPr>
              <w:t>Цель 1.1. Создание условий по сохранению и восстановлению экосистем и обеспечение соблюдения экологического законодательства</w:t>
            </w:r>
            <w:r>
              <w:br/>
            </w:r>
            <w:r>
              <w:rPr>
                <w:rFonts w:ascii="Times New Roman"/>
                <w:b w:val="false"/>
                <w:i w:val="false"/>
                <w:color w:val="000000"/>
                <w:sz w:val="20"/>
              </w:rPr>
              <w:t>
</w:t>
            </w:r>
            <w:r>
              <w:rPr>
                <w:rFonts w:ascii="Times New Roman"/>
                <w:b w:val="false"/>
                <w:i w:val="false"/>
                <w:color w:val="000000"/>
                <w:sz w:val="20"/>
              </w:rPr>
              <w:t>Цель 1.2 Совершенствование гидрометеорологического и экологического мониторинга</w:t>
            </w:r>
            <w:r>
              <w:br/>
            </w:r>
            <w:r>
              <w:rPr>
                <w:rFonts w:ascii="Times New Roman"/>
                <w:b w:val="false"/>
                <w:i w:val="false"/>
                <w:color w:val="000000"/>
                <w:sz w:val="20"/>
              </w:rPr>
              <w:t>
</w:t>
            </w:r>
            <w:r>
              <w:rPr>
                <w:rFonts w:ascii="Times New Roman"/>
                <w:b w:val="false"/>
                <w:i w:val="false"/>
                <w:color w:val="000000"/>
                <w:sz w:val="20"/>
              </w:rPr>
              <w:t>Цель 1.3. Расширение сфер взаимодействия с общественностью и укрепление международного сотрудничества</w:t>
            </w:r>
            <w:r>
              <w:br/>
            </w:r>
            <w:r>
              <w:rPr>
                <w:rFonts w:ascii="Times New Roman"/>
                <w:b w:val="false"/>
                <w:i w:val="false"/>
                <w:color w:val="000000"/>
                <w:sz w:val="20"/>
              </w:rPr>
              <w:t>
</w:t>
            </w:r>
            <w:r>
              <w:rPr>
                <w:rFonts w:ascii="Times New Roman"/>
                <w:b w:val="false"/>
                <w:i w:val="false"/>
                <w:color w:val="000000"/>
                <w:sz w:val="20"/>
              </w:rPr>
              <w:t>Цель 1.4 Создание условий по переходу Республики Казахстан к низкоуглеродному развитию и «зеленой» экономике</w:t>
            </w:r>
          </w:p>
          <w:p>
            <w:pPr>
              <w:spacing w:after="20"/>
              <w:ind w:left="20"/>
              <w:jc w:val="both"/>
            </w:pPr>
            <w:r>
              <w:rPr>
                <w:rFonts w:ascii="Times New Roman"/>
                <w:b w:val="false"/>
                <w:i w:val="false"/>
                <w:color w:val="000000"/>
                <w:sz w:val="20"/>
              </w:rPr>
              <w:t>Стратегическое направление 2. Обеспечение водной безопасности Республики Казахстан</w:t>
            </w:r>
            <w:r>
              <w:br/>
            </w:r>
            <w:r>
              <w:rPr>
                <w:rFonts w:ascii="Times New Roman"/>
                <w:b w:val="false"/>
                <w:i w:val="false"/>
                <w:color w:val="000000"/>
                <w:sz w:val="20"/>
              </w:rPr>
              <w:t>
</w:t>
            </w:r>
            <w:r>
              <w:rPr>
                <w:rFonts w:ascii="Times New Roman"/>
                <w:b w:val="false"/>
                <w:i w:val="false"/>
                <w:color w:val="000000"/>
                <w:sz w:val="20"/>
              </w:rPr>
              <w:t>Цель 2.1 Достижение и поддержание экологически безопасного и экономически оптимального уровня водопользования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Цель 2.2 Эффективное управление водными ресурсами.</w:t>
            </w:r>
          </w:p>
          <w:p>
            <w:pPr>
              <w:spacing w:after="20"/>
              <w:ind w:left="20"/>
              <w:jc w:val="both"/>
            </w:pPr>
            <w:r>
              <w:rPr>
                <w:rFonts w:ascii="Times New Roman"/>
                <w:b w:val="false"/>
                <w:i w:val="false"/>
                <w:color w:val="000000"/>
                <w:sz w:val="20"/>
              </w:rPr>
              <w:t>Стратегическое направление 3. Обеспечение охраны, воспроизводства и рационального использования растительного и животного мира,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Цель 3.1 Сохранение, рациональное использование и воспроизводство рыбных, лесных ресурсов, ресурсов животного мира, объектов природно-заповедного фонда</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от 10 октября 1997 года «Казахстан - 2030. Процветание, безопасность и улучшение благосостояния всех казахстанцев».</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 марта 2006 года «Стратегия вхождения Казахстана в число 50-ти наиболее конкурентоспособных стран мира. Казахстан на пороге нового рывка вперед в своем развитии».</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28 февраля 2007 года «Новый Казахстан в новом мире»</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14 декабря 2012 года «Стратегия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Times New Roman"/>
                <w:b w:val="false"/>
                <w:i w:val="false"/>
                <w:color w:val="000000"/>
                <w:sz w:val="20"/>
              </w:rPr>
              <w:t>
</w:t>
            </w:r>
            <w:r>
              <w:rPr>
                <w:rFonts w:ascii="Times New Roman"/>
                <w:b w:val="false"/>
                <w:i w:val="false"/>
                <w:color w:val="000000"/>
                <w:sz w:val="20"/>
              </w:rPr>
              <w:t>Программа</w:t>
            </w:r>
            <w:r>
              <w:rPr>
                <w:rFonts w:ascii="Times New Roman"/>
                <w:b w:val="false"/>
                <w:i w:val="false"/>
                <w:color w:val="000000"/>
                <w:sz w:val="20"/>
              </w:rPr>
              <w:t xml:space="preserve"> «Жасыл Даму» на 2010 - 2014 годы, утвержденная постановлением Правительства Республики Казахстан от 10 сентября 2010 года № 924.</w:t>
            </w:r>
            <w:r>
              <w:br/>
            </w:r>
            <w:r>
              <w:rPr>
                <w:rFonts w:ascii="Times New Roman"/>
                <w:b w:val="false"/>
                <w:i w:val="false"/>
                <w:color w:val="000000"/>
                <w:sz w:val="20"/>
              </w:rPr>
              <w:t>
</w:t>
            </w:r>
            <w:r>
              <w:rPr>
                <w:rFonts w:ascii="Times New Roman"/>
                <w:b w:val="false"/>
                <w:i w:val="false"/>
                <w:color w:val="000000"/>
                <w:sz w:val="20"/>
              </w:rPr>
              <w:t>Программа</w:t>
            </w:r>
            <w:r>
              <w:rPr>
                <w:rFonts w:ascii="Times New Roman"/>
                <w:b w:val="false"/>
                <w:i w:val="false"/>
                <w:color w:val="000000"/>
                <w:sz w:val="20"/>
              </w:rPr>
              <w:t xml:space="preserve"> «Ак-булак» на 2011 – 2020 годы, утвержденная постановлением Правительства Республики Казахстан от 9 ноября 2010 года № 1176,</w:t>
            </w:r>
            <w:r>
              <w:br/>
            </w: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РК по переходу к «зеленой» экономике, утвержденная Указом Президента РК № 577 от 30 мая 2013 г.</w:t>
            </w:r>
          </w:p>
        </w:tc>
      </w:tr>
    </w:tbl>
    <w:bookmarkStart w:name="z82" w:id="58"/>
    <w:p>
      <w:pPr>
        <w:spacing w:after="0"/>
        <w:ind w:left="0"/>
        <w:jc w:val="both"/>
      </w:pPr>
      <w:r>
        <w:rPr>
          <w:rFonts w:ascii="Times New Roman"/>
          <w:b w:val="false"/>
          <w:i w:val="false"/>
          <w:color w:val="000000"/>
          <w:sz w:val="28"/>
        </w:rPr>
        <w:t>
      </w:t>
      </w:r>
      <w:r>
        <w:rPr>
          <w:rFonts w:ascii="Times New Roman"/>
          <w:b/>
          <w:i w:val="false"/>
          <w:color w:val="000000"/>
          <w:sz w:val="28"/>
        </w:rPr>
        <w:t>Раздел 4. Развитие функциональных возможностей</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5207"/>
        <w:gridCol w:w="1680"/>
      </w:tblGrid>
      <w:tr>
        <w:trPr>
          <w:trHeight w:val="27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27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05" w:hRule="atLeast"/>
        </w:trPr>
        <w:tc>
          <w:tcPr>
            <w:tcW w:w="7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Стабилизация и улучшение качества окружающей среды</w:t>
            </w:r>
          </w:p>
          <w:p>
            <w:pPr>
              <w:spacing w:after="20"/>
              <w:ind w:left="20"/>
              <w:jc w:val="both"/>
            </w:pPr>
            <w:r>
              <w:rPr>
                <w:rFonts w:ascii="Times New Roman"/>
                <w:b w:val="false"/>
                <w:i w:val="false"/>
                <w:color w:val="000000"/>
                <w:sz w:val="20"/>
              </w:rPr>
              <w:t>Цель 1.1. Создание условий по сохранению и восстановлению экосистем и обеспечение соблюдения экологического законодательства</w:t>
            </w:r>
            <w:r>
              <w:br/>
            </w:r>
            <w:r>
              <w:rPr>
                <w:rFonts w:ascii="Times New Roman"/>
                <w:b w:val="false"/>
                <w:i w:val="false"/>
                <w:color w:val="000000"/>
                <w:sz w:val="20"/>
              </w:rPr>
              <w:t>
</w:t>
            </w:r>
            <w:r>
              <w:rPr>
                <w:rFonts w:ascii="Times New Roman"/>
                <w:b w:val="false"/>
                <w:i/>
                <w:color w:val="000000"/>
                <w:sz w:val="20"/>
              </w:rPr>
              <w:t>Задача 1.1.1. Стабилизация эмиссий в окружающую среду</w:t>
            </w:r>
            <w:r>
              <w:br/>
            </w:r>
            <w:r>
              <w:rPr>
                <w:rFonts w:ascii="Times New Roman"/>
                <w:b w:val="false"/>
                <w:i w:val="false"/>
                <w:color w:val="000000"/>
                <w:sz w:val="20"/>
              </w:rPr>
              <w:t>
</w:t>
            </w:r>
            <w:r>
              <w:rPr>
                <w:rFonts w:ascii="Times New Roman"/>
                <w:b w:val="false"/>
                <w:i/>
                <w:color w:val="000000"/>
                <w:sz w:val="20"/>
              </w:rPr>
              <w:t>Задача 1.1.2. Ликвидация исторических загрязнений, восстановление природной среды</w:t>
            </w:r>
            <w:r>
              <w:br/>
            </w:r>
            <w:r>
              <w:rPr>
                <w:rFonts w:ascii="Times New Roman"/>
                <w:b w:val="false"/>
                <w:i w:val="false"/>
                <w:color w:val="000000"/>
                <w:sz w:val="20"/>
              </w:rPr>
              <w:t>
</w:t>
            </w:r>
            <w:r>
              <w:rPr>
                <w:rFonts w:ascii="Times New Roman"/>
                <w:b w:val="false"/>
                <w:i/>
                <w:color w:val="000000"/>
                <w:sz w:val="20"/>
              </w:rPr>
              <w:t>Задача 1.1.3. Управление отходами производства и потребления</w:t>
            </w:r>
            <w:r>
              <w:br/>
            </w:r>
            <w:r>
              <w:rPr>
                <w:rFonts w:ascii="Times New Roman"/>
                <w:b w:val="false"/>
                <w:i w:val="false"/>
                <w:color w:val="000000"/>
                <w:sz w:val="20"/>
              </w:rPr>
              <w:t>
</w:t>
            </w:r>
            <w:r>
              <w:rPr>
                <w:rFonts w:ascii="Times New Roman"/>
                <w:b w:val="false"/>
                <w:i/>
                <w:color w:val="000000"/>
                <w:sz w:val="20"/>
              </w:rPr>
              <w:t>Задача 1.1.4. Повышение эффективности государственного экологического контроля</w:t>
            </w:r>
            <w:r>
              <w:br/>
            </w:r>
            <w:r>
              <w:rPr>
                <w:rFonts w:ascii="Times New Roman"/>
                <w:b w:val="false"/>
                <w:i w:val="false"/>
                <w:color w:val="000000"/>
                <w:sz w:val="20"/>
              </w:rPr>
              <w:t>
</w:t>
            </w:r>
            <w:r>
              <w:rPr>
                <w:rFonts w:ascii="Times New Roman"/>
                <w:b w:val="false"/>
                <w:i w:val="false"/>
                <w:color w:val="000000"/>
                <w:sz w:val="20"/>
              </w:rPr>
              <w:t>Цель 1.2 Совершенствование гидрометеорологического и экологического мониторинга</w:t>
            </w:r>
            <w:r>
              <w:br/>
            </w:r>
            <w:r>
              <w:rPr>
                <w:rFonts w:ascii="Times New Roman"/>
                <w:b w:val="false"/>
                <w:i w:val="false"/>
                <w:color w:val="000000"/>
                <w:sz w:val="20"/>
              </w:rPr>
              <w:t>
</w:t>
            </w:r>
            <w:r>
              <w:rPr>
                <w:rFonts w:ascii="Times New Roman"/>
                <w:b w:val="false"/>
                <w:i/>
                <w:color w:val="000000"/>
                <w:sz w:val="20"/>
              </w:rPr>
              <w:t>Задача 1.2.1. Повышение качества обеспечения государства и населения гидрометеорологической информацией</w:t>
            </w:r>
            <w:r>
              <w:br/>
            </w:r>
            <w:r>
              <w:rPr>
                <w:rFonts w:ascii="Times New Roman"/>
                <w:b w:val="false"/>
                <w:i w:val="false"/>
                <w:color w:val="000000"/>
                <w:sz w:val="20"/>
              </w:rPr>
              <w:t>
</w:t>
            </w:r>
            <w:r>
              <w:rPr>
                <w:rFonts w:ascii="Times New Roman"/>
                <w:b w:val="false"/>
                <w:i/>
                <w:color w:val="000000"/>
                <w:sz w:val="20"/>
              </w:rPr>
              <w:t>Задача 1.2.2. Повышение качества мониторинга атмосферного воздуха</w:t>
            </w:r>
            <w:r>
              <w:br/>
            </w:r>
            <w:r>
              <w:rPr>
                <w:rFonts w:ascii="Times New Roman"/>
                <w:b w:val="false"/>
                <w:i w:val="false"/>
                <w:color w:val="000000"/>
                <w:sz w:val="20"/>
              </w:rPr>
              <w:t>
</w:t>
            </w:r>
            <w:r>
              <w:rPr>
                <w:rFonts w:ascii="Times New Roman"/>
                <w:b w:val="false"/>
                <w:i/>
                <w:color w:val="000000"/>
                <w:sz w:val="20"/>
              </w:rPr>
              <w:t>Задача 1.2.3. Повышение авиационной безопасности в части метеорологического обеспечения полетов воздушных судов гражданской авиации и повышение качества авиационной метеорологической продукции</w:t>
            </w:r>
            <w:r>
              <w:br/>
            </w:r>
            <w:r>
              <w:rPr>
                <w:rFonts w:ascii="Times New Roman"/>
                <w:b w:val="false"/>
                <w:i w:val="false"/>
                <w:color w:val="000000"/>
                <w:sz w:val="20"/>
              </w:rPr>
              <w:t>
</w:t>
            </w:r>
            <w:r>
              <w:rPr>
                <w:rFonts w:ascii="Times New Roman"/>
                <w:b w:val="false"/>
                <w:i w:val="false"/>
                <w:color w:val="000000"/>
                <w:sz w:val="20"/>
              </w:rPr>
              <w:t>Цель 1.3. Расширение сфер взаимодействия с общественностью и укрепление международного сотрудничества</w:t>
            </w:r>
            <w:r>
              <w:br/>
            </w:r>
            <w:r>
              <w:rPr>
                <w:rFonts w:ascii="Times New Roman"/>
                <w:b w:val="false"/>
                <w:i w:val="false"/>
                <w:color w:val="000000"/>
                <w:sz w:val="20"/>
              </w:rPr>
              <w:t>
</w:t>
            </w:r>
            <w:r>
              <w:rPr>
                <w:rFonts w:ascii="Times New Roman"/>
                <w:b w:val="false"/>
                <w:i/>
                <w:color w:val="000000"/>
                <w:sz w:val="20"/>
              </w:rPr>
              <w:t>Задача 1.3.1. Взаимодействие с неправительственными организациями, обеспечение доступа населения к экологической информации и повышение качества оказание государственных услуг</w:t>
            </w:r>
            <w:r>
              <w:br/>
            </w:r>
            <w:r>
              <w:rPr>
                <w:rFonts w:ascii="Times New Roman"/>
                <w:b w:val="false"/>
                <w:i w:val="false"/>
                <w:color w:val="000000"/>
                <w:sz w:val="20"/>
              </w:rPr>
              <w:t>
</w:t>
            </w:r>
            <w:r>
              <w:rPr>
                <w:rFonts w:ascii="Times New Roman"/>
                <w:b w:val="false"/>
                <w:i/>
                <w:color w:val="000000"/>
                <w:sz w:val="20"/>
              </w:rPr>
              <w:t>Задача 1.3.2. Формирование и продвижение положительного имиджа Республики Казахстан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Цель 1.4 Создание условий по переходу Республики Казахстан к низкоуглеродному развитию и «зеленой» экономике</w:t>
            </w:r>
            <w:r>
              <w:br/>
            </w:r>
            <w:r>
              <w:rPr>
                <w:rFonts w:ascii="Times New Roman"/>
                <w:b w:val="false"/>
                <w:i w:val="false"/>
                <w:color w:val="000000"/>
                <w:sz w:val="20"/>
              </w:rPr>
              <w:t>
</w:t>
            </w:r>
            <w:r>
              <w:rPr>
                <w:rFonts w:ascii="Times New Roman"/>
                <w:b w:val="false"/>
                <w:i/>
                <w:color w:val="000000"/>
                <w:sz w:val="20"/>
              </w:rPr>
              <w:t>Задача 1.4.1 Внедрение рыночного механизма сокращения выбросов парниковых газов</w:t>
            </w:r>
            <w:r>
              <w:br/>
            </w:r>
            <w:r>
              <w:rPr>
                <w:rFonts w:ascii="Times New Roman"/>
                <w:b w:val="false"/>
                <w:i w:val="false"/>
                <w:color w:val="000000"/>
                <w:sz w:val="20"/>
              </w:rPr>
              <w:t>
</w:t>
            </w:r>
            <w:r>
              <w:rPr>
                <w:rFonts w:ascii="Times New Roman"/>
                <w:b w:val="false"/>
                <w:i/>
                <w:color w:val="000000"/>
                <w:sz w:val="20"/>
              </w:rPr>
              <w:t>Задача 1.4.2. Развитие возобновляемых источников энергии</w:t>
            </w:r>
            <w:r>
              <w:br/>
            </w:r>
            <w:r>
              <w:rPr>
                <w:rFonts w:ascii="Times New Roman"/>
                <w:b w:val="false"/>
                <w:i w:val="false"/>
                <w:color w:val="000000"/>
                <w:sz w:val="20"/>
              </w:rPr>
              <w:t>
</w:t>
            </w:r>
            <w:r>
              <w:rPr>
                <w:rFonts w:ascii="Times New Roman"/>
                <w:b w:val="false"/>
                <w:i/>
                <w:color w:val="000000"/>
                <w:sz w:val="20"/>
              </w:rPr>
              <w:t>Задача 1.4.3. Создание правовой основы, повышение осведомленности государственных органов и содействие в реализации проектов по вопросам «зеленой» экономики</w:t>
            </w:r>
          </w:p>
          <w:p>
            <w:pPr>
              <w:spacing w:after="20"/>
              <w:ind w:left="20"/>
              <w:jc w:val="both"/>
            </w:pPr>
            <w:r>
              <w:rPr>
                <w:rFonts w:ascii="Times New Roman"/>
                <w:b w:val="false"/>
                <w:i w:val="false"/>
                <w:color w:val="000000"/>
                <w:sz w:val="20"/>
              </w:rPr>
              <w:t>Стратегическое направление 2. Обеспечение водной безопасности Республики Казахстан</w:t>
            </w:r>
            <w:r>
              <w:br/>
            </w:r>
            <w:r>
              <w:rPr>
                <w:rFonts w:ascii="Times New Roman"/>
                <w:b w:val="false"/>
                <w:i w:val="false"/>
                <w:color w:val="000000"/>
                <w:sz w:val="20"/>
              </w:rPr>
              <w:t>
</w:t>
            </w:r>
            <w:r>
              <w:rPr>
                <w:rFonts w:ascii="Times New Roman"/>
                <w:b w:val="false"/>
                <w:i w:val="false"/>
                <w:color w:val="000000"/>
                <w:sz w:val="20"/>
              </w:rPr>
              <w:t>Цель 2.1 Достижение и поддержание экологически безопасного и экономически оптимального уровня водопользования и охраны водного фонда.</w:t>
            </w:r>
            <w:r>
              <w:br/>
            </w:r>
            <w:r>
              <w:rPr>
                <w:rFonts w:ascii="Times New Roman"/>
                <w:b w:val="false"/>
                <w:i w:val="false"/>
                <w:color w:val="000000"/>
                <w:sz w:val="20"/>
              </w:rPr>
              <w:t>
</w:t>
            </w:r>
            <w:r>
              <w:rPr>
                <w:rFonts w:ascii="Times New Roman"/>
                <w:b w:val="false"/>
                <w:i/>
                <w:color w:val="000000"/>
                <w:sz w:val="20"/>
              </w:rPr>
              <w:t>Задача 2.1.1. Охрана и рациональное использование водных ресурсов</w:t>
            </w:r>
            <w:r>
              <w:br/>
            </w:r>
            <w:r>
              <w:rPr>
                <w:rFonts w:ascii="Times New Roman"/>
                <w:b w:val="false"/>
                <w:i w:val="false"/>
                <w:color w:val="000000"/>
                <w:sz w:val="20"/>
              </w:rPr>
              <w:t>
</w:t>
            </w:r>
            <w:r>
              <w:rPr>
                <w:rFonts w:ascii="Times New Roman"/>
                <w:b w:val="false"/>
                <w:i/>
                <w:color w:val="000000"/>
                <w:sz w:val="20"/>
              </w:rPr>
              <w:t>Цель 2.2 Эффективное управление водными ресурсами.</w:t>
            </w:r>
            <w:r>
              <w:br/>
            </w:r>
            <w:r>
              <w:rPr>
                <w:rFonts w:ascii="Times New Roman"/>
                <w:b w:val="false"/>
                <w:i w:val="false"/>
                <w:color w:val="000000"/>
                <w:sz w:val="20"/>
              </w:rPr>
              <w:t>
</w:t>
            </w:r>
            <w:r>
              <w:rPr>
                <w:rFonts w:ascii="Times New Roman"/>
                <w:b w:val="false"/>
                <w:i/>
                <w:color w:val="000000"/>
                <w:sz w:val="20"/>
              </w:rPr>
              <w:t>Задача 2.2.1. Устойчивое развитие системы водоснабжения и водохозяйственных сооружений</w:t>
            </w:r>
          </w:p>
          <w:p>
            <w:pPr>
              <w:spacing w:after="20"/>
              <w:ind w:left="20"/>
              <w:jc w:val="both"/>
            </w:pPr>
            <w:r>
              <w:rPr>
                <w:rFonts w:ascii="Times New Roman"/>
                <w:b w:val="false"/>
                <w:i w:val="false"/>
                <w:color w:val="000000"/>
                <w:sz w:val="20"/>
              </w:rPr>
              <w:t>Стратегическое направление 3. Обеспечение охраны, воспроизводства и рационального использования растительного и животного мира,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Цель 3.1 Сохранение, рациональное использование и воспроизводство рыбных, лесных ресурсов, ресурсов животного мира, объектов природно-заповедного фонда</w:t>
            </w:r>
            <w:r>
              <w:br/>
            </w:r>
            <w:r>
              <w:rPr>
                <w:rFonts w:ascii="Times New Roman"/>
                <w:b w:val="false"/>
                <w:i w:val="false"/>
                <w:color w:val="000000"/>
                <w:sz w:val="20"/>
              </w:rPr>
              <w:t>
</w:t>
            </w:r>
            <w:r>
              <w:rPr>
                <w:rFonts w:ascii="Times New Roman"/>
                <w:b w:val="false"/>
                <w:i/>
                <w:color w:val="000000"/>
                <w:sz w:val="20"/>
              </w:rPr>
              <w:t>Задача 3.1.1. Увеличение лесистости территории республики, предупреждение лесных пожаров, своевременное их обнаружение и ликвидация, воспроизводство и рациональное использование ресурсов животного мира и объектов природно-заповедного фонда</w:t>
            </w:r>
            <w:r>
              <w:br/>
            </w:r>
            <w:r>
              <w:rPr>
                <w:rFonts w:ascii="Times New Roman"/>
                <w:b w:val="false"/>
                <w:i w:val="false"/>
                <w:color w:val="000000"/>
                <w:sz w:val="20"/>
              </w:rPr>
              <w:t>
</w:t>
            </w:r>
            <w:r>
              <w:rPr>
                <w:rFonts w:ascii="Times New Roman"/>
                <w:b w:val="false"/>
                <w:i/>
                <w:color w:val="000000"/>
                <w:sz w:val="20"/>
              </w:rPr>
              <w:t>Задача 3.1.2. Обеспечение охраны и воспроизводства рыбных ресурсов и других водных животных</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нормативно-правовой базы, регламентирующей деятельность в области окружающей среды и водных ресурсов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Анализ действующей структуры Министерства и при необходимости ее изменение с целью четкого распределения обязанностей и полномочий внутри системы Министерства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Дальнейшее расширение и укрепление функций государственного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Увеличение охвата сотрудников Министерства и территориальных органов ЭСЭДО и доступа в Интернет, юридическую базу, информационные базы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Предоставление качественной отчетной информации по оценке эффективности деятельности Министерства за текущий год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оценки качества работы каждого структурного подразделения, в том числе каждого сотрудника в соответствии с определенными критериями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Обеспечение казахстанского содержания при осуществлении государственных закупок инженерно- коммуникационных технологий (ИКТ) в секторе IТ-оборудования (при его наличии)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Сопровождение информационных систем в области окружающей среды и водных ресурсов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Автоматизация функций Министерства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705"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59"/>
    <w:p>
      <w:pPr>
        <w:spacing w:after="0"/>
        <w:ind w:left="0"/>
        <w:jc w:val="both"/>
      </w:pPr>
      <w:r>
        <w:rPr>
          <w:rFonts w:ascii="Times New Roman"/>
          <w:b w:val="false"/>
          <w:i w:val="false"/>
          <w:color w:val="000000"/>
          <w:sz w:val="28"/>
        </w:rPr>
        <w:t>
            </w:t>
      </w:r>
      <w:r>
        <w:rPr>
          <w:rFonts w:ascii="Times New Roman"/>
          <w:b/>
          <w:i w:val="false"/>
          <w:color w:val="000000"/>
          <w:sz w:val="28"/>
        </w:rPr>
        <w:t>Раздел 5. Межведомственное взаимодействие</w:t>
      </w:r>
    </w:p>
    <w:bookmarkEnd w:id="59"/>
    <w:p>
      <w:pPr>
        <w:spacing w:after="0"/>
        <w:ind w:left="0"/>
        <w:jc w:val="both"/>
      </w:pPr>
      <w:r>
        <w:rPr>
          <w:rFonts w:ascii="Times New Roman"/>
          <w:b w:val="false"/>
          <w:i w:val="false"/>
          <w:color w:val="ff0000"/>
          <w:sz w:val="28"/>
        </w:rPr>
        <w:t xml:space="preserve">      Сноска. Раздел 5 с изменением, внесенным постановлением Правительства РК от 08.07.2014 </w:t>
      </w:r>
      <w:r>
        <w:rPr>
          <w:rFonts w:ascii="Times New Roman"/>
          <w:b w:val="false"/>
          <w:i w:val="false"/>
          <w:color w:val="ff0000"/>
          <w:sz w:val="28"/>
        </w:rPr>
        <w:t>№ 779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3547"/>
        <w:gridCol w:w="5743"/>
      </w:tblGrid>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 органами</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Стабилизация и улучшение качества окружающей среды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Создание условий по сохранению и восстановлению экосистем и обеспечение соблюдения экологического законодательства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Стабилизация эмиссий в окружающую среду</w:t>
            </w:r>
          </w:p>
        </w:tc>
      </w:tr>
      <w:tr>
        <w:trPr>
          <w:trHeight w:val="30" w:hRule="atLeast"/>
        </w:trPr>
        <w:tc>
          <w:tcPr>
            <w:tcW w:w="4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Выбросы в атмосферу загрязняющих веществ, отходящих от стационарных источников</w:t>
            </w:r>
            <w:r>
              <w:br/>
            </w:r>
            <w:r>
              <w:rPr>
                <w:rFonts w:ascii="Times New Roman"/>
                <w:b w:val="false"/>
                <w:i w:val="false"/>
                <w:color w:val="000000"/>
                <w:sz w:val="20"/>
              </w:rPr>
              <w:t>
</w:t>
            </w:r>
            <w:r>
              <w:rPr>
                <w:rFonts w:ascii="Times New Roman"/>
                <w:b w:val="false"/>
                <w:i w:val="false"/>
                <w:color w:val="000000"/>
                <w:sz w:val="20"/>
              </w:rPr>
              <w:t>Объем фактических значений сбросов загрязняющих веществ</w:t>
            </w:r>
          </w:p>
        </w:tc>
        <w:tc>
          <w:tcPr>
            <w:tcW w:w="3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Астаны и Алматы</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 выбросов в атмосферу загрязняющих веществ, отходящих от стационарных источников</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 сбросов загрязняющих веществ</w:t>
            </w:r>
          </w:p>
        </w:tc>
      </w:tr>
      <w:tr>
        <w:trPr>
          <w:trHeight w:val="48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коммунальных отходов, направленных на переработку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Астаны и Алматы</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коммунальных отходов, направленных на переработку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 Создание условий по переходу Республики Казахстан к низкоуглеродному развитию и «зеленой» экономике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 Внедрение рыночного механизма сокращения выбросов парниковых газов</w:t>
            </w:r>
          </w:p>
        </w:tc>
      </w:tr>
      <w:tr>
        <w:trPr>
          <w:trHeight w:val="21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Непревышение объема выбросов парниковых газов по отношению к 1990 году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МИД, МИНТ, МНГ, АС, Акиматы областей, городов Астаны и Алматы</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торговли квотами на выбросы ПГ;</w:t>
            </w:r>
            <w:r>
              <w:br/>
            </w:r>
            <w:r>
              <w:rPr>
                <w:rFonts w:ascii="Times New Roman"/>
                <w:b w:val="false"/>
                <w:i w:val="false"/>
                <w:color w:val="000000"/>
                <w:sz w:val="20"/>
              </w:rPr>
              <w:t>
</w:t>
            </w:r>
            <w:r>
              <w:rPr>
                <w:rFonts w:ascii="Times New Roman"/>
                <w:b w:val="false"/>
                <w:i w:val="false"/>
                <w:color w:val="000000"/>
                <w:sz w:val="20"/>
              </w:rPr>
              <w:t>Участие в переговорном процессе по второму периоду действия обязательств Киотского протокола и в выработке нового соглашения в рамках Рамочной Конвенции ООН об изменении климата;</w:t>
            </w:r>
            <w:r>
              <w:br/>
            </w:r>
            <w:r>
              <w:rPr>
                <w:rFonts w:ascii="Times New Roman"/>
                <w:b w:val="false"/>
                <w:i w:val="false"/>
                <w:color w:val="000000"/>
                <w:sz w:val="20"/>
              </w:rPr>
              <w:t>
</w:t>
            </w:r>
            <w:r>
              <w:rPr>
                <w:rFonts w:ascii="Times New Roman"/>
                <w:b w:val="false"/>
                <w:i w:val="false"/>
                <w:color w:val="000000"/>
                <w:sz w:val="20"/>
              </w:rPr>
              <w:t>Участие на международных углеродных площадках ICAP, PMR WB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1.4.2 Развитие возобновляемых источников энергии</w:t>
            </w:r>
          </w:p>
        </w:tc>
      </w:tr>
      <w:tr>
        <w:trPr>
          <w:trHeight w:val="420" w:hRule="atLeast"/>
        </w:trPr>
        <w:tc>
          <w:tcPr>
            <w:tcW w:w="4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вырабатываемой электроэнергии возобновляемыми источниками энергии</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МСХ, МИНТ, МЧС, АРЕМ</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и</w:t>
            </w:r>
            <w:r>
              <w:br/>
            </w:r>
            <w:r>
              <w:rPr>
                <w:rFonts w:ascii="Times New Roman"/>
                <w:b w:val="false"/>
                <w:i w:val="false"/>
                <w:color w:val="000000"/>
                <w:sz w:val="20"/>
              </w:rPr>
              <w:t>
</w:t>
            </w:r>
            <w:r>
              <w:rPr>
                <w:rFonts w:ascii="Times New Roman"/>
                <w:b w:val="false"/>
                <w:i w:val="false"/>
                <w:color w:val="000000"/>
                <w:sz w:val="20"/>
              </w:rPr>
              <w:t>своевременное согласование</w:t>
            </w:r>
            <w:r>
              <w:br/>
            </w:r>
            <w:r>
              <w:rPr>
                <w:rFonts w:ascii="Times New Roman"/>
                <w:b w:val="false"/>
                <w:i w:val="false"/>
                <w:color w:val="000000"/>
                <w:sz w:val="20"/>
              </w:rPr>
              <w:t>
</w:t>
            </w:r>
            <w:r>
              <w:rPr>
                <w:rFonts w:ascii="Times New Roman"/>
                <w:b w:val="false"/>
                <w:i w:val="false"/>
                <w:color w:val="000000"/>
                <w:sz w:val="20"/>
              </w:rPr>
              <w:t>нормативных правовых документов, затрагивающих вопросы возобновляемых источников энергии; участие в IRENA</w:t>
            </w:r>
          </w:p>
        </w:tc>
      </w:tr>
      <w:tr>
        <w:trPr>
          <w:trHeight w:val="420" w:hRule="atLeast"/>
        </w:trPr>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областей, городов Астаны и Алматы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Резервирование и предоставление</w:t>
            </w:r>
            <w:r>
              <w:br/>
            </w:r>
            <w:r>
              <w:rPr>
                <w:rFonts w:ascii="Times New Roman"/>
                <w:b w:val="false"/>
                <w:i w:val="false"/>
                <w:color w:val="000000"/>
                <w:sz w:val="20"/>
              </w:rPr>
              <w:t>
</w:t>
            </w:r>
            <w:r>
              <w:rPr>
                <w:rFonts w:ascii="Times New Roman"/>
                <w:b w:val="false"/>
                <w:i w:val="false"/>
                <w:color w:val="000000"/>
                <w:sz w:val="20"/>
              </w:rPr>
              <w:t>земельных участков для строительства объектов в области использования возобновляемых источников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охраны, воспроизводства и рационального использования растительного и животного мира, особо охраняемых природных территорий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Сохранение, рациональное использование и воспроизводство лесных ресурсов, ресурсов животного мира, объектов природно-заповедного фонда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Увеличение лесистости территории республики, предупреждение лесных пожаров, своевременное их обнаружение и ликвидация, воспроизводство и рациональное использование ресурсов животного мира и объектов природно-заповедного фонда</w:t>
            </w:r>
          </w:p>
        </w:tc>
      </w:tr>
      <w:tr>
        <w:trPr>
          <w:trHeight w:val="30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лесов и лесоразведение, охрана леса</w:t>
            </w:r>
          </w:p>
        </w:tc>
        <w:tc>
          <w:tcPr>
            <w:tcW w:w="3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городов Астаны и Алматы</w:t>
            </w:r>
          </w:p>
        </w:tc>
        <w:tc>
          <w:tcPr>
            <w:tcW w:w="5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авиационного патрулирования территории государственного лесного фонда республики</w:t>
            </w:r>
          </w:p>
        </w:tc>
      </w:tr>
      <w:tr>
        <w:trPr>
          <w:trHeight w:val="39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средней площади лесного пожара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 объема 1 случая незаконной рубки леса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закрепления рыбохозяйственных водоемов и (или) участков международного и республиканского значений на долгосрочной основе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Астаны и Алматы</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конкурсов по закреплению рыбохозяйственных водоемов и (или) участков</w:t>
            </w:r>
          </w:p>
        </w:tc>
      </w:tr>
    </w:tbl>
    <w:bookmarkStart w:name="z84" w:id="60"/>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p>
    <w:bookmarkEnd w:id="60"/>
    <w:tbl>
      <w:tblPr>
        <w:tblW w:w="0" w:type="auto"/>
        <w:tblCellSpacing w:w="0" w:type="auto"/>
        <w:tblBorders>
          <w:top w:val="none"/>
          <w:left w:val="none"/>
          <w:bottom w:val="none"/>
          <w:right w:val="none"/>
          <w:insideH w:val="none"/>
          <w:insideV w:val="none"/>
        </w:tblBorders>
      </w:tblPr>
      <w:tblGrid>
        <w:gridCol w:w="1212"/>
        <w:gridCol w:w="10788"/>
      </w:tblGrid>
      <w:tr>
        <w:trPr>
          <w:trHeight w:val="3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 Республики Казахстан</w:t>
            </w:r>
          </w:p>
        </w:tc>
      </w:tr>
      <w:tr>
        <w:trPr>
          <w:trHeight w:val="3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иностранных дел Республики Казахстан</w:t>
            </w:r>
          </w:p>
        </w:tc>
      </w:tr>
      <w:tr>
        <w:trPr>
          <w:trHeight w:val="3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нефти и газа Республики Казахстан</w:t>
            </w:r>
          </w:p>
        </w:tc>
      </w:tr>
      <w:tr>
        <w:trPr>
          <w:trHeight w:val="3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чрезвычайным ситуациям Республики Казахстан</w:t>
            </w:r>
          </w:p>
        </w:tc>
      </w:tr>
      <w:tr>
        <w:trPr>
          <w:trHeight w:val="3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 и бюджетного планирования Республики Казахстан</w:t>
            </w:r>
          </w:p>
        </w:tc>
      </w:tr>
      <w:tr>
        <w:trPr>
          <w:trHeight w:val="3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регулированию естественных монополий</w:t>
            </w:r>
          </w:p>
        </w:tc>
      </w:tr>
      <w:tr>
        <w:trPr>
          <w:trHeight w:val="3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статистике</w:t>
            </w:r>
          </w:p>
        </w:tc>
      </w:tr>
    </w:tbl>
    <w:bookmarkStart w:name="z85" w:id="61"/>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61"/>
    <w:p>
      <w:pPr>
        <w:spacing w:after="0"/>
        <w:ind w:left="0"/>
        <w:jc w:val="both"/>
      </w:pPr>
      <w:r>
        <w:rPr>
          <w:rFonts w:ascii="Times New Roman"/>
          <w:b w:val="false"/>
          <w:i w:val="false"/>
          <w:color w:val="ff0000"/>
          <w:sz w:val="28"/>
        </w:rPr>
        <w:t xml:space="preserve">      Сноска. Раздел 6 с изменением, внесенным постановлением Правительства РК от 08.07.2014 </w:t>
      </w:r>
      <w:r>
        <w:rPr>
          <w:rFonts w:ascii="Times New Roman"/>
          <w:b w:val="false"/>
          <w:i w:val="false"/>
          <w:color w:val="ff0000"/>
          <w:sz w:val="28"/>
        </w:rPr>
        <w:t>№ 779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5"/>
        <w:gridCol w:w="3851"/>
        <w:gridCol w:w="5174"/>
      </w:tblGrid>
      <w:tr>
        <w:trPr>
          <w:trHeight w:val="510"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4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Нарастание последствий глобального изменения климата</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Возникновение чрезвычайных экологических ситуаций, дестабилизация водных ресурсов</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и отчетность выбросов парниковых газов </w:t>
            </w:r>
          </w:p>
        </w:tc>
      </w:tr>
      <w:tr>
        <w:trPr>
          <w:trHeight w:val="43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Трансграничные загрязнения природной среды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Неконтролируемая деградация природных объектов и экологических систем</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механизмов превентивного реагирования на экологические угрозы;</w:t>
            </w:r>
            <w:r>
              <w:br/>
            </w:r>
            <w:r>
              <w:rPr>
                <w:rFonts w:ascii="Times New Roman"/>
                <w:b w:val="false"/>
                <w:i w:val="false"/>
                <w:color w:val="000000"/>
                <w:sz w:val="20"/>
              </w:rPr>
              <w:t>
</w:t>
            </w:r>
            <w:r>
              <w:rPr>
                <w:rFonts w:ascii="Times New Roman"/>
                <w:b w:val="false"/>
                <w:i w:val="false"/>
                <w:color w:val="000000"/>
                <w:sz w:val="20"/>
              </w:rPr>
              <w:t>разработка мероприятий по заключению соглашений с трансграничными государствами;</w:t>
            </w:r>
          </w:p>
        </w:tc>
      </w:tr>
      <w:tr>
        <w:trPr>
          <w:trHeight w:val="43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Каспийского моря вследствие нарастающих нефтяных операций</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Разрушение уникальных экологических систем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законодательной регламентации обязательного проведения мониторинга или экологических исследований при проведении нефтяных операций</w:t>
            </w:r>
          </w:p>
        </w:tc>
      </w:tr>
      <w:tr>
        <w:trPr>
          <w:trHeight w:val="43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природного характера (засуха, заморозки, вымерзание, недостаток тепла, излишнее увлажнение, град, ливень, буря, ураган, наводнение, сель, глобальное потепление, массовое заболевание растений и животных в республике и сопредельных странах)</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жизни и здоровью населения, нанесения материального ущерба хозяйственному комплексу РК</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оправдываемости и заблаговременности гидрометеорологических прогнозов и штормовых предупреждений</w:t>
            </w:r>
          </w:p>
        </w:tc>
      </w:tr>
      <w:tr>
        <w:trPr>
          <w:trHeight w:val="43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инвесторов</w:t>
            </w:r>
            <w:r>
              <w:br/>
            </w:r>
            <w:r>
              <w:rPr>
                <w:rFonts w:ascii="Times New Roman"/>
                <w:b w:val="false"/>
                <w:i w:val="false"/>
                <w:color w:val="000000"/>
                <w:sz w:val="20"/>
              </w:rPr>
              <w:t>
</w:t>
            </w:r>
            <w:r>
              <w:rPr>
                <w:rFonts w:ascii="Times New Roman"/>
                <w:b w:val="false"/>
                <w:i w:val="false"/>
                <w:color w:val="000000"/>
                <w:sz w:val="20"/>
              </w:rPr>
              <w:t>в области возобновляемых</w:t>
            </w:r>
            <w:r>
              <w:br/>
            </w:r>
            <w:r>
              <w:rPr>
                <w:rFonts w:ascii="Times New Roman"/>
                <w:b w:val="false"/>
                <w:i w:val="false"/>
                <w:color w:val="000000"/>
                <w:sz w:val="20"/>
              </w:rPr>
              <w:t>
</w:t>
            </w:r>
            <w:r>
              <w:rPr>
                <w:rFonts w:ascii="Times New Roman"/>
                <w:b w:val="false"/>
                <w:i w:val="false"/>
                <w:color w:val="000000"/>
                <w:sz w:val="20"/>
              </w:rPr>
              <w:t>источников энергии</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объема</w:t>
            </w:r>
            <w:r>
              <w:br/>
            </w:r>
            <w:r>
              <w:rPr>
                <w:rFonts w:ascii="Times New Roman"/>
                <w:b w:val="false"/>
                <w:i w:val="false"/>
                <w:color w:val="000000"/>
                <w:sz w:val="20"/>
              </w:rPr>
              <w:t>
</w:t>
            </w:r>
            <w:r>
              <w:rPr>
                <w:rFonts w:ascii="Times New Roman"/>
                <w:b w:val="false"/>
                <w:i w:val="false"/>
                <w:color w:val="000000"/>
                <w:sz w:val="20"/>
              </w:rPr>
              <w:t>вырабатываемой</w:t>
            </w:r>
            <w:r>
              <w:br/>
            </w:r>
            <w:r>
              <w:rPr>
                <w:rFonts w:ascii="Times New Roman"/>
                <w:b w:val="false"/>
                <w:i w:val="false"/>
                <w:color w:val="000000"/>
                <w:sz w:val="20"/>
              </w:rPr>
              <w:t>
</w:t>
            </w:r>
            <w:r>
              <w:rPr>
                <w:rFonts w:ascii="Times New Roman"/>
                <w:b w:val="false"/>
                <w:i w:val="false"/>
                <w:color w:val="000000"/>
                <w:sz w:val="20"/>
              </w:rPr>
              <w:t>электроэнергии ВИЭ 2 млрд. кВтч. к 2018 году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правовых и административных мер для содействия производству электроэнергии от возобновляемых источников энергии</w:t>
            </w:r>
          </w:p>
        </w:tc>
      </w:tr>
      <w:tr>
        <w:trPr>
          <w:trHeight w:val="43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потери при</w:t>
            </w:r>
            <w:r>
              <w:br/>
            </w:r>
            <w:r>
              <w:rPr>
                <w:rFonts w:ascii="Times New Roman"/>
                <w:b w:val="false"/>
                <w:i w:val="false"/>
                <w:color w:val="000000"/>
                <w:sz w:val="20"/>
              </w:rPr>
              <w:t>
</w:t>
            </w:r>
            <w:r>
              <w:rPr>
                <w:rFonts w:ascii="Times New Roman"/>
                <w:b w:val="false"/>
                <w:i w:val="false"/>
                <w:color w:val="000000"/>
                <w:sz w:val="20"/>
              </w:rPr>
              <w:t>миграции диких животных</w:t>
            </w:r>
            <w:r>
              <w:br/>
            </w:r>
            <w:r>
              <w:rPr>
                <w:rFonts w:ascii="Times New Roman"/>
                <w:b w:val="false"/>
                <w:i w:val="false"/>
                <w:color w:val="000000"/>
                <w:sz w:val="20"/>
              </w:rPr>
              <w:t>
</w:t>
            </w:r>
            <w:r>
              <w:rPr>
                <w:rFonts w:ascii="Times New Roman"/>
                <w:b w:val="false"/>
                <w:i w:val="false"/>
                <w:color w:val="000000"/>
                <w:sz w:val="20"/>
              </w:rPr>
              <w:t>в сопредельные государства</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численности </w:t>
            </w:r>
            <w:r>
              <w:rPr>
                <w:rFonts w:ascii="Times New Roman"/>
                <w:b w:val="false"/>
                <w:i w:val="false"/>
                <w:color w:val="000000"/>
                <w:sz w:val="20"/>
              </w:rPr>
              <w:t>сайгаков</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двусторонних соглашений по сохранению численности животных.</w:t>
            </w:r>
          </w:p>
        </w:tc>
      </w:tr>
      <w:tr>
        <w:trPr>
          <w:trHeight w:val="43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Негативное антропогенное и техногенное воздействие</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численности рыбных ресурсов и других водных животных</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охранных мероприятий, повышение требовательности к предприятиям негативно влияющих на окружающую среду</w:t>
            </w:r>
          </w:p>
        </w:tc>
      </w:tr>
      <w:tr>
        <w:trPr>
          <w:trHeight w:val="43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природного характера (возрастающий дефицит водных ресурсов, неблагоприятный гидрологический режим (маловодность), ухудшение гидрохимического состава воды (кислородный режим)</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Негативное влияние на состояние рыбных ресурсов и других водных животных</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мер на межгосударственном уровне по регулированию водных ресурсов на трансграничных реках.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4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Аварийные залповые выбросы вредных веществ в атмосферу от промышленных предприятий в связи с ростом объема производства</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качества атмосферного воздуха, высокая заболеваемость местного населения</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качественное регулирование и контроль со стороны предприятий и надзорных органов</w:t>
            </w:r>
          </w:p>
        </w:tc>
      </w:tr>
      <w:tr>
        <w:trPr>
          <w:trHeight w:val="34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заблаговременного предоставления радиолокационной метеорологической информации об опасных явлениях погоды (до 2-4 часов)</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Возникновение аварийных ситуаций для авиации.</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предоставления радиолокационной метеорологической информации виде композитных карт;</w:t>
            </w:r>
            <w:r>
              <w:br/>
            </w:r>
            <w:r>
              <w:rPr>
                <w:rFonts w:ascii="Times New Roman"/>
                <w:b w:val="false"/>
                <w:i w:val="false"/>
                <w:color w:val="000000"/>
                <w:sz w:val="20"/>
              </w:rPr>
              <w:t>
</w:t>
            </w:r>
            <w:r>
              <w:rPr>
                <w:rFonts w:ascii="Times New Roman"/>
                <w:b w:val="false"/>
                <w:i w:val="false"/>
                <w:color w:val="000000"/>
                <w:sz w:val="20"/>
              </w:rPr>
              <w:t>обеспечение выполнения планово-предупредительных ремонтных работ.</w:t>
            </w:r>
          </w:p>
        </w:tc>
      </w:tr>
      <w:tr>
        <w:trPr>
          <w:trHeight w:val="300"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объемов отходов за счет ввода в эксплуатацию новых предприятий, увеличение производственной мощности действующих предприятий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качества окружающей среды (земельных, водных ресурсов, атмосферного воздуха)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управления отходами природопользователями I и II категории</w:t>
            </w:r>
          </w:p>
        </w:tc>
      </w:tr>
      <w:tr>
        <w:trPr>
          <w:trHeight w:val="345"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достижение запланированного удельного веса оказания государственных услуг, предоставляемых в электронном формате</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Срыв сроков оказания государственных услуг в электронном формате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регламентов для участников работы с ЕИС ООС, определение функции и процедур продвижения документации в ЕИС ООС; мониторинг оказания государственных услуг</w:t>
            </w:r>
          </w:p>
        </w:tc>
      </w:tr>
    </w:tbl>
    <w:bookmarkStart w:name="z86" w:id="62"/>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r>
        <w:br/>
      </w:r>
      <w:r>
        <w:rPr>
          <w:rFonts w:ascii="Times New Roman"/>
          <w:b w:val="false"/>
          <w:i w:val="false"/>
          <w:color w:val="000000"/>
          <w:sz w:val="28"/>
        </w:rPr>
        <w:t>
      </w:t>
      </w:r>
      <w:r>
        <w:rPr>
          <w:rFonts w:ascii="Times New Roman"/>
          <w:b w:val="false"/>
          <w:i w:val="false"/>
          <w:color w:val="ff0000"/>
          <w:sz w:val="28"/>
        </w:rPr>
        <w:t xml:space="preserve">Сноска. Раздел 7 с изменениями, внесенными постановлением Правительства РК от 08.07.2014 </w:t>
      </w:r>
      <w:r>
        <w:rPr>
          <w:rFonts w:ascii="Times New Roman"/>
          <w:b w:val="false"/>
          <w:i w:val="false"/>
          <w:color w:val="000000"/>
          <w:sz w:val="28"/>
        </w:rPr>
        <w:t>№ 779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7.1. Бюджетные программы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1050"/>
        <w:gridCol w:w="1221"/>
        <w:gridCol w:w="1591"/>
        <w:gridCol w:w="977"/>
        <w:gridCol w:w="977"/>
        <w:gridCol w:w="977"/>
        <w:gridCol w:w="1497"/>
        <w:gridCol w:w="1498"/>
      </w:tblGrid>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сохранению, восстановлению и улучшению качества окружающей среды, обеспечению перехода Республики Казахстан к устойчивому развитию»</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аппарата Министерства и его территориальных органов, проведение комплекса технологических, технических, организационных, социальных и экономических мер, направленных на охрану окружающей среды и улучшение ее качества</w:t>
            </w:r>
          </w:p>
        </w:tc>
      </w:tr>
      <w:tr>
        <w:trPr>
          <w:trHeight w:val="30" w:hRule="atLeast"/>
        </w:trPr>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центрального аппарата и аппаратов территориальных органов, обеспечивающих реализацию государственной политики в области охраны окружающей среды и природопользования</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национальных докладов в рамках реализации международных экологических конвенций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ежегодного национального сообщения о состоянии окружающей среды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проектов в рамках социального заказа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общественных слушаний в рамках государственного социального заказа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конференций в рамках социального заказа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брошюр в рамках социального заказа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и публикация сборников эколого-энергетических рейтингов казахстанских предприятий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семинаров, круглых столов в рамках социального заказа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диалоговых площадок по взаимодействию с НПО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проведения проверок природопользователей, отнесенных к незначительной и средней степени риска (дни)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количества требуемых документов на получение экологических разрешительных документов и сроков их рассмотрения</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затрат к общему объему бюджетных средств данной бюджетной подпрограммы: Обеспечение деятельности уполномоченного органа по сохранению, восстановлению и улучшению качества окружающей среды, обеспечению перехода Республики Казахстан к устойчивому развитию</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реализации социального заказа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нормативно-правовых актов по реализации Рамочной Конвенции ООН по изменению климата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экологической информации в электронных базах данных в рамках деятельности Орхусского центра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доклад о кадастре антропогенных выбросов из источников и абсорбции поглотителями парниковых газов (ПГ), не регулируемых Монреальским протоколом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удовлетворенных заявок на получение экологической информации в рамках деятельности Орхусского центра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пополнения Государственного фонда экологической информации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 объема выбросов парниковых газов по отношению к 1990 году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размещенных отчетов крупных природопользователей в рамках ведения Регистра выбросов и переноса загрязнителей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рекомендаций, нормативов, стандартов, инструкций и методик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рекомендации на каналах-рыбоходах рек Урал и Кигач целесообразности и очередности проведения дноуглубительных работ для производителей ценных видов рыб к местам нереста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обследованных населенных пунктов, прилегающих к полигонам Азгир и Капустин Яр в целях определения экологического статуса территории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рекомендаций,  завершенных в предыдущем году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запланированных рекомендаций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 по обследованию населенных пунктов, прилегающих к полигонам Азгир и Капустин Яр в целях определения экологического статуса территории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w:t>
            </w:r>
            <w:r>
              <w:br/>
            </w:r>
            <w:r>
              <w:rPr>
                <w:rFonts w:ascii="Times New Roman"/>
                <w:b w:val="false"/>
                <w:i w:val="false"/>
                <w:color w:val="000000"/>
                <w:sz w:val="20"/>
              </w:rPr>
              <w:t>
</w:t>
            </w:r>
            <w:r>
              <w:rPr>
                <w:rFonts w:ascii="Times New Roman"/>
                <w:b w:val="false"/>
                <w:i w:val="false"/>
                <w:color w:val="000000"/>
                <w:sz w:val="20"/>
              </w:rPr>
              <w:t>- на разработку рекомендаций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обследование одного населенного пункта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Ввод в опытную эксплуатацию информационных систем в области охраны окружающей среды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пользователей Единой информационной системы охраны окружающей среды (ЕИС ООС)</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объема экологической информации в области охраны окружающей среды «зеленой» экономики, «зеленых» технологий и природопользования с использованием интернет ресурсов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точек подключения к ЕСЭДО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публикаций на сайте Министерства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инвестиционного предложения по созданию Единой государственной системы мониторинга (ЕГСМ)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опытную эксплуатацию новых информационных систем в области охраны окружающей среды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промышленную эксплуатацию новых информационных систем в области ООС</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 информационной системы Государственный кадастр природных ресурсов (ГКПР)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посетителей сайта министерства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в месяц</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автоматизации процесса обмена экологической информацией между территориальными подразделениями и центральным аппаратом Министерства в рамках ЕИС ООС</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пополнения базы данных информационной системы ГКПР РК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картографического материала кадастровых объектов (в части кадастров ООПТ, животного мира, рыбного хозяйства и лесного фонда) материала информационной системы ГКПР РК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обеспечения бесперебойной работы компьютерной техники и программных продуктов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ЕСЭДО через Единую транспортную среду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отраслевого заключения по ЕГСМ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автоматизации функции по ведению Единой системы кадастров природных ресурсов (в части кадастров ООПТ, животного мира, рыбного хозяйства и лесного фонда)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затрат по реализации информационных систем Министерства окружающей среды и водных ресурсов к общему объему бюджетных средств данной бюджетной подпрограммы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2 236 323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4 174 600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4 947 612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4 692 851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1 922 781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3 942 881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4 298 773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4 276 686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4 276 686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174 372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213 721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139 170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210 243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536"/>
        <w:gridCol w:w="1548"/>
        <w:gridCol w:w="1657"/>
        <w:gridCol w:w="1368"/>
        <w:gridCol w:w="1368"/>
        <w:gridCol w:w="1369"/>
        <w:gridCol w:w="1260"/>
        <w:gridCol w:w="1261"/>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«Разработка качественных и количественных показателей (экологических нормативов и требований)»</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разработке качественных и количественных показателей (экологических нормативов и требований) в области охраны окружающей среды для оптимизации системы управления контроля качества окружающей среды и  принятия мер по снижению влияния хозяйственной и иной деятельности на окружающую среду</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разработанной нормативной методической документации в развитие </w:t>
            </w:r>
            <w:r>
              <w:rPr>
                <w:rFonts w:ascii="Times New Roman"/>
                <w:b w:val="false"/>
                <w:i w:val="false"/>
                <w:color w:val="000000"/>
                <w:sz w:val="20"/>
              </w:rPr>
              <w:t>Экологического кодекса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Разработанная нормативная методическая документация, рекомендованная к утверждению Министерством окружающей среды и водных ресурсов Республики Казахстан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разработанной методической документации в области охраны окружающей среды требованиям законодательства Республики Казахстан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разработку одной нормативной методической документации в развитие </w:t>
            </w:r>
            <w:r>
              <w:rPr>
                <w:rFonts w:ascii="Times New Roman"/>
                <w:b w:val="false"/>
                <w:i w:val="false"/>
                <w:color w:val="000000"/>
                <w:sz w:val="20"/>
              </w:rPr>
              <w:t>Экологического кодекса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073"/>
        <w:gridCol w:w="1293"/>
        <w:gridCol w:w="1513"/>
        <w:gridCol w:w="813"/>
        <w:gridCol w:w="1174"/>
        <w:gridCol w:w="1222"/>
        <w:gridCol w:w="813"/>
        <w:gridCol w:w="1433"/>
        <w:gridCol w:w="1433"/>
      </w:tblGrid>
      <w:tr>
        <w:trPr>
          <w:trHeight w:val="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«Научные исследования в области охраны окружающей среды и природопользования»</w:t>
            </w:r>
          </w:p>
        </w:tc>
      </w:tr>
      <w:tr>
        <w:trPr>
          <w:trHeight w:val="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научно-обоснованными предложениями и рекомендациями подготовки мероприятий и инвестиционных проектов в области охраны окружающей среды; научное сопровождение реализации международных природоохранных конвенций, разработка новых подходов и методов управления окружающей средой; развитие научно-исследовательской базы охраны окружающей среды</w:t>
            </w:r>
          </w:p>
        </w:tc>
      </w:tr>
      <w:tr>
        <w:trPr>
          <w:trHeight w:val="75"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научных исследований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запланированных научно-технических программ (НТП)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в рамках НТП запланированных направлений исследований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отчетов, завершенных в предыдущем году научных исследований в Государственном фонде экологической информации, для обеспечения доступа общественных организаций, государственных органов, физических и юридических лиц к результатам исследований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заключений государственной</w:t>
            </w:r>
            <w:r>
              <w:br/>
            </w:r>
            <w:r>
              <w:rPr>
                <w:rFonts w:ascii="Times New Roman"/>
                <w:b w:val="false"/>
                <w:i w:val="false"/>
                <w:color w:val="000000"/>
                <w:sz w:val="20"/>
              </w:rPr>
              <w:t>
</w:t>
            </w:r>
            <w:r>
              <w:rPr>
                <w:rFonts w:ascii="Times New Roman"/>
                <w:b w:val="false"/>
                <w:i w:val="false"/>
                <w:color w:val="000000"/>
                <w:sz w:val="20"/>
              </w:rPr>
              <w:t>научно-технической экспертизы по отчетам о научно-исследовательских работах, рекомендованных к утверждению Национальным центром государственной научно-технической экспертизы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одной научно-исследовательской работы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p>
            <w:pPr>
              <w:spacing w:after="20"/>
              <w:ind w:left="20"/>
              <w:jc w:val="both"/>
            </w:pPr>
            <w:r>
              <w:rPr>
                <w:rFonts w:ascii="Times New Roman"/>
                <w:b w:val="false"/>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одной НТП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432"/>
        <w:gridCol w:w="1250"/>
        <w:gridCol w:w="1279"/>
        <w:gridCol w:w="1543"/>
        <w:gridCol w:w="772"/>
        <w:gridCol w:w="668"/>
        <w:gridCol w:w="1337"/>
        <w:gridCol w:w="1233"/>
        <w:gridCol w:w="123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«Строительство и реконструкция объектов охраны окружающей среды»</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окружающей среды, восстановление, сохранение и рациональное использование природных ресурсов, развитие системы управления качеством окружающей среды, эффективное использование природных, экономических и трудовых ресурсов</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4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p>
            <w:pPr>
              <w:spacing w:after="20"/>
              <w:ind w:left="20"/>
              <w:jc w:val="both"/>
            </w:pPr>
            <w:r>
              <w:rPr>
                <w:rFonts w:ascii="Times New Roman"/>
                <w:b w:val="false"/>
                <w:i w:val="false"/>
                <w:color w:val="000000"/>
                <w:sz w:val="20"/>
              </w:rPr>
              <w:t>(план текущего)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w:t>
            </w:r>
            <w:r>
              <w:br/>
            </w:r>
            <w:r>
              <w:rPr>
                <w:rFonts w:ascii="Times New Roman"/>
                <w:b w:val="false"/>
                <w:i w:val="false"/>
                <w:color w:val="000000"/>
                <w:sz w:val="20"/>
              </w:rPr>
              <w:t>
</w:t>
            </w:r>
            <w:r>
              <w:rPr>
                <w:rFonts w:ascii="Times New Roman"/>
                <w:b w:val="false"/>
                <w:i w:val="false"/>
                <w:color w:val="000000"/>
                <w:sz w:val="20"/>
              </w:rPr>
              <w:t>«Очистка и санация водоемов (озера Щучье, Боровое, Карасу) Щучинско-Боровской курортной зоны»;</w:t>
            </w:r>
            <w:r>
              <w:br/>
            </w:r>
            <w:r>
              <w:rPr>
                <w:rFonts w:ascii="Times New Roman"/>
                <w:b w:val="false"/>
                <w:i w:val="false"/>
                <w:color w:val="000000"/>
                <w:sz w:val="20"/>
              </w:rPr>
              <w:t>
</w:t>
            </w:r>
            <w:r>
              <w:rPr>
                <w:rFonts w:ascii="Times New Roman"/>
                <w:b w:val="false"/>
                <w:i w:val="false"/>
                <w:color w:val="000000"/>
                <w:sz w:val="20"/>
              </w:rPr>
              <w:t>«Реконструкция озера - накопителя сточных вод Сорбулак.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«Очистка и санация водоемов (озера Щучье, Боровое, Карасу) Щучинско-Боровской курортной зоны»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реконструированных плотин и каналов озера-накопителя сточных вод Сорбулак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очистки озер от ила от общего количества ила по реализуемым проектам:</w:t>
            </w:r>
            <w:r>
              <w:br/>
            </w:r>
            <w:r>
              <w:rPr>
                <w:rFonts w:ascii="Times New Roman"/>
                <w:b w:val="false"/>
                <w:i w:val="false"/>
                <w:color w:val="000000"/>
                <w:sz w:val="20"/>
              </w:rPr>
              <w:t>
</w:t>
            </w:r>
            <w:r>
              <w:rPr>
                <w:rFonts w:ascii="Times New Roman"/>
                <w:b w:val="false"/>
                <w:i w:val="false"/>
                <w:color w:val="000000"/>
                <w:sz w:val="20"/>
              </w:rPr>
              <w:t>озера Карасу</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озера Боровое</w:t>
            </w: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озера Щучье</w:t>
            </w: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решения о предоставлении права временного безвозмездного землепользования</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топогеодезической съемке и изыскательским работам</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опытно – экспериментальным работам на озере Щучье, на озере Боровое</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выполняемых работ в соответствии со СНиП, СН и утвержденной документацией</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проектно-сметной документации в соответствии со СНиП, СН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разработку проектно-сметной документации «Очистка и санация водоемов (озера Щучье, Боровое, Карасу) Щучинско-Боровской курортной зоны»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разработку проектно-сметной документации «Реконструкция озера - накопителя сточных вод Сорбулак, включая вспомогательные сооружения»</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очистку и санацию озер Щучинско-Боровской курортной зоны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реализацию Проекта Реконструкция озера – накопителя сточных вод «Сорбулак», включая вспомогательные сооружения</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734 970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893"/>
        <w:gridCol w:w="1153"/>
        <w:gridCol w:w="1493"/>
        <w:gridCol w:w="873"/>
        <w:gridCol w:w="1244"/>
        <w:gridCol w:w="1252"/>
        <w:gridCol w:w="873"/>
        <w:gridCol w:w="1393"/>
        <w:gridCol w:w="139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«Ведение гидрометеорологического мониторинга»</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системы гидрометеорологического мониторинга, проведение систематических гидрометеорологических и агрометеорологических наблюдений, сбор, обобщение и анализ гидрометеорологической информации, составление метеорологических, гидрологических, агрометеорологических и морских прогнозов</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2017 год</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наблюдательных</w:t>
            </w:r>
            <w:r>
              <w:br/>
            </w:r>
            <w:r>
              <w:rPr>
                <w:rFonts w:ascii="Times New Roman"/>
                <w:b w:val="false"/>
                <w:i w:val="false"/>
                <w:color w:val="000000"/>
                <w:sz w:val="20"/>
              </w:rPr>
              <w:t>
</w:t>
            </w:r>
            <w:r>
              <w:rPr>
                <w:rFonts w:ascii="Times New Roman"/>
                <w:b w:val="false"/>
                <w:i w:val="false"/>
                <w:color w:val="000000"/>
                <w:sz w:val="20"/>
              </w:rPr>
              <w:t>пунктов, ведущих</w:t>
            </w:r>
            <w:r>
              <w:br/>
            </w:r>
            <w:r>
              <w:rPr>
                <w:rFonts w:ascii="Times New Roman"/>
                <w:b w:val="false"/>
                <w:i w:val="false"/>
                <w:color w:val="000000"/>
                <w:sz w:val="20"/>
              </w:rPr>
              <w:t>
</w:t>
            </w:r>
            <w:r>
              <w:rPr>
                <w:rFonts w:ascii="Times New Roman"/>
                <w:b w:val="false"/>
                <w:i w:val="false"/>
                <w:color w:val="000000"/>
                <w:sz w:val="20"/>
              </w:rPr>
              <w:t>гидрометеорологический</w:t>
            </w:r>
            <w:r>
              <w:br/>
            </w:r>
            <w:r>
              <w:rPr>
                <w:rFonts w:ascii="Times New Roman"/>
                <w:b w:val="false"/>
                <w:i w:val="false"/>
                <w:color w:val="000000"/>
                <w:sz w:val="20"/>
              </w:rPr>
              <w:t>
</w:t>
            </w: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Метеорологических станций,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автоматических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Метеорологических постов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 постов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Аэрологических станций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Гидрологических постов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Снегомерных маршрутов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Снеголавинных станций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открываемых пунктов наблюдений: снегомерных маршрутов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времени заблаговременности штормовых предупреждений об опасных и стихийных гидрометеорологических явлениях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территории республики агрометеорологическим мониторингом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метеорологическим мониторингом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гидрологическим мониторингом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помещений гидрометеорологической наблюдательной сети, охваченной текущим ремонтом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оправдываемости</w:t>
            </w:r>
            <w:r>
              <w:br/>
            </w:r>
            <w:r>
              <w:rPr>
                <w:rFonts w:ascii="Times New Roman"/>
                <w:b w:val="false"/>
                <w:i w:val="false"/>
                <w:color w:val="000000"/>
                <w:sz w:val="20"/>
              </w:rPr>
              <w:t>
</w:t>
            </w:r>
            <w:r>
              <w:rPr>
                <w:rFonts w:ascii="Times New Roman"/>
                <w:b w:val="false"/>
                <w:i w:val="false"/>
                <w:color w:val="000000"/>
                <w:sz w:val="20"/>
              </w:rPr>
              <w:t>прогнозов:</w:t>
            </w:r>
            <w:r>
              <w:br/>
            </w:r>
            <w:r>
              <w:rPr>
                <w:rFonts w:ascii="Times New Roman"/>
                <w:b w:val="false"/>
                <w:i w:val="false"/>
                <w:color w:val="000000"/>
                <w:sz w:val="20"/>
              </w:rPr>
              <w:t>
</w:t>
            </w:r>
            <w:r>
              <w:rPr>
                <w:rFonts w:ascii="Times New Roman"/>
                <w:b w:val="false"/>
                <w:i w:val="false"/>
                <w:color w:val="000000"/>
                <w:sz w:val="20"/>
              </w:rPr>
              <w:t>агрометеорологических;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долгосрочных прогнозов малой заблаговременности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w:t>
            </w:r>
            <w:r>
              <w:br/>
            </w:r>
            <w:r>
              <w:rPr>
                <w:rFonts w:ascii="Times New Roman"/>
                <w:b w:val="false"/>
                <w:i w:val="false"/>
                <w:color w:val="000000"/>
                <w:sz w:val="20"/>
              </w:rPr>
              <w:t>
</w:t>
            </w:r>
            <w:r>
              <w:rPr>
                <w:rFonts w:ascii="Times New Roman"/>
                <w:b w:val="false"/>
                <w:i w:val="false"/>
                <w:color w:val="000000"/>
                <w:sz w:val="20"/>
              </w:rPr>
              <w:t>метеорологических станций;</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метеорологических постов;</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снегомерных маршрутов;</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 постов;</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аэрологических станций;</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снеголавинных станций;</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гидрологического поста.</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4 504 608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4 878 607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4 878 607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1853"/>
        <w:gridCol w:w="1416"/>
        <w:gridCol w:w="1417"/>
        <w:gridCol w:w="1417"/>
        <w:gridCol w:w="1417"/>
        <w:gridCol w:w="1418"/>
        <w:gridCol w:w="934"/>
        <w:gridCol w:w="935"/>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наблюдений за состоянием окружающей среды»</w:t>
            </w:r>
          </w:p>
        </w:tc>
      </w:tr>
      <w:tr>
        <w:trPr>
          <w:trHeight w:val="66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проводит наблюдения за состоянием окружающей среды на территории Республики Казахстан, в том числе за состоянием атмосферного воздуха, поверхностных вод, почвы, атмосферных осадков, радиационного фона</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оказания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2017 год</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2018 год</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спектра определяемых загрязняющих веществ: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показателей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атмосферном воздухе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почве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пунктов наблюдения за состоянием атмосферного воздуха,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автоматических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автоматических станций мониторинга атмосферного воздуха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государственных органов и населения информацией о состоянии окружающей среды на территории Республики Казахстан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пунктов наблюдения за состоянием воздуха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выпускаемой экологической продукции по основной сети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территории республики мониторингом о состоянии загрязнения атмосферного воздуха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минимально необходимого  кол-ва экологических постов</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помещений экологического мониторинга, охваченного текущим ремонтом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выпуск одной экологической продукции по основной сети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117 146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2 108 638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1 197 433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2 608 328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2 534 361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2 534 361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343"/>
        <w:gridCol w:w="1904"/>
        <w:gridCol w:w="1732"/>
        <w:gridCol w:w="936"/>
        <w:gridCol w:w="921"/>
        <w:gridCol w:w="1127"/>
        <w:gridCol w:w="1320"/>
        <w:gridCol w:w="1364"/>
      </w:tblGrid>
      <w:tr>
        <w:trPr>
          <w:trHeight w:val="25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«Целевые трансферты на развитие областным бюджетам, бюджетам городов Астаны и Алматы на строительство и реконструкцию объектов охраны окружающей среды»</w:t>
            </w:r>
          </w:p>
        </w:tc>
      </w:tr>
      <w:tr>
        <w:trPr>
          <w:trHeight w:val="58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проводит комплекс мер по созданию эффективных механизмов и мероприятий для предотвращения деградации природных систем и стабилизации экологической ситуации в регионах Республики Казахстан, улучшение состояния окружающей среды, восстановление, сохранение и рациональное использование</w:t>
            </w:r>
            <w:r>
              <w:br/>
            </w:r>
            <w:r>
              <w:rPr>
                <w:rFonts w:ascii="Times New Roman"/>
                <w:b w:val="false"/>
                <w:i w:val="false"/>
                <w:color w:val="000000"/>
                <w:sz w:val="20"/>
              </w:rPr>
              <w:t>
</w:t>
            </w:r>
            <w:r>
              <w:rPr>
                <w:rFonts w:ascii="Times New Roman"/>
                <w:b w:val="false"/>
                <w:i w:val="false"/>
                <w:color w:val="000000"/>
                <w:sz w:val="20"/>
              </w:rPr>
              <w:t>природных ресурсов, развитие системы управления качеством окружающей среды</w:t>
            </w:r>
          </w:p>
        </w:tc>
      </w:tr>
      <w:tr>
        <w:trPr>
          <w:trHeight w:val="225"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w:t>
            </w:r>
            <w:r>
              <w:br/>
            </w:r>
            <w:r>
              <w:rPr>
                <w:rFonts w:ascii="Times New Roman"/>
                <w:b w:val="false"/>
                <w:i w:val="false"/>
                <w:color w:val="000000"/>
                <w:sz w:val="20"/>
              </w:rPr>
              <w:t>
</w:t>
            </w:r>
            <w:r>
              <w:rPr>
                <w:rFonts w:ascii="Times New Roman"/>
                <w:b w:val="false"/>
                <w:i w:val="false"/>
                <w:color w:val="000000"/>
                <w:sz w:val="20"/>
              </w:rPr>
              <w:t>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65"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2017 год</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2018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Среднесуточный сброс сточных вод, поступающих на КОС по реализуемым проектам в селе Щарбакты Щербактинского района Павлодарской области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/сут.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рекультивируемой мусорной свалки по реализуемому проекту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дноуглубительных работ для повышения водности и улучшения гидрологического режима реки Урал в пределах Атырауской области по реализуемому проекту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и углубление каналов поймы реки Урал Атырауской области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очистки озера Сабындыколь</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реконструированной реки Усолка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водосбросного сооружения в виде шлюзорегулятора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проведения дноуглубительных работ по проекту «Дноуглубительные работы на реке Есиль в районе Зеленого острова»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по реконструкции и восстановлению объектов охраны окружающей среды для развития системы управления качеством</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дна реки Есиль в районе Зеленого острова до трех метров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415 927,3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Качества строительства в соответствии со СНиП, СН и утвержденной ПСД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(застройка, озеленение, прокладка дорог и др.) на 1-м квадратном метре общей площади участков в рамках реализуемых проектов по реконструкции и строительству канализационно-очистных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 м</w:t>
            </w:r>
            <w:r>
              <w:rPr>
                <w:rFonts w:ascii="Times New Roman"/>
                <w:b w:val="false"/>
                <w:i w:val="false"/>
                <w:color w:val="000000"/>
                <w:vertAlign w:val="superscript"/>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на 1-м кубическом метре общего объема работ в рамках</w:t>
            </w:r>
            <w:r>
              <w:br/>
            </w:r>
            <w:r>
              <w:rPr>
                <w:rFonts w:ascii="Times New Roman"/>
                <w:b w:val="false"/>
                <w:i w:val="false"/>
                <w:color w:val="000000"/>
                <w:sz w:val="20"/>
              </w:rPr>
              <w:t>
</w:t>
            </w:r>
            <w:r>
              <w:rPr>
                <w:rFonts w:ascii="Times New Roman"/>
                <w:b w:val="false"/>
                <w:i w:val="false"/>
                <w:color w:val="000000"/>
                <w:sz w:val="20"/>
              </w:rPr>
              <w:t>реализуемого проекта по реконструкции и восстановлению водных систем</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 м</w:t>
            </w:r>
            <w:r>
              <w:rPr>
                <w:rFonts w:ascii="Times New Roman"/>
                <w:b w:val="false"/>
                <w:i w:val="false"/>
                <w:color w:val="000000"/>
                <w:vertAlign w:val="superscript"/>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на 1-м кубическом метре общего объема работ по очистке и углублению каналов в рамках реализуемого проекта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 м</w:t>
            </w:r>
            <w:r>
              <w:rPr>
                <w:rFonts w:ascii="Times New Roman"/>
                <w:b w:val="false"/>
                <w:i w:val="false"/>
                <w:color w:val="000000"/>
                <w:vertAlign w:val="superscript"/>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рекультивации на 1-м квадратном метре общей площади участка в рамках проекта «Реконструкция по рекультивации мусорной свалки города Шымкент на 34,3 га»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очистку озер от одного кубического метра ила по реализуемым проектам</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тенге/м</w:t>
            </w:r>
            <w:r>
              <w:rPr>
                <w:rFonts w:ascii="Times New Roman"/>
                <w:b w:val="false"/>
                <w:i w:val="false"/>
                <w:color w:val="000000"/>
                <w:vertAlign w:val="superscript"/>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3 101 144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710 801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2 547 883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3100"/>
        <w:gridCol w:w="4354"/>
      </w:tblGrid>
      <w:tr>
        <w:trPr>
          <w:trHeight w:val="43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«Капитальные расходы Министерства окружающей среды и водных ресурсов Республики Казахстан»</w:t>
            </w:r>
          </w:p>
        </w:tc>
      </w:tr>
      <w:tr>
        <w:trPr>
          <w:trHeight w:val="60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и нематериальных активов, приборов, оборудования, расходных материалов для лабораторий аналитического контроля</w:t>
            </w:r>
          </w:p>
        </w:tc>
      </w:tr>
      <w:tr>
        <w:trPr>
          <w:trHeight w:val="39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255" w:hRule="atLeast"/>
        </w:trPr>
        <w:tc>
          <w:tcPr>
            <w:tcW w:w="0" w:type="auto"/>
            <w:vMerge/>
            <w:tcBorders>
              <w:top w:val="nil"/>
              <w:left w:val="single" w:color="cfcfcf" w:sz="5"/>
              <w:bottom w:val="single" w:color="cfcfcf" w:sz="5"/>
              <w:right w:val="single" w:color="cfcfcf" w:sz="5"/>
            </w:tcBorders>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90" w:hRule="atLeast"/>
        </w:trPr>
        <w:tc>
          <w:tcPr>
            <w:tcW w:w="0" w:type="auto"/>
            <w:vMerge/>
            <w:tcBorders>
              <w:top w:val="nil"/>
              <w:left w:val="single" w:color="cfcfcf" w:sz="5"/>
              <w:bottom w:val="single" w:color="cfcfcf" w:sz="5"/>
              <w:right w:val="single" w:color="cfcfcf" w:sz="5"/>
            </w:tcBorders>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874"/>
        <w:gridCol w:w="903"/>
        <w:gridCol w:w="956"/>
        <w:gridCol w:w="848"/>
        <w:gridCol w:w="754"/>
        <w:gridCol w:w="860"/>
        <w:gridCol w:w="1062"/>
        <w:gridCol w:w="1063"/>
      </w:tblGrid>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приборов для лабораторий аналитического контроля территориальных департаментов экологии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активов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приобретаемого серверного оборудования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основных средств для территориальных департаментов экологии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техники и товаров, относящихся к основным средствам КЛОХ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состояния материально-технической базы Министерства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используемых приборов к общему числу находящихся в рабочем состоянии приборов в лабораториях аналитического контроля территориальных департаментов экологии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аккредитованных</w:t>
            </w:r>
            <w:r>
              <w:br/>
            </w:r>
            <w:r>
              <w:rPr>
                <w:rFonts w:ascii="Times New Roman"/>
                <w:b w:val="false"/>
                <w:i w:val="false"/>
                <w:color w:val="000000"/>
                <w:sz w:val="20"/>
              </w:rPr>
              <w:t>
</w:t>
            </w:r>
            <w:r>
              <w:rPr>
                <w:rFonts w:ascii="Times New Roman"/>
                <w:b w:val="false"/>
                <w:i w:val="false"/>
                <w:color w:val="000000"/>
                <w:sz w:val="20"/>
              </w:rPr>
              <w:t>лабораторий аналитического контроля территориальных департаментов экологии требованиям стандарта СТ</w:t>
            </w:r>
            <w:r>
              <w:br/>
            </w:r>
            <w:r>
              <w:rPr>
                <w:rFonts w:ascii="Times New Roman"/>
                <w:b w:val="false"/>
                <w:i w:val="false"/>
                <w:color w:val="000000"/>
                <w:sz w:val="20"/>
              </w:rPr>
              <w:t>
</w:t>
            </w:r>
            <w:r>
              <w:rPr>
                <w:rFonts w:ascii="Times New Roman"/>
                <w:b w:val="false"/>
                <w:i w:val="false"/>
                <w:color w:val="000000"/>
                <w:sz w:val="20"/>
              </w:rPr>
              <w:t>РК ИСО/МЭК 17025-2007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 среднем на приобретение единицы товаров, относящихся к основным средствам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 среднем на приобретение активов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 среднем на приобретение серверного оборудования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 среднем на приобретение нематериальных активов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36"/>
        <w:gridCol w:w="1406"/>
        <w:gridCol w:w="1795"/>
        <w:gridCol w:w="979"/>
        <w:gridCol w:w="979"/>
        <w:gridCol w:w="980"/>
        <w:gridCol w:w="1698"/>
        <w:gridCol w:w="1699"/>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«Ликвидация «исторических» загрязнений»</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социально-экономических условий жизни населения, улучшения экологического состояния окружающей среды путем реализации инвестиционных проектов по ликвидации «исторических загрязнений» в Актюбинской области</w:t>
            </w:r>
          </w:p>
        </w:tc>
      </w:tr>
      <w:tr>
        <w:trPr>
          <w:trHeight w:val="3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пробуренных скважин для очистки подземных вод от загрязнения шестивалентным хромом на опытно-промышленном участке № 3 в зоне, примыкающей к реке Илек в Актюбинской области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технологической площадки для очистки подземных вод от загрязнения шестивалентным хромом на опытно- промышленном участке № 3 в зоне, примыкающей к реке Илек в Актюбинской области по реализуемым проектам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проектно-сметной документацией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строительно-</w:t>
            </w:r>
            <w:r>
              <w:br/>
            </w:r>
            <w:r>
              <w:rPr>
                <w:rFonts w:ascii="Times New Roman"/>
                <w:b w:val="false"/>
                <w:i w:val="false"/>
                <w:color w:val="000000"/>
                <w:sz w:val="20"/>
              </w:rPr>
              <w:t>
</w:t>
            </w:r>
            <w:r>
              <w:rPr>
                <w:rFonts w:ascii="Times New Roman"/>
                <w:b w:val="false"/>
                <w:i w:val="false"/>
                <w:color w:val="000000"/>
                <w:sz w:val="20"/>
              </w:rPr>
              <w:t>монтаж</w:t>
            </w:r>
            <w:r>
              <w:rPr>
                <w:rFonts w:ascii="Times New Roman"/>
                <w:b w:val="false"/>
                <w:i w:val="false"/>
                <w:color w:val="000000"/>
                <w:sz w:val="20"/>
              </w:rPr>
              <w:t>ные работы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96 190,8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96 191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2"/>
        <w:gridCol w:w="966"/>
        <w:gridCol w:w="1244"/>
        <w:gridCol w:w="1631"/>
        <w:gridCol w:w="1249"/>
        <w:gridCol w:w="884"/>
        <w:gridCol w:w="884"/>
        <w:gridCol w:w="1534"/>
        <w:gridCol w:w="1536"/>
      </w:tblGrid>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«Капитальные расходы подведомственных государственных учреждений и организаций Министерства окружающей среды и водных ресурсов Республики Казахстан»</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реконструкция административных зданий подведомственных учреждений</w:t>
            </w:r>
          </w:p>
        </w:tc>
      </w:tr>
      <w:tr>
        <w:trPr>
          <w:trHeight w:val="30" w:hRule="atLeast"/>
        </w:trPr>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в территориальных департаментах экологии, где необходимо</w:t>
            </w:r>
            <w:r>
              <w:br/>
            </w:r>
            <w:r>
              <w:rPr>
                <w:rFonts w:ascii="Times New Roman"/>
                <w:b w:val="false"/>
                <w:i w:val="false"/>
                <w:color w:val="000000"/>
                <w:sz w:val="20"/>
              </w:rPr>
              <w:t>
</w:t>
            </w:r>
            <w:r>
              <w:rPr>
                <w:rFonts w:ascii="Times New Roman"/>
                <w:b w:val="false"/>
                <w:i w:val="false"/>
                <w:color w:val="000000"/>
                <w:sz w:val="20"/>
              </w:rPr>
              <w:t xml:space="preserve">проведение капитального ремонта, </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капитальный ремонт</w:t>
            </w:r>
            <w:r>
              <w:br/>
            </w:r>
            <w:r>
              <w:rPr>
                <w:rFonts w:ascii="Times New Roman"/>
                <w:b w:val="false"/>
                <w:i w:val="false"/>
                <w:color w:val="000000"/>
                <w:sz w:val="20"/>
              </w:rPr>
              <w:t>
</w:t>
            </w:r>
            <w:r>
              <w:rPr>
                <w:rFonts w:ascii="Times New Roman"/>
                <w:b w:val="false"/>
                <w:i w:val="false"/>
                <w:color w:val="000000"/>
                <w:sz w:val="20"/>
              </w:rPr>
              <w:t>административного здания и гаража Жайык-Каспийского департамента экологии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отопительной системы здания Жайык-Каспийского департамента экологии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фасада</w:t>
            </w:r>
            <w:r>
              <w:br/>
            </w:r>
            <w:r>
              <w:rPr>
                <w:rFonts w:ascii="Times New Roman"/>
                <w:b w:val="false"/>
                <w:i w:val="false"/>
                <w:color w:val="000000"/>
                <w:sz w:val="20"/>
              </w:rPr>
              <w:t>
</w:t>
            </w:r>
            <w:r>
              <w:rPr>
                <w:rFonts w:ascii="Times New Roman"/>
                <w:b w:val="false"/>
                <w:i w:val="false"/>
                <w:color w:val="000000"/>
                <w:sz w:val="20"/>
              </w:rPr>
              <w:t>административного здания</w:t>
            </w:r>
            <w:r>
              <w:br/>
            </w:r>
            <w:r>
              <w:rPr>
                <w:rFonts w:ascii="Times New Roman"/>
                <w:b w:val="false"/>
                <w:i w:val="false"/>
                <w:color w:val="000000"/>
                <w:sz w:val="20"/>
              </w:rPr>
              <w:t>
</w:t>
            </w:r>
            <w:r>
              <w:rPr>
                <w:rFonts w:ascii="Times New Roman"/>
                <w:b w:val="false"/>
                <w:i w:val="false"/>
                <w:color w:val="000000"/>
                <w:sz w:val="20"/>
              </w:rPr>
              <w:t>Иртышского департамента экологии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в которых улучшается материально-</w:t>
            </w:r>
            <w:r>
              <w:br/>
            </w:r>
            <w:r>
              <w:rPr>
                <w:rFonts w:ascii="Times New Roman"/>
                <w:b w:val="false"/>
                <w:i w:val="false"/>
                <w:color w:val="000000"/>
                <w:sz w:val="20"/>
              </w:rPr>
              <w:t>
</w:t>
            </w:r>
            <w:r>
              <w:rPr>
                <w:rFonts w:ascii="Times New Roman"/>
                <w:b w:val="false"/>
                <w:i w:val="false"/>
                <w:color w:val="000000"/>
                <w:sz w:val="20"/>
              </w:rPr>
              <w:t>техничес</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состояние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техники и товаров, относящихся к основным</w:t>
            </w:r>
            <w:r>
              <w:br/>
            </w:r>
            <w:r>
              <w:rPr>
                <w:rFonts w:ascii="Times New Roman"/>
                <w:b w:val="false"/>
                <w:i w:val="false"/>
                <w:color w:val="000000"/>
                <w:sz w:val="20"/>
              </w:rPr>
              <w:t>
</w:t>
            </w:r>
            <w:r>
              <w:rPr>
                <w:rFonts w:ascii="Times New Roman"/>
                <w:b w:val="false"/>
                <w:i w:val="false"/>
                <w:color w:val="000000"/>
                <w:sz w:val="20"/>
              </w:rPr>
              <w:t>средствам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активов подведомственным государственным учреждениям и организациям Министерства в т.ч.</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Подведомственные государственные учреждения и организация Комитета экологического регулирования и контроля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Подведомственные государственные учреждения и организация Комитета рыбного хозяйства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Подведомственные государственные учреждения и организация Комитета лесного и охотничьего хозяйства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Подведомственные государственные учреждения и организация Комитета водных ресурсов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подведомственных государственных учреждений и организаций, в которых улучается материально-техническое оснащение от общего количества учреждений и организаций области РХ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капитального ремонта административного здания и гаража</w:t>
            </w:r>
            <w:r>
              <w:br/>
            </w:r>
            <w:r>
              <w:rPr>
                <w:rFonts w:ascii="Times New Roman"/>
                <w:b w:val="false"/>
                <w:i w:val="false"/>
                <w:color w:val="000000"/>
                <w:sz w:val="20"/>
              </w:rPr>
              <w:t>
</w:t>
            </w:r>
            <w:r>
              <w:rPr>
                <w:rFonts w:ascii="Times New Roman"/>
                <w:b w:val="false"/>
                <w:i w:val="false"/>
                <w:color w:val="000000"/>
                <w:sz w:val="20"/>
              </w:rPr>
              <w:t>Жайык-Каспийского департамента экологии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капитального ремонта отопительной системы здания Жайык-Каспийского департамента экологии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капитального ремонта фасада административного здания Иртышского департамента экологии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учреждений, в которых улучшается материально-техническое оснащение от общего количества организаций</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условий труда работников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по материально-техническому</w:t>
            </w:r>
            <w:r>
              <w:br/>
            </w:r>
            <w:r>
              <w:rPr>
                <w:rFonts w:ascii="Times New Roman"/>
                <w:b w:val="false"/>
                <w:i w:val="false"/>
                <w:color w:val="000000"/>
                <w:sz w:val="20"/>
              </w:rPr>
              <w:t>
</w:t>
            </w:r>
            <w:r>
              <w:rPr>
                <w:rFonts w:ascii="Times New Roman"/>
                <w:b w:val="false"/>
                <w:i w:val="false"/>
                <w:color w:val="000000"/>
                <w:sz w:val="20"/>
              </w:rPr>
              <w:t>оснащению одной организации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объектов в соответствие с санитарными нормами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приобретение активов: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рыбного хозяйства;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лесного и охотничьего хозяйства;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экологического регулирования и контроля;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2442,6</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водных ресурсов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448 593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37"/>
        <w:gridCol w:w="1407"/>
        <w:gridCol w:w="1795"/>
        <w:gridCol w:w="979"/>
        <w:gridCol w:w="979"/>
        <w:gridCol w:w="980"/>
        <w:gridCol w:w="1697"/>
        <w:gridCol w:w="1698"/>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«Содействие Республике Казахстан в усилении межрегионального сотрудничества для продвижения «Зеленого роста» и реализации Астанинской Инициативы»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обеспечивает содействие Республике Казахстан в усилении межрегионального сотрудничества для продвижения «Зеленого роста» и реализации Астанинской инициативы в рамках Соглашения с Проектом развития Организации Объединенных Наций (далее – ПРООН) и других партнеров в рамках перехода Казахстана к устойчивому развитию, проведение комплекса организационных, социальных и экономических мер, направленных на охрану окружающей среды и улучшение ее качества</w:t>
            </w:r>
          </w:p>
        </w:tc>
      </w:tr>
      <w:tr>
        <w:trPr>
          <w:trHeight w:val="3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справка по обобщению международного опыта лучших практик, методологий, законодательных, финансовых и</w:t>
            </w:r>
            <w:r>
              <w:br/>
            </w:r>
            <w:r>
              <w:rPr>
                <w:rFonts w:ascii="Times New Roman"/>
                <w:b w:val="false"/>
                <w:i w:val="false"/>
                <w:color w:val="000000"/>
                <w:sz w:val="20"/>
              </w:rPr>
              <w:t>
</w:t>
            </w:r>
            <w:r>
              <w:rPr>
                <w:rFonts w:ascii="Times New Roman"/>
                <w:b w:val="false"/>
                <w:i w:val="false"/>
                <w:color w:val="000000"/>
                <w:sz w:val="20"/>
              </w:rPr>
              <w:t>экономических инструментов «зеленого роста» и «зеленой экономики»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офиса «зеленого моста» как диалоговой площадки по внедрению принципов «зеленого роста»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презентационных иллюстрационных материалов, развитие и поддержка веб-портала</w:t>
            </w:r>
            <w:r>
              <w:br/>
            </w:r>
            <w:r>
              <w:rPr>
                <w:rFonts w:ascii="Times New Roman"/>
                <w:b w:val="false"/>
                <w:i w:val="false"/>
                <w:color w:val="000000"/>
                <w:sz w:val="20"/>
              </w:rPr>
              <w:t>
</w:t>
            </w:r>
            <w:r>
              <w:rPr>
                <w:rFonts w:ascii="Times New Roman"/>
                <w:b w:val="false"/>
                <w:i w:val="false"/>
                <w:color w:val="000000"/>
                <w:sz w:val="20"/>
              </w:rPr>
              <w:t>«зеленый мост»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тематических мероприятий в рамках реализации Астанинской инициативы «Зеленый</w:t>
            </w:r>
            <w:r>
              <w:br/>
            </w:r>
            <w:r>
              <w:rPr>
                <w:rFonts w:ascii="Times New Roman"/>
                <w:b w:val="false"/>
                <w:i w:val="false"/>
                <w:color w:val="000000"/>
                <w:sz w:val="20"/>
              </w:rPr>
              <w:t>
</w:t>
            </w:r>
            <w:r>
              <w:rPr>
                <w:rFonts w:ascii="Times New Roman"/>
                <w:b w:val="false"/>
                <w:i w:val="false"/>
                <w:color w:val="000000"/>
                <w:sz w:val="20"/>
              </w:rPr>
              <w:t>мост»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для партнеров программы «Зеленый мост» по внедрению принципов «зеленого роста» и перехода к «зеленой экономике»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пилотных проектов по «зеленой экономике»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между партнерами программы «Зеленый мост», открытое для подписания</w:t>
            </w:r>
            <w:r>
              <w:br/>
            </w:r>
            <w:r>
              <w:rPr>
                <w:rFonts w:ascii="Times New Roman"/>
                <w:b w:val="false"/>
                <w:i w:val="false"/>
                <w:color w:val="000000"/>
                <w:sz w:val="20"/>
              </w:rPr>
              <w:t>
</w:t>
            </w:r>
            <w:r>
              <w:rPr>
                <w:rFonts w:ascii="Times New Roman"/>
                <w:b w:val="false"/>
                <w:i w:val="false"/>
                <w:color w:val="000000"/>
                <w:sz w:val="20"/>
              </w:rPr>
              <w:t>сторонами-участниками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Резолюции по внедрению принципов «зеленого роста» на международных встречах по окружающей среде, конференциях по устойчивому развитию</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одного общественного мероприятия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подготовку и изготовление иллюстрационных материалов, развитие и поддержку веб-портала «зеленый мост»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софинансирования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1015"/>
        <w:gridCol w:w="1384"/>
        <w:gridCol w:w="1772"/>
        <w:gridCol w:w="971"/>
        <w:gridCol w:w="951"/>
        <w:gridCol w:w="954"/>
        <w:gridCol w:w="1658"/>
        <w:gridCol w:w="1659"/>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«Уничтожение отходов, содержащих стойкие органические загрязнители в Казахстане»</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проект Министерства и Всемирного банка направлен на улучшение состояния окружающей среды за счет снижения воздействия стойких органических загрязнителей и других опасных отходов в результате их уничтожения и реабилитации загрязненных земель</w:t>
            </w:r>
          </w:p>
        </w:tc>
      </w:tr>
      <w:tr>
        <w:trPr>
          <w:trHeight w:val="30" w:hRule="atLeast"/>
        </w:trPr>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Первоначальный отчет, включающий оценку объемов опасных промышленных отходов и СОЗ-содержащих отходов, подлежащих уничтожению</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Разработанное ТЭО на уничтожение запасов, содержащих СОЗ, пестицидов и ПХД-оборудования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заключения на ТЭО на уничтожение запасов, содержащих СОЗ, пестицидов и ПХД-оборудования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нанятых консультантов:</w:t>
            </w:r>
            <w:r>
              <w:br/>
            </w:r>
            <w:r>
              <w:rPr>
                <w:rFonts w:ascii="Times New Roman"/>
                <w:b w:val="false"/>
                <w:i w:val="false"/>
                <w:color w:val="000000"/>
                <w:sz w:val="20"/>
              </w:rPr>
              <w:t>
</w:t>
            </w:r>
            <w:r>
              <w:rPr>
                <w:rFonts w:ascii="Times New Roman"/>
                <w:b w:val="false"/>
                <w:i w:val="false"/>
                <w:color w:val="000000"/>
                <w:sz w:val="20"/>
              </w:rPr>
              <w:t>специалист по финансам,</w:t>
            </w:r>
            <w:r>
              <w:br/>
            </w:r>
            <w:r>
              <w:rPr>
                <w:rFonts w:ascii="Times New Roman"/>
                <w:b w:val="false"/>
                <w:i w:val="false"/>
                <w:color w:val="000000"/>
                <w:sz w:val="20"/>
              </w:rPr>
              <w:t>
</w:t>
            </w:r>
            <w:r>
              <w:rPr>
                <w:rFonts w:ascii="Times New Roman"/>
                <w:b w:val="false"/>
                <w:i w:val="false"/>
                <w:color w:val="000000"/>
                <w:sz w:val="20"/>
              </w:rPr>
              <w:t>координатор проекта, специалист по закупкам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 на оказание консультационных услуг по разработке ТЭО проекта по уничтожению СОЗ-содержащих и опасных промышленных отходов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Заключения экспертиз на ТЭО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нанятых консультантов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первоначального отчета требованиям технического задания на разработку технико-экономического обоснования проекта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к разработке технико-экономического обоснования бюджетных инвестиционных проектов (программ)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разработку первоначального отчета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разработку одного ТЭО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113 067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76 032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гранта ГЭФ</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1005"/>
        <w:gridCol w:w="1236"/>
        <w:gridCol w:w="1621"/>
        <w:gridCol w:w="921"/>
        <w:gridCol w:w="912"/>
        <w:gridCol w:w="876"/>
        <w:gridCol w:w="1534"/>
        <w:gridCol w:w="1535"/>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«Увеличение уставного капитала АО «Казаэросервис» для модернизации и технического переоснащения авиационных метеорологических станций»</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качественного метеорологического обеспечения полетов воздушных судов гражданской авиации, содействие безопасности и регулярности полетов воздушных судов выполняемых на территории Республики Казахстан</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приобретаемого основного метеорологического оборудования для аэропортов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приобретаемого основного метеорологического оборудования для аэропортов (резервное обор)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приобретаемого основного метеорологического оборудования для аэропортов (местные аэродромы)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приобретаемых доплеровских радиолокационных метеорологических локаторов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автоматизированных аэродромных метеорологических станций на взлетно-посадочных полосах после модернизации (КРАМС)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 (интенсивность) приема-передачи метеорологической информации пользователям (КРАМС)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 (интенсивность) приема – передачи метеорологической информации пользователям (местные аэродромы)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радиолокационной информации по регионам Казахстана (КРАМС)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заблаговременности предоставления метеорологической информации пользователям (резервное обор) путем сокращения временного интервала обработки, приема-передачи метеорологической информации резервным оборудованием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оборудования нормам годности аэропортов и требованиям стандартов Международной организации гражданской авиации (КРАМС)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Заблаговременность предоставления предупреждений опасных явлений погоды для гражданской авиации (Доплер)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резервного метеорологического оборудования в аэропортах РК соответствующее категориям ИКАО, от общего числа резервного метеоборудования в авиаметеорологических станциях (резерв. оборуд.)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оснащенности метеорологическим оборудованием местных аэродромов (местных аэродромы)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4241 743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7"/>
        <w:gridCol w:w="1089"/>
        <w:gridCol w:w="1745"/>
        <w:gridCol w:w="1513"/>
        <w:gridCol w:w="1029"/>
        <w:gridCol w:w="1199"/>
        <w:gridCol w:w="967"/>
        <w:gridCol w:w="963"/>
        <w:gridCol w:w="1028"/>
      </w:tblGrid>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«Очистка природной среды от техногенного загрязнения»</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очистки подземных вод опытно-промышленного участка № 3 от загрязнения шестивалентным хромом в зоне, примыкающей к реке Илек в Актюбинской области, в том числе на приобретение оборудования и материалов, опытно-фильтрационные работы на участке № 3, работы по очистке подземных вод (первая фаза), камеральные работы, моделирование процесса закачки.</w:t>
            </w:r>
          </w:p>
        </w:tc>
      </w:tr>
      <w:tr>
        <w:trPr>
          <w:trHeight w:val="30"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приобретенного химического реагента для очистки территории по реализуемому проекту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приобретенных скважинных насосов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очищенной территории от «исторических» загрязнений по реализуемым проектам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оснащенности оборудованием и материалами для очистки подземных вод от загрязнения шестивалентным хромом на опытно-промышленном участке № 3 в зоне, примыкающей к реке Илек в Актюбинской области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очищенной территории от «исторических» загрязнений по реализуемым проектам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опытно-фильтрационных и камеральных работ в соответствии с проектно-сметной документацией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приобретение оборудования и материалов на одну единицу скважины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1383"/>
        <w:gridCol w:w="1327"/>
        <w:gridCol w:w="1327"/>
        <w:gridCol w:w="1084"/>
        <w:gridCol w:w="1009"/>
        <w:gridCol w:w="1009"/>
        <w:gridCol w:w="1065"/>
        <w:gridCol w:w="1084"/>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текущие трансферты областным бюджетам, бюджетам городов Астаны и Алматы на реализацию природоохранных мероприятий»</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проводит комплекс мер по созданию эффективных механизмов и мероприятий для реализации природоохранных мероприятий, улучшения состояния окружающей среды, восстановления, сохранения и рационального использования природных ресурсов, развития системы управления качеством окружающей среды</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30" w:hRule="atLeast"/>
        </w:trPr>
        <w:tc>
          <w:tcPr>
            <w:tcW w:w="4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скашивания по реализуемому проекту по ликвидации площадных загрязнений нефтепродуктами береговых территорий города Приозерск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146 153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срезанных мазутных киров по ликвидации площадных загрязнений нефтепродуктами береговых территорий города Приозерск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ликвидации и рекультивации площадных загрязнений по реализуемому проекту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проектно-сметной документацией</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скашивание береговой территории площадью 1 м2 по реализуемому проекту по ликвидации площадных загрязнений нефтепродуктами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 м</w:t>
            </w:r>
            <w:r>
              <w:rPr>
                <w:rFonts w:ascii="Times New Roman"/>
                <w:b w:val="false"/>
                <w:i w:val="false"/>
                <w:color w:val="000000"/>
                <w:vertAlign w:val="superscript"/>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срезание 1 м2 мазутных киров по ликвидации площадных загрязнений нефтепродуктами береговых территорий города Приозерск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 м</w:t>
            </w:r>
            <w:r>
              <w:rPr>
                <w:rFonts w:ascii="Times New Roman"/>
                <w:b w:val="false"/>
                <w:i w:val="false"/>
                <w:color w:val="000000"/>
                <w:vertAlign w:val="superscript"/>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1175"/>
        <w:gridCol w:w="1558"/>
        <w:gridCol w:w="1706"/>
        <w:gridCol w:w="1031"/>
        <w:gridCol w:w="1095"/>
        <w:gridCol w:w="1095"/>
        <w:gridCol w:w="1008"/>
        <w:gridCol w:w="1114"/>
      </w:tblGrid>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«Районирование территории Казахстана по климатическим характеристикам»</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климатических параметров и их картирование для целей обновления строительных норм Республики Казахстан</w:t>
            </w:r>
          </w:p>
        </w:tc>
      </w:tr>
      <w:tr>
        <w:trPr>
          <w:trHeight w:val="30" w:hRule="atLeast"/>
        </w:trPr>
        <w:tc>
          <w:tcPr>
            <w:tcW w:w="4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30" w:hRule="atLeast"/>
        </w:trPr>
        <w:tc>
          <w:tcPr>
            <w:tcW w:w="4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Районирование территории Республики по климатическим зонам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методов построения карт по климатическим нагрузкам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макетов карт территории Республики по климатическим нагрузкам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карт по климатическим нагрузкам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нормативно-правовой базы по СНиП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информации по 22 климатическим характеристикам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строительных норм и правил европейским стандартам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1287"/>
        <w:gridCol w:w="1361"/>
        <w:gridCol w:w="1726"/>
        <w:gridCol w:w="934"/>
        <w:gridCol w:w="935"/>
        <w:gridCol w:w="935"/>
        <w:gridCol w:w="1629"/>
        <w:gridCol w:w="1630"/>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«Целевые текущие трансферты бюджету Акмолинской области на создание лесонасаждений вдоль автомобильной дороги «Астана-Щучинск» на участках «Шортанды-Щучинск»</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Акмолинской области</w:t>
            </w:r>
          </w:p>
        </w:tc>
      </w:tr>
      <w:tr>
        <w:trPr>
          <w:trHeight w:val="30" w:hRule="atLeast"/>
        </w:trPr>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30" w:hRule="atLeast"/>
        </w:trPr>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леса и дополнение посадок в Шортандинском направлении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посадочного материала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лесонасаждений, на которых обеспечено выполнение технологических операций по уходу за посадками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Приживаемость лесных культур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созданию лесонасаждений (1 га)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291669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1109"/>
        <w:gridCol w:w="1385"/>
        <w:gridCol w:w="1512"/>
        <w:gridCol w:w="1036"/>
        <w:gridCol w:w="962"/>
        <w:gridCol w:w="899"/>
        <w:gridCol w:w="1531"/>
        <w:gridCol w:w="1575"/>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«Сохранение лесов и увеличение лесистости территории республики»</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восстановление лесных массивов республики</w:t>
            </w:r>
          </w:p>
        </w:tc>
      </w:tr>
      <w:tr>
        <w:trPr>
          <w:trHeight w:val="30" w:hRule="atLeast"/>
        </w:trPr>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консалтинговых услуг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 обучения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 оборудования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Построено объектов противопожарного и лесохозяйственного назначения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лесных культур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 леса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лесного питомника и лесосеменной станции в ГУ ГЛПР «Семей орманы»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водопойных пунктов на демонстрационных участках пастбищных угодий Кызылординской области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лесного хозяйства прошедших курсы повышения квалификации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охрану, защиту, воспроизводство лесов и лесоразведения на 1 га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898 947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004 за счет внешних займов</w:t>
            </w: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991 138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016 за счет софинансирования внешних займов из республиканского бюджета</w:t>
            </w: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018 за счет гранта</w:t>
            </w: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2123"/>
        <w:gridCol w:w="1244"/>
        <w:gridCol w:w="1632"/>
        <w:gridCol w:w="891"/>
        <w:gridCol w:w="882"/>
        <w:gridCol w:w="884"/>
        <w:gridCol w:w="1516"/>
        <w:gridCol w:w="1518"/>
      </w:tblGrid>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«Разработка и внедрение информационной системы по мониторингу биоразнообразия в пилотных особо охраняемых природных территориях Республики Казахстан»</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восстановление лесных массивов республики</w:t>
            </w:r>
          </w:p>
        </w:tc>
      </w:tr>
      <w:tr>
        <w:trPr>
          <w:trHeight w:val="30" w:hRule="atLeast"/>
        </w:trPr>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2017 год</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информационной системы базы данных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программный продукт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и совещаний</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информационной системы базы данных в пилотных территориях</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консалтинговых услуг</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проведения обучения и совещания</w:t>
            </w: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основных средств</w:t>
            </w: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а том числе:</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006 за счет софинансирования внешних займов из республиканского бюджета</w:t>
            </w: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018 за счет гранта</w:t>
            </w: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8"/>
        <w:gridCol w:w="940"/>
        <w:gridCol w:w="1259"/>
        <w:gridCol w:w="1660"/>
        <w:gridCol w:w="881"/>
        <w:gridCol w:w="965"/>
        <w:gridCol w:w="923"/>
        <w:gridCol w:w="1595"/>
        <w:gridCol w:w="1639"/>
      </w:tblGrid>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«Целевые текущие трансферты бюджету города Астаны на создание «зеленого пояса»</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на «зеленом поясе» города Астаны</w:t>
            </w:r>
          </w:p>
        </w:tc>
      </w:tr>
      <w:tr>
        <w:trPr>
          <w:trHeight w:val="30" w:hRule="atLeast"/>
        </w:trPr>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Лесопосадки второго приема в межкулисных пространствах на</w:t>
            </w:r>
            <w:r>
              <w:br/>
            </w:r>
            <w:r>
              <w:rPr>
                <w:rFonts w:ascii="Times New Roman"/>
                <w:b w:val="false"/>
                <w:i w:val="false"/>
                <w:color w:val="000000"/>
                <w:sz w:val="20"/>
              </w:rPr>
              <w:t>
</w:t>
            </w:r>
            <w:r>
              <w:rPr>
                <w:rFonts w:ascii="Times New Roman"/>
                <w:b w:val="false"/>
                <w:i w:val="false"/>
                <w:color w:val="000000"/>
                <w:sz w:val="20"/>
              </w:rPr>
              <w:t>территории лесопарков города Астаны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Уходные работы за созданными лесонасаждениями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созданных лесопосадок от общей запланированной площади лесопарков города Астаны первого и второго приема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лесопосадок, на которых обеспечено выполнение технологических операций по уходу за посадками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1 га по созданию лесопарков г. Астаны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4"/>
        <w:gridCol w:w="1061"/>
        <w:gridCol w:w="1386"/>
        <w:gridCol w:w="1752"/>
        <w:gridCol w:w="958"/>
        <w:gridCol w:w="958"/>
        <w:gridCol w:w="959"/>
        <w:gridCol w:w="1655"/>
        <w:gridCol w:w="1657"/>
      </w:tblGrid>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 землепользователей или собственникам земельных участков при принудительном отчуждении земельных участков для создания лесопарковых насаждений города Астаны</w:t>
            </w:r>
          </w:p>
        </w:tc>
      </w:tr>
      <w:tr>
        <w:trPr>
          <w:trHeight w:val="30" w:hRule="atLeast"/>
        </w:trPr>
        <w:tc>
          <w:tcPr>
            <w:tcW w:w="3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изъятых земельных участков к общей потребности в изъятии земель (с начала реализации проекта)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по возмещению убытков землепользователям (1 га)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1022"/>
        <w:gridCol w:w="1277"/>
        <w:gridCol w:w="1719"/>
        <w:gridCol w:w="1138"/>
        <w:gridCol w:w="1238"/>
        <w:gridCol w:w="1159"/>
        <w:gridCol w:w="1610"/>
        <w:gridCol w:w="1653"/>
      </w:tblGrid>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«Управление лесным хозяйством, обеспечение сохранения и развития лесных ресурсов и животного мира»</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обеспечение функционирования и развития объектов государственного природно-заповедного и лесного фонда путем содержания 26 природоохранных учреждений.</w:t>
            </w:r>
            <w:r>
              <w:br/>
            </w:r>
            <w:r>
              <w:rPr>
                <w:rFonts w:ascii="Times New Roman"/>
                <w:b w:val="false"/>
                <w:i w:val="false"/>
                <w:color w:val="000000"/>
                <w:sz w:val="20"/>
              </w:rPr>
              <w:t>
</w:t>
            </w:r>
            <w:r>
              <w:rPr>
                <w:rFonts w:ascii="Times New Roman"/>
                <w:b w:val="false"/>
                <w:i w:val="false"/>
                <w:color w:val="000000"/>
                <w:sz w:val="20"/>
              </w:rPr>
              <w:t xml:space="preserve">Создание постоянных лесосеменных баз, получение посадочного материала с улучшенными наследственными качествами РГКП «Алматинский и Кокшетауский ЛСЦ». </w:t>
            </w:r>
            <w:r>
              <w:br/>
            </w:r>
            <w:r>
              <w:rPr>
                <w:rFonts w:ascii="Times New Roman"/>
                <w:b w:val="false"/>
                <w:i w:val="false"/>
                <w:color w:val="000000"/>
                <w:sz w:val="20"/>
              </w:rPr>
              <w:t>
</w:t>
            </w:r>
            <w:r>
              <w:rPr>
                <w:rFonts w:ascii="Times New Roman"/>
                <w:b w:val="false"/>
                <w:i w:val="false"/>
                <w:color w:val="000000"/>
                <w:sz w:val="20"/>
              </w:rPr>
              <w:t>Определение посевных качеств семян, степени их энтомологической и фитопатологической зараженности РГУ ««Казахское государственное республиканское лесосеменное учреждение», проведение учебных практик на базе РГУ «Сандыктауское учебно-производственное лесное хозяйство», проведение лесоустроительных работ и лесохозяйственного проектирования, ведение государственного учета лесов, обеспечение лесного хозяйства научно-методическими разработками, создание зеленой зоны города Астаны, авиационная охрана лесов от пожаров, вредителей и болезней леса.</w:t>
            </w:r>
            <w:r>
              <w:br/>
            </w:r>
            <w:r>
              <w:rPr>
                <w:rFonts w:ascii="Times New Roman"/>
                <w:b w:val="false"/>
                <w:i w:val="false"/>
                <w:color w:val="000000"/>
                <w:sz w:val="20"/>
              </w:rPr>
              <w:t>
</w:t>
            </w:r>
            <w:r>
              <w:rPr>
                <w:rFonts w:ascii="Times New Roman"/>
                <w:b w:val="false"/>
                <w:i w:val="false"/>
                <w:color w:val="000000"/>
                <w:sz w:val="20"/>
              </w:rPr>
              <w:t>Охрана и учет редких и исчезающих видов диких копытных животных для стабилизации их численности в состоянии естественной свободы. Охрана и учет сайгаков для биологически обоснованного ежегодного прироста и достижения их промысловой численности в состоянии естественной свободы.</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2017 год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2018 год</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природоохранных учреждений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штатов природоохранных учреждений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штатов Казахского лесосеменного учреждения и Сандыктауского УПЛХ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минерализованных полос шириной до 4 метров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 минерализованными полосами в переводе на однократный при ширине полос 4 метра (показатели учитываются с 2012 года)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лесов в природоохранных учреждениях и Сандыктауском УПЛХ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посадочного материала с улучшенными наследственными качествами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Лесоустройство на территории государственного лесного фонда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санитарной защитной зеленой зоны города Астаны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охрана территории государственного лесного фонда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учет численности редких и исчезающих видов копытных животных и сайгаков на охраняемой территории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Межхозяйственное охотоустройство охотничьих угодий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мероприятий по сохранению биологического разнообразия на особо охраняемых природных территориях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плана по получению посадочного материала с улучшенными наследственными качествами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плана по определению посевных качеств семян, степени их энтомологической и фитопатологической зараженности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кг</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очагов вредителей и болезней леса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зеленой зоны города Астаны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лесных пожаров на обслуживаемой территории, выявленных авиационной охранной (от общего числа зарегистрированных пожаров)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и стабилизация численности сайгаков, редких и находящихся под угрозой исчезновения видов диких копытных животных в процентах:</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сайгаков</w:t>
            </w: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 олень</w:t>
            </w: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сохранение 1 га территорий природоохранного учреждения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выращивание посадочного материала с улучшенными наследственными качествами (1 шт)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лесоустройства на территории государственного лесного фонда (1 га)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обработку 1 га очагов вредителей и болезней леса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создание 1 га зеленой зоны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авиационную охрану 1 га государственного лесного фонда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тыс. га  проведения охраны территорий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13 005 370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13 768 771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12 682 924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12 438 917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100</w:t>
            </w: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7 347 582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7 363 046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6 555 283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6 379 009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101</w:t>
            </w: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4 888 291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5 626 678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5 372 090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5 304 357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102</w:t>
            </w: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769 497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779 047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755 551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906"/>
        <w:gridCol w:w="1291"/>
        <w:gridCol w:w="1611"/>
        <w:gridCol w:w="875"/>
        <w:gridCol w:w="865"/>
        <w:gridCol w:w="867"/>
        <w:gridCol w:w="1527"/>
        <w:gridCol w:w="1527"/>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«Строительство и реконструкция объектов инфраструктуры лесного хозяйства и особо охраняемых природных территорий»</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особо охраняемых природных территорий Республики Казахстан</w:t>
            </w:r>
          </w:p>
        </w:tc>
      </w:tr>
      <w:tr>
        <w:trPr>
          <w:trHeight w:val="30" w:hRule="atLeast"/>
        </w:trPr>
        <w:tc>
          <w:tcPr>
            <w:tcW w:w="3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служебных кордонов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автогаражей, административных зданий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обеспеченность кордонами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строительству служебных кордонов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304"/>
        <w:gridCol w:w="1137"/>
        <w:gridCol w:w="1498"/>
        <w:gridCol w:w="1161"/>
        <w:gridCol w:w="1161"/>
        <w:gridCol w:w="819"/>
        <w:gridCol w:w="1413"/>
        <w:gridCol w:w="1414"/>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Аварийно-восстановительные и берегоукрепительные работы на реке Шу в Сортобинском, Аухатинском, Карасуском, Кордайском и Сарыбулакском сельских округах Кордайского района Жамбылской области</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реки, на которой произведены берегоукрепительные работы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жилых строений населенных пунктов от угрозы разрушения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w:t>
            </w:r>
            <w:r>
              <w:br/>
            </w:r>
            <w:r>
              <w:rPr>
                <w:rFonts w:ascii="Times New Roman"/>
                <w:b w:val="false"/>
                <w:i w:val="false"/>
                <w:color w:val="000000"/>
                <w:sz w:val="20"/>
              </w:rPr>
              <w:t>
</w:t>
            </w:r>
            <w:r>
              <w:rPr>
                <w:rFonts w:ascii="Times New Roman"/>
                <w:b w:val="false"/>
                <w:i w:val="false"/>
                <w:color w:val="000000"/>
                <w:sz w:val="20"/>
              </w:rPr>
              <w:t>функционирования стратегических объектов и снижение риска возникновения чрезвычайных ситуаций</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участков</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км</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64 431,70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515454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870"/>
        <w:gridCol w:w="1137"/>
        <w:gridCol w:w="1600"/>
        <w:gridCol w:w="1040"/>
        <w:gridCol w:w="1170"/>
        <w:gridCol w:w="1170"/>
        <w:gridCol w:w="789"/>
        <w:gridCol w:w="789"/>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«Строительство и реконструкция системы водоснабжения, гидротехнических сооружений»</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 гидротехнических сооружений, направленных на обеспечение населения питьевой водой; улучшение инфраструктуры сельских населенных пунктов; планирование, восстановление, реабилитация, предупреждение угрозы возникновения чрезвычайных ситуаций техногенного характера на системах водоснабжения и гидротехнических сооружениях</w:t>
            </w:r>
          </w:p>
        </w:tc>
      </w:tr>
      <w:tr>
        <w:trPr>
          <w:trHeight w:val="30" w:hRule="atLeast"/>
        </w:trPr>
        <w:tc>
          <w:tcPr>
            <w:tcW w:w="5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 водопроводы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гидротехнические сооружения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 водопроводы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гидротехнические сооружения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строительству и реконструкции одного группового водопровода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649 789,2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1665861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строительству и реконструкции одного гидротехнического сооружения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421 676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522 736,2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517491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разработке одной проектно-сметной документации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36 178,8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32 263 812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подпрограмме 005 за счет внутренних источников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3 2263 812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575"/>
        <w:gridCol w:w="993"/>
        <w:gridCol w:w="1353"/>
        <w:gridCol w:w="2054"/>
        <w:gridCol w:w="1238"/>
        <w:gridCol w:w="1107"/>
        <w:gridCol w:w="1212"/>
        <w:gridCol w:w="1215"/>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«Развитие объектов охраны подземных вод и очистки промышленных стоков в городе Усть-Каменогорске»</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и улучшение здоровья населения городов Усть-Каменогорска, Семей, Павлодар и населенных пунктов, расположенных вдоль реки Иртыш, путем предотвращения поступления токсичных веществ в реку Иртыш и подземные воды, восстановления окружающей среды и улучшения экологии региона. Улучшение качества поверхностных и подземных вод для питьевого водоснабжения населения городов Усть-Каменогорск, Семей, Павлодар. Предотвращение загрязнения грунтовых вод и миграции шлейфа токсичных отходов в сторону жилых районов, источников питьевого водоснабжения г. Усть-Каменогорск и реки Иртыш. Усиление институциональных механизмов для мониторинга качества воды из местных и промышленных источников</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 по мониторингу и детальному проектированию</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хвостохранилища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проектно-сметных документаций (ПСД) по компонентам «Локализация наиболее приоритетных источников загрязнения грунтовых вод» и «Очистка загрязненных участков грунтовых вод»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Мобилизационные и подготовительные работы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биологической рекультивации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разработке одного ПСД</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77 477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одного хвостохранилища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388 138,7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1 346 139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004 за счет внешних займов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016 за счет софинансирования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621 167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997"/>
        <w:gridCol w:w="1186"/>
        <w:gridCol w:w="1554"/>
        <w:gridCol w:w="983"/>
        <w:gridCol w:w="983"/>
        <w:gridCol w:w="1145"/>
        <w:gridCol w:w="823"/>
        <w:gridCol w:w="930"/>
      </w:tblGrid>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«Реабилитация и управление окружающей средой бассейна рек Нура и Ишим»</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жизни населения, проживающего на территории бассейна реки Нуры, путем очистки реки и прилегающих к ней районов от серьезного ртутного загрязнения, что приведет к безопасному, эффективному, менее затратному альтернативному источнику водоснабжения для удовлетворения растущих нужд местных водопользователей, а также возобновит контроль над расходом в реке для управления паводками и в экологических целях путем: </w:t>
            </w:r>
            <w:r>
              <w:br/>
            </w:r>
            <w:r>
              <w:rPr>
                <w:rFonts w:ascii="Times New Roman"/>
                <w:b w:val="false"/>
                <w:i w:val="false"/>
                <w:color w:val="000000"/>
                <w:sz w:val="20"/>
              </w:rPr>
              <w:t>
</w:t>
            </w:r>
            <w:r>
              <w:rPr>
                <w:rFonts w:ascii="Times New Roman"/>
                <w:b w:val="false"/>
                <w:i w:val="false"/>
                <w:color w:val="000000"/>
                <w:sz w:val="20"/>
              </w:rPr>
              <w:t xml:space="preserve">1) снижения содержания ртути в воде, воздухе, почве на территории проекта (с 3 000 ПДК до ПДК); </w:t>
            </w:r>
            <w:r>
              <w:br/>
            </w:r>
            <w:r>
              <w:rPr>
                <w:rFonts w:ascii="Times New Roman"/>
                <w:b w:val="false"/>
                <w:i w:val="false"/>
                <w:color w:val="000000"/>
                <w:sz w:val="20"/>
              </w:rPr>
              <w:t>
</w:t>
            </w:r>
            <w:r>
              <w:rPr>
                <w:rFonts w:ascii="Times New Roman"/>
                <w:b w:val="false"/>
                <w:i w:val="false"/>
                <w:color w:val="000000"/>
                <w:sz w:val="20"/>
              </w:rPr>
              <w:t>2) реконструкции Ынтымакского водохранилища до возможности регулирования проектного объема (240 млн. м3), в настоящее время среднегодовой нерегулируемый объем – 40 млн. м3;</w:t>
            </w:r>
            <w:r>
              <w:br/>
            </w:r>
            <w:r>
              <w:rPr>
                <w:rFonts w:ascii="Times New Roman"/>
                <w:b w:val="false"/>
                <w:i w:val="false"/>
                <w:color w:val="000000"/>
                <w:sz w:val="20"/>
              </w:rPr>
              <w:t>
</w:t>
            </w:r>
            <w:r>
              <w:rPr>
                <w:rFonts w:ascii="Times New Roman"/>
                <w:b w:val="false"/>
                <w:i w:val="false"/>
                <w:color w:val="000000"/>
                <w:sz w:val="20"/>
              </w:rPr>
              <w:t>3) технического перевооружения 17 гидрологических постов на реке Нура и</w:t>
            </w:r>
            <w:r>
              <w:br/>
            </w:r>
            <w:r>
              <w:rPr>
                <w:rFonts w:ascii="Times New Roman"/>
                <w:b w:val="false"/>
                <w:i w:val="false"/>
                <w:color w:val="000000"/>
                <w:sz w:val="20"/>
              </w:rPr>
              <w:t>
</w:t>
            </w:r>
            <w:r>
              <w:rPr>
                <w:rFonts w:ascii="Times New Roman"/>
                <w:b w:val="false"/>
                <w:i w:val="false"/>
                <w:color w:val="000000"/>
                <w:sz w:val="20"/>
              </w:rPr>
              <w:t>4 лабораторий Карагандинской области.</w:t>
            </w:r>
          </w:p>
        </w:tc>
      </w:tr>
      <w:tr>
        <w:trPr>
          <w:trHeight w:val="30" w:hRule="atLeast"/>
        </w:trPr>
        <w:tc>
          <w:tcPr>
            <w:tcW w:w="5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 объема строительных работ по реконструкции Ынтымакского водохранилища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страховых удержаний по дефектному периоду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хранилища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реконструкции 1м</w:t>
            </w:r>
            <w:r>
              <w:rPr>
                <w:rFonts w:ascii="Times New Roman"/>
                <w:b w:val="false"/>
                <w:i w:val="false"/>
                <w:color w:val="000000"/>
                <w:vertAlign w:val="superscript"/>
              </w:rPr>
              <w:t>3</w:t>
            </w:r>
            <w:r>
              <w:rPr>
                <w:rFonts w:ascii="Times New Roman"/>
                <w:b w:val="false"/>
                <w:i w:val="false"/>
                <w:color w:val="000000"/>
                <w:sz w:val="20"/>
              </w:rPr>
              <w:t xml:space="preserve"> водохранилища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r>
              <w:br/>
            </w:r>
            <w:r>
              <w:rPr>
                <w:rFonts w:ascii="Times New Roman"/>
                <w:b w:val="false"/>
                <w:i w:val="false"/>
                <w:color w:val="000000"/>
                <w:sz w:val="20"/>
              </w:rPr>
              <w:t>
</w:t>
            </w:r>
            <w:r>
              <w:rPr>
                <w:rFonts w:ascii="Times New Roman"/>
                <w:b w:val="false"/>
                <w:i w:val="false"/>
                <w:color w:val="000000"/>
                <w:sz w:val="20"/>
              </w:rPr>
              <w:t>в том числе: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016 за счет софинансирования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6"/>
        <w:gridCol w:w="937"/>
        <w:gridCol w:w="1258"/>
        <w:gridCol w:w="1643"/>
        <w:gridCol w:w="1001"/>
        <w:gridCol w:w="1001"/>
        <w:gridCol w:w="1001"/>
        <w:gridCol w:w="1546"/>
        <w:gridCol w:w="1547"/>
      </w:tblGrid>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«Капитальный ремонт и восстановление особо аварийных участков межхозяйственных каналов и гидромелиоративных сооружений»</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на водохозяйственных объектах, направленных на улучшение функционирования систем сельскохозяйственного водопользования</w:t>
            </w:r>
          </w:p>
        </w:tc>
      </w:tr>
      <w:tr>
        <w:trPr>
          <w:trHeight w:val="30" w:hRule="atLeast"/>
        </w:trPr>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особо аварийных объектов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от общего количество на соответствующий год, на которых проведен капитальный ремонт для улучшения технического</w:t>
            </w:r>
            <w:r>
              <w:br/>
            </w:r>
            <w:r>
              <w:rPr>
                <w:rFonts w:ascii="Times New Roman"/>
                <w:b w:val="false"/>
                <w:i w:val="false"/>
                <w:color w:val="000000"/>
                <w:sz w:val="20"/>
              </w:rPr>
              <w:t>
</w:t>
            </w:r>
            <w:r>
              <w:rPr>
                <w:rFonts w:ascii="Times New Roman"/>
                <w:b w:val="false"/>
                <w:i w:val="false"/>
                <w:color w:val="000000"/>
                <w:sz w:val="20"/>
              </w:rPr>
              <w:t>состояния особо аварийных участков межхозяйственных каналов и гидромелиоративных сооружений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проведения ремонтных работ:</w:t>
            </w:r>
            <w:r>
              <w:br/>
            </w:r>
            <w:r>
              <w:rPr>
                <w:rFonts w:ascii="Times New Roman"/>
                <w:b w:val="false"/>
                <w:i w:val="false"/>
                <w:color w:val="000000"/>
                <w:sz w:val="20"/>
              </w:rPr>
              <w:t>
</w:t>
            </w:r>
            <w:r>
              <w:rPr>
                <w:rFonts w:ascii="Times New Roman"/>
                <w:b w:val="false"/>
                <w:i w:val="false"/>
                <w:color w:val="000000"/>
                <w:sz w:val="20"/>
              </w:rPr>
              <w:t>магистральных каналов и коллекторов</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123 436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109 841,8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825 116,7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668 280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водохранилищ</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362 955,2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гидроузлов</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363 842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скважин вертикального дренажа</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полезного</w:t>
            </w:r>
            <w:r>
              <w:br/>
            </w:r>
            <w:r>
              <w:rPr>
                <w:rFonts w:ascii="Times New Roman"/>
                <w:b w:val="false"/>
                <w:i w:val="false"/>
                <w:color w:val="000000"/>
                <w:sz w:val="20"/>
              </w:rPr>
              <w:t>
</w:t>
            </w:r>
            <w:r>
              <w:rPr>
                <w:rFonts w:ascii="Times New Roman"/>
                <w:b w:val="false"/>
                <w:i w:val="false"/>
                <w:color w:val="000000"/>
                <w:sz w:val="20"/>
              </w:rPr>
              <w:t>действия оросительных</w:t>
            </w:r>
            <w:r>
              <w:br/>
            </w:r>
            <w:r>
              <w:rPr>
                <w:rFonts w:ascii="Times New Roman"/>
                <w:b w:val="false"/>
                <w:i w:val="false"/>
                <w:color w:val="000000"/>
                <w:sz w:val="20"/>
              </w:rPr>
              <w:t>
</w:t>
            </w:r>
            <w:r>
              <w:rPr>
                <w:rFonts w:ascii="Times New Roman"/>
                <w:b w:val="false"/>
                <w:i w:val="false"/>
                <w:color w:val="000000"/>
                <w:sz w:val="20"/>
              </w:rPr>
              <w:t>систем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1 464 509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2 618 871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2 954 800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2 673 119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5"/>
        <w:gridCol w:w="1272"/>
        <w:gridCol w:w="1142"/>
        <w:gridCol w:w="1473"/>
        <w:gridCol w:w="968"/>
        <w:gridCol w:w="955"/>
        <w:gridCol w:w="1231"/>
        <w:gridCol w:w="920"/>
        <w:gridCol w:w="794"/>
      </w:tblGrid>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«Регулирование использования и охраны водного фонда, обеспечение функционирования водохозяйственных систем и сооружений»</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системы управления водными ресурсами, совершенствование нормативно-методической базы и информационного потенциала в области использования и охраны водных ресурсов; обеспечение бесперебойной работы водохозяйственных объектов, не связанных с подачей воды, включая объекты, совместно используемые с сопредельными государствами и осуществление мониторинга за их техническим состоянием; проведение природоохранных попусков.</w:t>
            </w:r>
          </w:p>
        </w:tc>
      </w:tr>
      <w:tr>
        <w:trPr>
          <w:trHeight w:val="30" w:hRule="atLeast"/>
        </w:trPr>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мероприятия на водохозяйственных объектах: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республиканской собственности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межгосударственных объектах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компенсационных природоохранных попусков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в области использования и охраны водных ресурсов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нормативно-методических документаций в области использования и охраны водных ресурсов,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государственного водного кадастра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речных бассейнов обновленными схемами комплексного использования и охраны водных ресурсов (из расчета 8 водохозяйственных бассейнов – 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внедрения Единой информационно-аналитической системы по управлению водными ресурсами (с нарастающим итогом)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Полнота охвата систематизированным сводом сведений о состоянии, использовании и охране водных объектов в соответствии с имеющимися методиками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 укрупненных норм водопотребления и водоотведения для отраслей экономики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заседаний Бассейновых советов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улучшения технического состояния республиканских и межгосударственных водохозяйственных объектов для их бесперебойной и безаварийной работы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восстановления естественного весеннего гидрологического режима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эксплуатационных мероприятий на водохозяйственных объектах: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республиканской собственности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29 316,7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24877,0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межгосударственных объектах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151 601,9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161 105,2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172 533,8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172533,8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м</w:t>
            </w:r>
            <w:r>
              <w:rPr>
                <w:rFonts w:ascii="Times New Roman"/>
                <w:b w:val="false"/>
                <w:i w:val="false"/>
                <w:color w:val="000000"/>
                <w:vertAlign w:val="superscript"/>
              </w:rPr>
              <w:t>3</w:t>
            </w:r>
            <w:r>
              <w:rPr>
                <w:rFonts w:ascii="Times New Roman"/>
                <w:b w:val="false"/>
                <w:i w:val="false"/>
                <w:color w:val="000000"/>
                <w:sz w:val="20"/>
              </w:rPr>
              <w:t xml:space="preserve"> воды природоохранного попуска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проведению исследований, совершенствованию информационного потенциала и разработке нормативно-методической базы в области управления водными ресурсами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7 408 710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10 482 427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9 205 430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9 108 795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101</w:t>
            </w: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5 867 835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7 078 480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6 178 480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6 178 480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102</w:t>
            </w: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2 948 220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2 950 931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2 899 970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2 899 970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103</w:t>
            </w: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460 912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126 980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8"/>
        <w:gridCol w:w="951"/>
        <w:gridCol w:w="1230"/>
        <w:gridCol w:w="1598"/>
        <w:gridCol w:w="980"/>
        <w:gridCol w:w="990"/>
        <w:gridCol w:w="991"/>
        <w:gridCol w:w="1135"/>
        <w:gridCol w:w="1137"/>
      </w:tblGrid>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«Сохранение и воспроизводство рыбных ресурсов и других водных животных»</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рыбопродуктивности рыбохозяйственных водоемов и/ или участков, разработка биологических обоснований, определение допустимого улова на водоемах международного, республиканского и местного значений и на резервном фонде. Проведение комплексных морских исследований по оценке состояния биологических ресурсов казахстанской части Каспийского моря. Воспроизводство молоди ценных видов рыб.</w:t>
            </w:r>
            <w:r>
              <w:br/>
            </w:r>
            <w:r>
              <w:rPr>
                <w:rFonts w:ascii="Times New Roman"/>
                <w:b w:val="false"/>
                <w:i w:val="false"/>
                <w:color w:val="000000"/>
                <w:sz w:val="20"/>
              </w:rPr>
              <w:t>
</w:t>
            </w:r>
            <w:r>
              <w:rPr>
                <w:rFonts w:ascii="Times New Roman"/>
                <w:b w:val="false"/>
                <w:i w:val="false"/>
                <w:color w:val="000000"/>
                <w:sz w:val="20"/>
              </w:rPr>
              <w:t>Обеспечение прохода рыб к нерестилищам, и их восстановление, путем проведения дноуглубительных (мелиоративных) работ.</w:t>
            </w:r>
          </w:p>
        </w:tc>
      </w:tr>
      <w:tr>
        <w:trPr>
          <w:trHeight w:val="30" w:hRule="atLeast"/>
        </w:trPr>
        <w:tc>
          <w:tcPr>
            <w:tcW w:w="4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биологических обоснований по государственному учету и мониторингу водоемов международного, республиканского и местного значений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молоди рыб в рыбохозяйственные водоемы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переданного имущества из коммунальной собственности в республиканскую собственность</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охваченных государственным учетом и мониторингом водоемов: международного, республиканского и местного значения, за счет бюджетных средств</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воспроизводства рыбных ресурсов выполняемого предприятиями подведомственными Комитету за счет государственного заказа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содержимого и сохраняемого имущества, переданного из коммунальной собственности в республиканскую собственность</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w:t>
            </w:r>
            <w:r>
              <w:br/>
            </w:r>
            <w:r>
              <w:rPr>
                <w:rFonts w:ascii="Times New Roman"/>
                <w:b w:val="false"/>
                <w:i w:val="false"/>
                <w:color w:val="000000"/>
                <w:sz w:val="20"/>
              </w:rPr>
              <w:t>
</w:t>
            </w:r>
            <w:r>
              <w:rPr>
                <w:rFonts w:ascii="Times New Roman"/>
                <w:b w:val="false"/>
                <w:i w:val="false"/>
                <w:color w:val="000000"/>
                <w:sz w:val="20"/>
              </w:rPr>
              <w:t>на исследование 1 водоема:</w:t>
            </w:r>
            <w:r>
              <w:br/>
            </w:r>
            <w:r>
              <w:rPr>
                <w:rFonts w:ascii="Times New Roman"/>
                <w:b w:val="false"/>
                <w:i w:val="false"/>
                <w:color w:val="000000"/>
                <w:sz w:val="20"/>
              </w:rPr>
              <w:t>
</w:t>
            </w:r>
            <w:r>
              <w:rPr>
                <w:rFonts w:ascii="Times New Roman"/>
                <w:b w:val="false"/>
                <w:i w:val="false"/>
                <w:color w:val="000000"/>
                <w:sz w:val="20"/>
              </w:rPr>
              <w:t>международного и республиканского значения;</w:t>
            </w:r>
            <w:r>
              <w:br/>
            </w:r>
            <w:r>
              <w:rPr>
                <w:rFonts w:ascii="Times New Roman"/>
                <w:b w:val="false"/>
                <w:i w:val="false"/>
                <w:color w:val="000000"/>
                <w:sz w:val="20"/>
              </w:rPr>
              <w:t>
</w:t>
            </w:r>
            <w:r>
              <w:rPr>
                <w:rFonts w:ascii="Times New Roman"/>
                <w:b w:val="false"/>
                <w:i w:val="false"/>
                <w:color w:val="000000"/>
                <w:sz w:val="20"/>
              </w:rPr>
              <w:t>местного значения.</w:t>
            </w:r>
            <w:r>
              <w:br/>
            </w:r>
            <w:r>
              <w:rPr>
                <w:rFonts w:ascii="Times New Roman"/>
                <w:b w:val="false"/>
                <w:i w:val="false"/>
                <w:color w:val="000000"/>
                <w:sz w:val="20"/>
              </w:rPr>
              <w:t>
</w:t>
            </w:r>
            <w:r>
              <w:rPr>
                <w:rFonts w:ascii="Times New Roman"/>
                <w:b w:val="false"/>
                <w:i w:val="false"/>
                <w:color w:val="000000"/>
                <w:sz w:val="20"/>
              </w:rPr>
              <w:t>на выращивание 1 молоди рыб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11 236,8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421,5</w:t>
            </w:r>
          </w:p>
          <w:p>
            <w:pPr>
              <w:spacing w:after="20"/>
              <w:ind w:left="20"/>
              <w:jc w:val="both"/>
            </w:pPr>
            <w:r>
              <w:rPr>
                <w:rFonts w:ascii="Times New Roman"/>
                <w:b w:val="false"/>
                <w:i w:val="false"/>
                <w:color w:val="000000"/>
                <w:sz w:val="20"/>
              </w:rPr>
              <w:t>3,6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w:t>
            </w:r>
          </w:p>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r>
              <w:rPr>
                <w:rFonts w:ascii="Times New Roman"/>
                <w:b w:val="false"/>
                <w:i w:val="false"/>
                <w:color w:val="000000"/>
                <w:sz w:val="20"/>
              </w:rPr>
              <w:t>550,66</w:t>
            </w:r>
            <w:r>
              <w:br/>
            </w:r>
            <w:r>
              <w:rPr>
                <w:rFonts w:ascii="Times New Roman"/>
                <w:b w:val="false"/>
                <w:i w:val="false"/>
                <w:color w:val="000000"/>
                <w:sz w:val="20"/>
              </w:rPr>
              <w:t>
</w:t>
            </w:r>
            <w:r>
              <w:rPr>
                <w:rFonts w:ascii="Times New Roman"/>
                <w:b w:val="false"/>
                <w:i w:val="false"/>
                <w:color w:val="000000"/>
                <w:sz w:val="20"/>
              </w:rPr>
              <w:t>3,7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11 904,8</w:t>
            </w:r>
            <w:r>
              <w:br/>
            </w:r>
            <w:r>
              <w:rPr>
                <w:rFonts w:ascii="Times New Roman"/>
                <w:b w:val="false"/>
                <w:i w:val="false"/>
                <w:color w:val="000000"/>
                <w:sz w:val="20"/>
              </w:rPr>
              <w:t>
</w:t>
            </w:r>
            <w:r>
              <w:rPr>
                <w:rFonts w:ascii="Times New Roman"/>
                <w:b w:val="false"/>
                <w:i w:val="false"/>
                <w:color w:val="000000"/>
                <w:sz w:val="20"/>
              </w:rPr>
              <w:t>550,66</w:t>
            </w:r>
            <w:r>
              <w:br/>
            </w:r>
            <w:r>
              <w:rPr>
                <w:rFonts w:ascii="Times New Roman"/>
                <w:b w:val="false"/>
                <w:i w:val="false"/>
                <w:color w:val="000000"/>
                <w:sz w:val="20"/>
              </w:rPr>
              <w:t>
</w:t>
            </w:r>
            <w:r>
              <w:rPr>
                <w:rFonts w:ascii="Times New Roman"/>
                <w:b w:val="false"/>
                <w:i w:val="false"/>
                <w:color w:val="000000"/>
                <w:sz w:val="20"/>
              </w:rPr>
              <w:t>3,55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11 904,8</w:t>
            </w:r>
            <w:r>
              <w:br/>
            </w:r>
            <w:r>
              <w:rPr>
                <w:rFonts w:ascii="Times New Roman"/>
                <w:b w:val="false"/>
                <w:i w:val="false"/>
                <w:color w:val="000000"/>
                <w:sz w:val="20"/>
              </w:rPr>
              <w:t>
</w:t>
            </w:r>
            <w:r>
              <w:rPr>
                <w:rFonts w:ascii="Times New Roman"/>
                <w:b w:val="false"/>
                <w:i w:val="false"/>
                <w:color w:val="000000"/>
                <w:sz w:val="20"/>
              </w:rPr>
              <w:t>550,66</w:t>
            </w:r>
            <w:r>
              <w:br/>
            </w:r>
            <w:r>
              <w:rPr>
                <w:rFonts w:ascii="Times New Roman"/>
                <w:b w:val="false"/>
                <w:i w:val="false"/>
                <w:color w:val="000000"/>
                <w:sz w:val="20"/>
              </w:rPr>
              <w:t>
</w:t>
            </w:r>
            <w:r>
              <w:rPr>
                <w:rFonts w:ascii="Times New Roman"/>
                <w:b w:val="false"/>
                <w:i w:val="false"/>
                <w:color w:val="000000"/>
                <w:sz w:val="20"/>
              </w:rPr>
              <w:t>3,55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и сохранность имущества, переданного из коммунальной собственности в республиканскую собственность</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731 540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840 975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784 997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784 997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6"/>
        <w:gridCol w:w="997"/>
        <w:gridCol w:w="1210"/>
        <w:gridCol w:w="1532"/>
        <w:gridCol w:w="996"/>
        <w:gridCol w:w="978"/>
        <w:gridCol w:w="1099"/>
        <w:gridCol w:w="1095"/>
        <w:gridCol w:w="1097"/>
      </w:tblGrid>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«Разработка обоснований инвестиций по твердо-бытовым отходам»</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сектора ТБО, Обеспечение управления ТБО в соответствии с международными стандартами, максимальное извлечение вторичного сырья и энергии; внедрение раздельного сбора ТБО у «источника», внедрение эффективной тарифной политики; минимизация воздействия на окружающую среду и здоровье</w:t>
            </w:r>
          </w:p>
        </w:tc>
      </w:tr>
      <w:tr>
        <w:trPr>
          <w:trHeight w:val="30"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обоснования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одностадийная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городов, охваченных разработкой обоснования инвестиций по модернизации системы твердыми бытовыми отходами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обоснования инвестиций модернизации системы управления твердыми бытовыми отходами с положительным заключением государственной экспертизы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обоснований инвестиций модернизации системы управления твердыми бытовыми отходами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 заключений государственной экспертизы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разработанного обоснования инвестиций к проекту модернизации сектора ТБО со СНиП, СН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на разработку одного обоснования инвестиций по модернизации системы управления ТБО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038"/>
        <w:gridCol w:w="1158"/>
        <w:gridCol w:w="1752"/>
        <w:gridCol w:w="868"/>
        <w:gridCol w:w="887"/>
        <w:gridCol w:w="958"/>
        <w:gridCol w:w="1072"/>
        <w:gridCol w:w="1074"/>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«Ликвидация природных и техногенных загрязнений»</w:t>
            </w:r>
          </w:p>
        </w:tc>
      </w:tr>
      <w:tr>
        <w:trPr>
          <w:trHeight w:val="69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бесхозяйными отходами (объектами), переданными решением суда в республиканскую собственность по Актюбинской, Карагандинской, Костанайской областям.</w:t>
            </w:r>
          </w:p>
        </w:tc>
      </w:tr>
      <w:tr>
        <w:trPr>
          <w:trHeight w:val="3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обследуемых объектов по Актюбинской области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обследуемых объектов по Карагандинской области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обследуемых объектов по Костанайской области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обследованных объектов по Актюбинской области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востребованных отходов по Карагандинской области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обследуемых объектов по Костанайской области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завершение работ по планируемым объектам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загрязненных территорий от опасных химических веществ и отходов, перешедших в республиканскую собственность по решению суда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1033"/>
        <w:gridCol w:w="1033"/>
        <w:gridCol w:w="1413"/>
        <w:gridCol w:w="753"/>
        <w:gridCol w:w="1213"/>
        <w:gridCol w:w="1343"/>
        <w:gridCol w:w="833"/>
        <w:gridCol w:w="993"/>
        <w:gridCol w:w="99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«Развитие системы гидрометеомониторинга Щучинско-Боровской курортной зоны»</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системы наблюдений за окружающей средой на территории Щучинско-Боровской курортной зоны крайне важно для оперативного определения высокого и экстремально высокого загрязнения данного региона, своевременного информирования заинтересованных государственных органов и природоохранных ведомств с целью принятия необходимых управленческих решений для предотвращения невосполнимого ущерба окружающей среде. </w:t>
            </w:r>
          </w:p>
        </w:tc>
      </w:tr>
      <w:tr>
        <w:trPr>
          <w:trHeight w:val="30" w:hRule="atLeast"/>
        </w:trPr>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водных объектов по определению качества поверхностных вод (с нарастающим)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анализов по определению качества атмосферного воздуха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анализов по определению качества поверхностных вод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анализов по определению загрязнения почвы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достоверности информации о негативных экологических процессах по охвату территории ЩБКЗ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9"/>
        <w:gridCol w:w="947"/>
        <w:gridCol w:w="1206"/>
        <w:gridCol w:w="1589"/>
        <w:gridCol w:w="867"/>
        <w:gridCol w:w="867"/>
        <w:gridCol w:w="868"/>
        <w:gridCol w:w="1501"/>
        <w:gridCol w:w="1502"/>
      </w:tblGrid>
      <w:tr>
        <w:trPr>
          <w:trHeight w:val="48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«Совершенствование системы планирования, мониторинга, сохранения и эффективного использования природных ресурсов»</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планирования, мониторинга, сохранения и эффективного использования природных ресурсов в контексте перехода Республики Казахстан к «зеленой экономике»</w:t>
            </w:r>
          </w:p>
        </w:tc>
      </w:tr>
      <w:tr>
        <w:trPr>
          <w:trHeight w:val="30" w:hRule="atLeast"/>
        </w:trPr>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управления по видовому и территориальному принципу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и рекомендации методологических подходов и системы включения и исключения в (из) перечни видов с различным охранным статусом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и рекомендации территориальных подходов к управлению животным миром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для эффективного управления в области сохранения животного мира и местообитаний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экономической ценности животного мира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и совещаний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демонстрация модели финансовых механизмов по устойчивому управлению ОХ на пилотных территориях.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006 за счет софинансирования гранта из республиканского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31 875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018 за счет гранта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9 690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417"/>
        <w:gridCol w:w="1112"/>
        <w:gridCol w:w="1112"/>
        <w:gridCol w:w="1460"/>
        <w:gridCol w:w="1717"/>
        <w:gridCol w:w="1717"/>
        <w:gridCol w:w="1719"/>
        <w:gridCol w:w="1233"/>
      </w:tblGrid>
      <w:tr>
        <w:trPr>
          <w:trHeight w:val="48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«Целевые текущие трансферты на развитие областным бюджетам, бюджетам городов Астаны и Алматы на поддержку использования возобновляемых источников энергии»</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государством части затрат индивидуальных потребителей на приобретение установок по использованию возобновляемых источников энергии (ВИЭ) у казахстанских производителей – предоставление индивидуальным потребителям адресной помощи в размере пятидесяти процентов от стоимости установок по использованию ВИЭ суммарной мощностью не более пяти киловатт после ввода установки по использованию возобновляемых источников энергии в эксплуатацию.</w:t>
            </w:r>
            <w:r>
              <w:br/>
            </w:r>
            <w:r>
              <w:rPr>
                <w:rFonts w:ascii="Times New Roman"/>
                <w:b w:val="false"/>
                <w:i w:val="false"/>
                <w:color w:val="000000"/>
                <w:sz w:val="20"/>
              </w:rPr>
              <w:t>
</w:t>
            </w:r>
            <w:r>
              <w:rPr>
                <w:rFonts w:ascii="Times New Roman"/>
                <w:b w:val="false"/>
                <w:i w:val="false"/>
                <w:color w:val="000000"/>
                <w:sz w:val="20"/>
              </w:rPr>
              <w:t>Улучшение условий электроснабжения домохозяйств, где централизованное электроснабжение экономически нецелесообразно, улучшение экологического состояния окружающей среды путем развития возобновляемых источников энергии.</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введенных в эксплуатацию установок по использованию ВИЭ, приобретенных с учетом оказанной государственной адресной помощи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домохозяйств, получивших доступ к электроэнергии за счет использования ВИЭ</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суммы возмещения затрат на приобретение одной установки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70 880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 w:id="63"/>
    <w:p>
      <w:pPr>
        <w:spacing w:after="0"/>
        <w:ind w:left="0"/>
        <w:jc w:val="both"/>
      </w:pPr>
      <w:r>
        <w:rPr>
          <w:rFonts w:ascii="Times New Roman"/>
          <w:b w:val="false"/>
          <w:i w:val="false"/>
          <w:color w:val="000000"/>
          <w:sz w:val="28"/>
        </w:rPr>
        <w:t>
                  </w:t>
      </w:r>
      <w:r>
        <w:rPr>
          <w:rFonts w:ascii="Times New Roman"/>
          <w:b/>
          <w:i w:val="false"/>
          <w:color w:val="000000"/>
          <w:sz w:val="28"/>
        </w:rPr>
        <w:t>7.2. Свод бюджетных расходов</w:t>
      </w:r>
    </w:p>
    <w:bookmarkEnd w:id="63"/>
    <w:p>
      <w:pPr>
        <w:spacing w:after="0"/>
        <w:ind w:left="0"/>
        <w:jc w:val="both"/>
      </w:pPr>
      <w:r>
        <w:rPr>
          <w:rFonts w:ascii="Times New Roman"/>
          <w:b w:val="false"/>
          <w:i w:val="false"/>
          <w:color w:val="ff0000"/>
          <w:sz w:val="28"/>
        </w:rPr>
        <w:t xml:space="preserve">      Сноска. Раздел 7.2 с изменениями, внесенными постановлением Правительства РК от 08.07.2014 </w:t>
      </w:r>
      <w:r>
        <w:rPr>
          <w:rFonts w:ascii="Times New Roman"/>
          <w:b w:val="false"/>
          <w:i w:val="false"/>
          <w:color w:val="ff0000"/>
          <w:sz w:val="28"/>
        </w:rPr>
        <w:t>№ 779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1048"/>
        <w:gridCol w:w="1436"/>
        <w:gridCol w:w="1716"/>
        <w:gridCol w:w="1316"/>
        <w:gridCol w:w="1316"/>
        <w:gridCol w:w="1316"/>
        <w:gridCol w:w="1633"/>
        <w:gridCol w:w="1633"/>
      </w:tblGrid>
      <w:tr>
        <w:trPr>
          <w:trHeight w:val="360" w:hRule="atLeast"/>
        </w:trPr>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13 818 730,00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58 520 410,00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92 359 919,00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77 218 993,00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69 278 539,00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9 313 660,00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35 306 352,00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42 572 787,00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38 046 183,00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37 277 899,00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4 505 070,00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23 214 058,00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49 787 132,00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39 172 810,00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32 000 640,00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