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46e5" w14:textId="a484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сельского хозяйства Республики Казахстан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1581. Утратило силу постановлением Правительства Республики Казахстан от 10 марта 2015 года № 114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10.03.2015 </w:t>
      </w:r>
      <w:r>
        <w:rPr>
          <w:rFonts w:ascii="Times New Roman"/>
          <w:b w:val="false"/>
          <w:i w:val="false"/>
          <w:color w:val="ff0000"/>
          <w:sz w:val="28"/>
        </w:rPr>
        <w:t>№ 114</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сельского хозяйства Республики Казахстан на 2014 – 2018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1581</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сельского хозяйства</w:t>
      </w:r>
      <w:r>
        <w:br/>
      </w:r>
      <w:r>
        <w:rPr>
          <w:rFonts w:ascii="Times New Roman"/>
          <w:b/>
          <w:i w:val="false"/>
          <w:color w:val="000000"/>
        </w:rPr>
        <w:t>
Республики Казахстан на 2014 – 2018 годы</w:t>
      </w:r>
    </w:p>
    <w:bookmarkEnd w:id="2"/>
    <w:bookmarkStart w:name="z6" w:id="3"/>
    <w:p>
      <w:pPr>
        <w:spacing w:after="0"/>
        <w:ind w:left="0"/>
        <w:jc w:val="left"/>
      </w:pPr>
      <w:r>
        <w:rPr>
          <w:rFonts w:ascii="Times New Roman"/>
          <w:b/>
          <w:i w:val="false"/>
          <w:color w:val="000000"/>
        </w:rPr>
        <w:t xml:space="preserve"> 
Раздел 1. Миссия и видение</w:t>
      </w:r>
    </w:p>
    <w:bookmarkEnd w:id="3"/>
    <w:p>
      <w:pPr>
        <w:spacing w:after="0"/>
        <w:ind w:left="0"/>
        <w:jc w:val="both"/>
      </w:pPr>
      <w:r>
        <w:rPr>
          <w:rFonts w:ascii="Times New Roman"/>
          <w:b w:val="false"/>
          <w:i w:val="false"/>
          <w:color w:val="000000"/>
          <w:sz w:val="28"/>
        </w:rPr>
        <w:t>      Миссия</w:t>
      </w:r>
    </w:p>
    <w:p>
      <w:pPr>
        <w:spacing w:after="0"/>
        <w:ind w:left="0"/>
        <w:jc w:val="both"/>
      </w:pPr>
      <w:r>
        <w:rPr>
          <w:rFonts w:ascii="Times New Roman"/>
          <w:b w:val="false"/>
          <w:i w:val="false"/>
          <w:color w:val="000000"/>
          <w:sz w:val="28"/>
        </w:rPr>
        <w:t>      Создание конкурентоспособного агропромышленного комплекса путем эффективного формирования и реализации политики государства в агропромышленном комплексе.</w:t>
      </w:r>
    </w:p>
    <w:p>
      <w:pPr>
        <w:spacing w:after="0"/>
        <w:ind w:left="0"/>
        <w:jc w:val="both"/>
      </w:pPr>
      <w:r>
        <w:rPr>
          <w:rFonts w:ascii="Times New Roman"/>
          <w:b w:val="false"/>
          <w:i w:val="false"/>
          <w:color w:val="000000"/>
          <w:sz w:val="28"/>
        </w:rPr>
        <w:t>      Видение</w:t>
      </w:r>
    </w:p>
    <w:p>
      <w:pPr>
        <w:spacing w:after="0"/>
        <w:ind w:left="0"/>
        <w:jc w:val="both"/>
      </w:pPr>
      <w:r>
        <w:rPr>
          <w:rFonts w:ascii="Times New Roman"/>
          <w:b w:val="false"/>
          <w:i w:val="false"/>
          <w:color w:val="000000"/>
          <w:sz w:val="28"/>
        </w:rPr>
        <w:t>      Конкурентоспособный агропромышленный комплекс.</w:t>
      </w:r>
    </w:p>
    <w:bookmarkStart w:name="z7" w:id="4"/>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1. Развитие агропромышленного комплекса</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Основные параметры развития регулируемой отрасли или сферы деятельности</w:t>
      </w:r>
      <w:r>
        <w:br/>
      </w:r>
      <w:r>
        <w:rPr>
          <w:rFonts w:ascii="Times New Roman"/>
          <w:b w:val="false"/>
          <w:i w:val="false"/>
          <w:color w:val="000000"/>
          <w:sz w:val="28"/>
        </w:rPr>
        <w:t>
      Объем производства валовой продукции сельского хозяйства в 2012 году составил 1999,0 млрд. тенге, что на 14,3 % меньше, чем в 2011 году.</w:t>
      </w:r>
      <w:r>
        <w:br/>
      </w:r>
      <w:r>
        <w:rPr>
          <w:rFonts w:ascii="Times New Roman"/>
          <w:b w:val="false"/>
          <w:i w:val="false"/>
          <w:color w:val="000000"/>
          <w:sz w:val="28"/>
        </w:rPr>
        <w:t>
      Основной причиной снижения данного показателя являются неблагоприятные погодные условия (засуха) 2012 года.</w:t>
      </w:r>
      <w:r>
        <w:br/>
      </w:r>
      <w:r>
        <w:rPr>
          <w:rFonts w:ascii="Times New Roman"/>
          <w:b w:val="false"/>
          <w:i w:val="false"/>
          <w:color w:val="000000"/>
          <w:sz w:val="28"/>
        </w:rPr>
        <w:t>
      Производительность труда в сельском хозяйстве в 2012 году составила 3,9 тыс. долл. США.</w:t>
      </w:r>
      <w:r>
        <w:br/>
      </w:r>
      <w:r>
        <w:rPr>
          <w:rFonts w:ascii="Times New Roman"/>
          <w:b w:val="false"/>
          <w:i w:val="false"/>
          <w:color w:val="000000"/>
          <w:sz w:val="28"/>
        </w:rPr>
        <w:t>
      Приток инвестиций в основной капитал сельского хозяйства в 2012 году возрос на 22 % и составил порядка 133,9 млрд. тенге.</w:t>
      </w:r>
      <w:r>
        <w:br/>
      </w:r>
      <w:r>
        <w:rPr>
          <w:rFonts w:ascii="Times New Roman"/>
          <w:b w:val="false"/>
          <w:i w:val="false"/>
          <w:color w:val="000000"/>
          <w:sz w:val="28"/>
        </w:rPr>
        <w:t>
      В 2012 году на поддержку агропромышленного комплекса (далее – АПК) из республиканского бюджета направлено 230,2 млрд. тенге (2011 год – 253 млрд. тенге).</w:t>
      </w:r>
      <w:r>
        <w:br/>
      </w:r>
      <w:r>
        <w:rPr>
          <w:rFonts w:ascii="Times New Roman"/>
          <w:b w:val="false"/>
          <w:i w:val="false"/>
          <w:color w:val="000000"/>
          <w:sz w:val="28"/>
        </w:rPr>
        <w:t>
      При этом государственная поддержка основных потребителей (благополучателей), которыми являются сельскохозяйственные товаропроизводители (далее – СХТП) и население, осуществлялась путем субсидирования, льготного кредитования, льготного налогообложения, оказания на безвозмездной основе услуг и др.</w:t>
      </w:r>
      <w:r>
        <w:br/>
      </w:r>
      <w:r>
        <w:rPr>
          <w:rFonts w:ascii="Times New Roman"/>
          <w:b w:val="false"/>
          <w:i w:val="false"/>
          <w:color w:val="000000"/>
          <w:sz w:val="28"/>
        </w:rPr>
        <w:t>
      Растениеводство.</w:t>
      </w:r>
      <w:r>
        <w:br/>
      </w:r>
      <w:r>
        <w:rPr>
          <w:rFonts w:ascii="Times New Roman"/>
          <w:b w:val="false"/>
          <w:i w:val="false"/>
          <w:color w:val="000000"/>
          <w:sz w:val="28"/>
        </w:rPr>
        <w:t xml:space="preserve">
      По данным Агентства Республики Казахстан по статистике посевная площадь сельскохозяйственных культур в 2012 году составила 21,5 млн. га, что на 1,4 % больше уровня 2011 года. </w:t>
      </w:r>
      <w:r>
        <w:br/>
      </w:r>
      <w:r>
        <w:rPr>
          <w:rFonts w:ascii="Times New Roman"/>
          <w:b w:val="false"/>
          <w:i w:val="false"/>
          <w:color w:val="000000"/>
          <w:sz w:val="28"/>
        </w:rPr>
        <w:t>
      Площади под зерновыми культурами увеличились относительно 2011 года на 45,0 тыс. га (на 0,3 %), под пшеницей сократились на 360 тыс. га (2,6 %).</w:t>
      </w:r>
      <w:r>
        <w:br/>
      </w:r>
      <w:r>
        <w:rPr>
          <w:rFonts w:ascii="Times New Roman"/>
          <w:b w:val="false"/>
          <w:i w:val="false"/>
          <w:color w:val="000000"/>
          <w:sz w:val="28"/>
        </w:rPr>
        <w:t>
      При этом по сравнению с 2011 годом в 2012 году увеличены площади следующих культур: ячменя ярового – на 294,0 тыс. га, кукурузы – на 2,3 тыс. га, зернобобовых – на 34,2 тыс. га, сафлора – на 20,5 тыс. га, рапса – на 71,1 тыс. га, сои – на 11,5 тыс. га, льна – на 93,2 тыс. га, овоще-бахчевых культур – на 13,2 тыс. га, картофеля – на 5,6 тыс. га, кормовых культур – на 220,4 тыс. га, плодово-ягодных культур и винограда – на 3,5 тыс. га, овощей закрытого грунта – на 211,3 га.</w:t>
      </w:r>
      <w:r>
        <w:br/>
      </w:r>
      <w:r>
        <w:rPr>
          <w:rFonts w:ascii="Times New Roman"/>
          <w:b w:val="false"/>
          <w:i w:val="false"/>
          <w:color w:val="000000"/>
          <w:sz w:val="28"/>
        </w:rPr>
        <w:t>
      Валовой сбор зерна в весе после доработки в 2012 году составил 12,9 млн. тонн при урожайности 8,6 ц/га.</w:t>
      </w:r>
      <w:r>
        <w:br/>
      </w:r>
      <w:r>
        <w:rPr>
          <w:rFonts w:ascii="Times New Roman"/>
          <w:b w:val="false"/>
          <w:i w:val="false"/>
          <w:color w:val="000000"/>
          <w:sz w:val="28"/>
        </w:rPr>
        <w:t>
      В 2012 году по данным областных управлений сельского хозяйства влагоресурсосберегающие технологии применены на площади 12,4 млн. га (на 76,5 % зернового клина), что на 7 % больше уровня 2011 года, площади капельного орошения достигли 28,1 тыс. га, что на 63,4 % больше уровня 2011 года.</w:t>
      </w:r>
      <w:r>
        <w:br/>
      </w:r>
      <w:r>
        <w:rPr>
          <w:rFonts w:ascii="Times New Roman"/>
          <w:b w:val="false"/>
          <w:i w:val="false"/>
          <w:color w:val="000000"/>
          <w:sz w:val="28"/>
        </w:rPr>
        <w:t>
      Валовой сбор масличных культур составил 976,8 тыс. тонн, что позволяет обеспечить внутреннюю потребность в растительном масле на 197 %.</w:t>
      </w:r>
      <w:r>
        <w:br/>
      </w:r>
      <w:r>
        <w:rPr>
          <w:rFonts w:ascii="Times New Roman"/>
          <w:b w:val="false"/>
          <w:i w:val="false"/>
          <w:color w:val="000000"/>
          <w:sz w:val="28"/>
        </w:rPr>
        <w:t>
      Внутренняя потребность в овощных культурах покрывается на 178 %, картофеле – на 265 % (в текущем году валовой сбор по данным культурам составил более 6,0 млн. тонн (картофель – 3,1, овощи – 3,0 млн. тонн).</w:t>
      </w:r>
      <w:r>
        <w:br/>
      </w:r>
      <w:r>
        <w:rPr>
          <w:rFonts w:ascii="Times New Roman"/>
          <w:b w:val="false"/>
          <w:i w:val="false"/>
          <w:color w:val="000000"/>
          <w:sz w:val="28"/>
        </w:rPr>
        <w:t>
      В 2012 году площадь овощей закрытого грунта составила 504,9 га, из них 20,9 га занимают высокотехнологичные теплицы. При этом валовой сбор составил 60,2 тыс. тонн, что позволяет обеспечить внутреннюю потребность страны в период межсезонья на 66 %.</w:t>
      </w:r>
    </w:p>
    <w:bookmarkEnd w:id="6"/>
    <w:bookmarkStart w:name="z10" w:id="7"/>
    <w:p>
      <w:pPr>
        <w:spacing w:after="0"/>
        <w:ind w:left="0"/>
        <w:jc w:val="both"/>
      </w:pPr>
      <w:r>
        <w:rPr>
          <w:rFonts w:ascii="Times New Roman"/>
          <w:b w:val="false"/>
          <w:i w:val="false"/>
          <w:color w:val="000000"/>
          <w:sz w:val="28"/>
        </w:rPr>
        <w:t>
Анализ основных проблем</w:t>
      </w:r>
    </w:p>
    <w:bookmarkEnd w:id="7"/>
    <w:p>
      <w:pPr>
        <w:spacing w:after="0"/>
        <w:ind w:left="0"/>
        <w:jc w:val="both"/>
      </w:pPr>
      <w:r>
        <w:rPr>
          <w:rFonts w:ascii="Times New Roman"/>
          <w:b w:val="false"/>
          <w:i w:val="false"/>
          <w:color w:val="000000"/>
          <w:sz w:val="28"/>
        </w:rPr>
        <w:t>      В отрасли растениеводства существуют следующие проблемы: высокая зависимость от природно-климатических условий, низкое качество семенного материала, дефицит мощностей хранения, недостаток знаний и низкий уровень внедрения агротехнологий СХТП, недостаток финансовых средств при проведении весенне-полевых и уборочных работ, отсутствие должного высоколиквидного залогового обеспечения, высокая кредитная задолженность СХТП перед финансовыми институтами.</w:t>
      </w:r>
      <w:r>
        <w:br/>
      </w:r>
      <w:r>
        <w:rPr>
          <w:rFonts w:ascii="Times New Roman"/>
          <w:b w:val="false"/>
          <w:i w:val="false"/>
          <w:color w:val="000000"/>
          <w:sz w:val="28"/>
        </w:rPr>
        <w:t>
      Состояние гидрогеолого-мелиоративной службы характеризуется недостаточным финансированием для выполнения мониторинга орошаемых земель. Имеющиеся автотранспортные средства и буровое оборудование характеризуется износом более 80 %, в таком же состоянии находится компьютерная и офисная техника, а также специальное полевое и лабораторное оборудование. В последние годы финансирование приобретения активов по программе материально-технического оснащения прекращено.</w:t>
      </w:r>
      <w:r>
        <w:br/>
      </w:r>
      <w:r>
        <w:rPr>
          <w:rFonts w:ascii="Times New Roman"/>
          <w:b w:val="false"/>
          <w:i w:val="false"/>
          <w:color w:val="000000"/>
          <w:sz w:val="28"/>
        </w:rPr>
        <w:t>
      Из-за низкой оплаты труда работников службы ощущается недостаток кадров и не происходит ротация.</w:t>
      </w:r>
    </w:p>
    <w:bookmarkStart w:name="z11" w:id="8"/>
    <w:p>
      <w:pPr>
        <w:spacing w:after="0"/>
        <w:ind w:left="0"/>
        <w:jc w:val="both"/>
      </w:pPr>
      <w:r>
        <w:rPr>
          <w:rFonts w:ascii="Times New Roman"/>
          <w:b w:val="false"/>
          <w:i w:val="false"/>
          <w:color w:val="000000"/>
          <w:sz w:val="28"/>
        </w:rPr>
        <w:t>
Оценка основных внешних и внутренних факторов</w:t>
      </w:r>
    </w:p>
    <w:bookmarkEnd w:id="8"/>
    <w:p>
      <w:pPr>
        <w:spacing w:after="0"/>
        <w:ind w:left="0"/>
        <w:jc w:val="both"/>
      </w:pPr>
      <w:r>
        <w:rPr>
          <w:rFonts w:ascii="Times New Roman"/>
          <w:b w:val="false"/>
          <w:i w:val="false"/>
          <w:color w:val="000000"/>
          <w:sz w:val="28"/>
        </w:rPr>
        <w:t>      В целях решения существующих в отрасли растениеводства проблем и повышения привлекательности сектора будет продолжена государственная поддержка через субсидирование затрат СХТП (благополучателей) при производстве продукции растениеводства.</w:t>
      </w:r>
      <w:r>
        <w:br/>
      </w:r>
      <w:r>
        <w:rPr>
          <w:rFonts w:ascii="Times New Roman"/>
          <w:b w:val="false"/>
          <w:i w:val="false"/>
          <w:color w:val="000000"/>
          <w:sz w:val="28"/>
        </w:rPr>
        <w:t>
      Так с целью повышения экономической доступности товаров, работ и услуг, необходимых благополучателям в производственном процессе будет продолжено субсидирование стоимости закладки и выращивания плодово-ягодных садов и виноградников, проведения весенне-полевых и уборочных работ.</w:t>
      </w:r>
      <w:r>
        <w:br/>
      </w:r>
      <w:r>
        <w:rPr>
          <w:rFonts w:ascii="Times New Roman"/>
          <w:b w:val="false"/>
          <w:i w:val="false"/>
          <w:color w:val="000000"/>
          <w:sz w:val="28"/>
        </w:rPr>
        <w:t>
      В целях стимулирования СХТП на проведение мероприятий направленных на повышение урожайности и качества продукции растениеводства, планируется осуществление государственной поддержки, направленной на повышение экономической доступности минеральных удобрений и гербицидов, а также планируется обеспечить экспертизу сортовых и посевных качеств семян.</w:t>
      </w:r>
      <w:r>
        <w:br/>
      </w:r>
      <w:r>
        <w:rPr>
          <w:rFonts w:ascii="Times New Roman"/>
          <w:b w:val="false"/>
          <w:i w:val="false"/>
          <w:color w:val="000000"/>
          <w:sz w:val="28"/>
        </w:rPr>
        <w:t>
      Развитие зернового рынка республики стимулировало развитие семеноводства зерновых культур в необходимых по научно-обоснованным нормам объемах. Вместе с тем, по таким культурам, как твердая пшеница, ячмень пивоваренного назначения, бобовые, крупяные, масличные, сахарная свекла уровень производства элитных семян не удовлетворяет потребность в них.</w:t>
      </w:r>
      <w:r>
        <w:br/>
      </w:r>
      <w:r>
        <w:rPr>
          <w:rFonts w:ascii="Times New Roman"/>
          <w:b w:val="false"/>
          <w:i w:val="false"/>
          <w:color w:val="000000"/>
          <w:sz w:val="28"/>
        </w:rPr>
        <w:t>
      Учитывая важность и приоритетность вопроса развития семеноводства, будет продолжено его субсидирование.</w:t>
      </w:r>
      <w:r>
        <w:br/>
      </w:r>
      <w:r>
        <w:rPr>
          <w:rFonts w:ascii="Times New Roman"/>
          <w:b w:val="false"/>
          <w:i w:val="false"/>
          <w:color w:val="000000"/>
          <w:sz w:val="28"/>
        </w:rPr>
        <w:t>
      С целью повышения экономической доступности услуг по экспертизе качества отечественного хлопка-волокна и хлопка-сырца планируется продолжить выделение субсидий на проведение указанного вида экспертиз. Проведение экспертиз позволяет сертифицировать продукцию и реализовать ее по более высокой стоимости, что поддерживает доходы СХТП и переработчиков хлопка-сырца.</w:t>
      </w:r>
      <w:r>
        <w:br/>
      </w:r>
      <w:r>
        <w:rPr>
          <w:rFonts w:ascii="Times New Roman"/>
          <w:b w:val="false"/>
          <w:i w:val="false"/>
          <w:color w:val="000000"/>
          <w:sz w:val="28"/>
        </w:rPr>
        <w:t>
      В целях возмещения затрат водопользователей за полученные услуги по подаче воды для орошения сельскохозяйственных культур, в пределах утвержденного лимита водопользования будет продолжена государственная поддержка СХТП.</w:t>
      </w:r>
      <w:r>
        <w:br/>
      </w:r>
      <w:r>
        <w:rPr>
          <w:rFonts w:ascii="Times New Roman"/>
          <w:b w:val="false"/>
          <w:i w:val="false"/>
          <w:color w:val="000000"/>
          <w:sz w:val="28"/>
        </w:rPr>
        <w:t>
      При этом в целях реализации положений Концепции новой бюджетной политики Республики Казахстан финансирование и реализация данных мероприятий передана в базу расходов местных бюджетов. Соответственно показатели эффективности данных мер государственной поддержки будут отражены в программах развития территорий областей.</w:t>
      </w:r>
      <w:r>
        <w:br/>
      </w:r>
      <w:r>
        <w:rPr>
          <w:rFonts w:ascii="Times New Roman"/>
          <w:b w:val="false"/>
          <w:i w:val="false"/>
          <w:color w:val="000000"/>
          <w:sz w:val="28"/>
        </w:rPr>
        <w:t>
      Учитывая высокую зависимость сельскохозяйственного производства от природно-климатических условий, как внешнего фактора влияния на развитие отрасли существует необходимость дальнейшего развития системы страхования в растениеводстве для гарантирования стабильности производства сельскохозяйственной продукции (далее – сельхозпродукция).</w:t>
      </w:r>
      <w:r>
        <w:br/>
      </w:r>
      <w:r>
        <w:rPr>
          <w:rFonts w:ascii="Times New Roman"/>
          <w:b w:val="false"/>
          <w:i w:val="false"/>
          <w:color w:val="000000"/>
          <w:sz w:val="28"/>
        </w:rPr>
        <w:t>
      В этой связи, в целях повышения экономической доступности услуг для СХТП по обязательному страхованию в растениеводстве планируется осуществление государственной поддержки СХТП в форме субсидирования страховых выплат, выплаченных страховыми компаниями.</w:t>
      </w:r>
      <w:r>
        <w:br/>
      </w:r>
      <w:r>
        <w:rPr>
          <w:rFonts w:ascii="Times New Roman"/>
          <w:b w:val="false"/>
          <w:i w:val="false"/>
          <w:color w:val="000000"/>
          <w:sz w:val="28"/>
        </w:rPr>
        <w:t>
      С целью повышения экономической доступности финансов СХТП будет оказана государственная поддержка в виде субсидирования процентной ставки по кредитам и лизингу сельскохозяйственной техники (далее – сельхозтехника).</w:t>
      </w:r>
      <w:r>
        <w:br/>
      </w:r>
      <w:r>
        <w:rPr>
          <w:rFonts w:ascii="Times New Roman"/>
          <w:b w:val="false"/>
          <w:i w:val="false"/>
          <w:color w:val="000000"/>
          <w:sz w:val="28"/>
        </w:rPr>
        <w:t>
      Кроме того, с целью выявления высокопродуктивных сортов для внедрения в производство будет продолжено проведение государственных испытаний на хозяйственную полезность и экспертизы на патентоспособность новых сортов отечественной и зарубежной селекции с выявлением лучших сортов сельскохозяйственных культур по комплексу хозяйственно-ценных признаков и свойств.</w:t>
      </w:r>
      <w:r>
        <w:br/>
      </w:r>
      <w:r>
        <w:rPr>
          <w:rFonts w:ascii="Times New Roman"/>
          <w:b w:val="false"/>
          <w:i w:val="false"/>
          <w:color w:val="000000"/>
          <w:sz w:val="28"/>
        </w:rPr>
        <w:t>
      Также будет продолжено предоставление услуги по определению агрохимического состава почв с целью рационального и эффективного использования земель и повышения их плодородия.</w:t>
      </w:r>
      <w:r>
        <w:br/>
      </w:r>
      <w:r>
        <w:rPr>
          <w:rFonts w:ascii="Times New Roman"/>
          <w:b w:val="false"/>
          <w:i w:val="false"/>
          <w:color w:val="000000"/>
          <w:sz w:val="28"/>
        </w:rPr>
        <w:t>
      В целях повышения эффективности использования орошаемых земель, сохранения и улучшения мелиоративного состояния необходимо проведение мониторинга с применением современных методов и приборов для диагностирования состояния земель по степени засоления, использование систем позиционирования и картографирования, применение спутниковой информации.</w:t>
      </w:r>
      <w:r>
        <w:br/>
      </w:r>
      <w:r>
        <w:rPr>
          <w:rFonts w:ascii="Times New Roman"/>
          <w:b w:val="false"/>
          <w:i w:val="false"/>
          <w:color w:val="000000"/>
          <w:sz w:val="28"/>
        </w:rPr>
        <w:t>
      В перспективе предполагается расширение зоны деятельности гидрогеолого-мелиоративной службы с захватом мониторинга орошаемых земель республики (на площади 2,1 млн. га.).</w:t>
      </w:r>
      <w:r>
        <w:br/>
      </w:r>
      <w:r>
        <w:rPr>
          <w:rFonts w:ascii="Times New Roman"/>
          <w:b w:val="false"/>
          <w:i w:val="false"/>
          <w:color w:val="000000"/>
          <w:sz w:val="28"/>
        </w:rPr>
        <w:t>
      Учитывая прямую зависимость притока молодых специалистов от уровня заработной платы, существует необходимость дальнейшего совершенствования системы оплаты труда гражданских служащих (для работников сельского хозяйства).</w:t>
      </w:r>
      <w:r>
        <w:br/>
      </w:r>
      <w:r>
        <w:rPr>
          <w:rFonts w:ascii="Times New Roman"/>
          <w:b w:val="false"/>
          <w:i w:val="false"/>
          <w:color w:val="000000"/>
          <w:sz w:val="28"/>
        </w:rPr>
        <w:t>
      Животноводство.</w:t>
      </w:r>
      <w:r>
        <w:br/>
      </w:r>
      <w:r>
        <w:rPr>
          <w:rFonts w:ascii="Times New Roman"/>
          <w:b w:val="false"/>
          <w:i w:val="false"/>
          <w:color w:val="000000"/>
          <w:sz w:val="28"/>
        </w:rPr>
        <w:t>
      В 2012 году удельный вес численности крупного рогатого скота (далее – КРС) от общего поголовья в домашних хозяйствах составил 72,3 %, в сельскохозяйственных предприятиях (далее – сельхозпредприятие) – 6,8 %, крестьянских фермерских хозяйствах – 30 %; по численности овец и коз – соответственно 65,1 %; 4,6 % и 30,3 %; лошадей – 58,9 %; 6,2 % и 34,9 %; свиней – 66,5 %; 22,7 % и 10,8 %; верблюдов – 60,9 %; 9 % и 30,1 %; птицы – 38,1 %; 60,9 % и 1 %.</w:t>
      </w:r>
      <w:r>
        <w:br/>
      </w:r>
      <w:r>
        <w:rPr>
          <w:rFonts w:ascii="Times New Roman"/>
          <w:b w:val="false"/>
          <w:i w:val="false"/>
          <w:color w:val="000000"/>
          <w:sz w:val="28"/>
        </w:rPr>
        <w:t>
      За 2012 год в сравнении с 2011 годом численность КРС снизилась на 0,2 % и составила 5690,0 тыс. голов; соответственно овец и коз – на 2,5 % и 17633,3 тыс. голов; свиней – на 14,3 % и 1031,6 тыс. голов; верблюдов – на 4,9 % и 164,8 тыс. голов.</w:t>
      </w:r>
      <w:r>
        <w:br/>
      </w:r>
      <w:r>
        <w:rPr>
          <w:rFonts w:ascii="Times New Roman"/>
          <w:b w:val="false"/>
          <w:i w:val="false"/>
          <w:color w:val="000000"/>
          <w:sz w:val="28"/>
        </w:rPr>
        <w:t>
      Вместе с тем, численность лошадей возросла на 4,9 % и составила</w:t>
      </w:r>
      <w:r>
        <w:br/>
      </w:r>
      <w:r>
        <w:rPr>
          <w:rFonts w:ascii="Times New Roman"/>
          <w:b w:val="false"/>
          <w:i w:val="false"/>
          <w:color w:val="000000"/>
          <w:sz w:val="28"/>
        </w:rPr>
        <w:t>
1686,2 тыс. голов, птицы на 1,8 % и 33474,0 тыс. голов.</w:t>
      </w:r>
      <w:r>
        <w:br/>
      </w:r>
      <w:r>
        <w:rPr>
          <w:rFonts w:ascii="Times New Roman"/>
          <w:b w:val="false"/>
          <w:i w:val="false"/>
          <w:color w:val="000000"/>
          <w:sz w:val="28"/>
        </w:rPr>
        <w:t>
      При этом, снижение наблюдается только в личных подсобных хозяйствах.</w:t>
      </w:r>
      <w:r>
        <w:br/>
      </w:r>
      <w:r>
        <w:rPr>
          <w:rFonts w:ascii="Times New Roman"/>
          <w:b w:val="false"/>
          <w:i w:val="false"/>
          <w:color w:val="000000"/>
          <w:sz w:val="28"/>
        </w:rPr>
        <w:t>
      Итоги 2012 года показали положительную динамику в численности поголовья сельхозяйственных животных (далее – сельхозживотные) и производстве животноводческой продукции в агроформированиях.</w:t>
      </w:r>
      <w:r>
        <w:br/>
      </w:r>
      <w:r>
        <w:rPr>
          <w:rFonts w:ascii="Times New Roman"/>
          <w:b w:val="false"/>
          <w:i w:val="false"/>
          <w:color w:val="000000"/>
          <w:sz w:val="28"/>
        </w:rPr>
        <w:t>
      Так, численность КРС по сравнению с 2011 годом увеличилась на 18,9 %, лошадей – на 15,7 %, овец – на 3 %, коз – на 3,4 %, птиц – на 6,6 %.</w:t>
      </w:r>
      <w:r>
        <w:br/>
      </w:r>
      <w:r>
        <w:rPr>
          <w:rFonts w:ascii="Times New Roman"/>
          <w:b w:val="false"/>
          <w:i w:val="false"/>
          <w:color w:val="000000"/>
          <w:sz w:val="28"/>
        </w:rPr>
        <w:t>
      За 2012 год производство мяса в убойной массе составило 934,1 тыс. тонн и уменьшилось по сравнению с 2011 годом на 0,6 %, соответственно молока – 4851,6 тыс. тонн или на 7,3 %, яиц – 3673,5 млн. штук или на 1,2 %, шерсти – 38,4 тыс. тонн или на 0,1 %.</w:t>
      </w:r>
      <w:r>
        <w:br/>
      </w:r>
      <w:r>
        <w:rPr>
          <w:rFonts w:ascii="Times New Roman"/>
          <w:b w:val="false"/>
          <w:i w:val="false"/>
          <w:color w:val="000000"/>
          <w:sz w:val="28"/>
        </w:rPr>
        <w:t>
      При этом в агроформированиях в 2012 году реализация на убой всех видов скота и птицы в убойной массе увеличилась на 12,7 % и составила 259,4 тыс. тонн, соответственно молока на 14,6 % или 710,4 тыс. тонн.</w:t>
      </w:r>
      <w:r>
        <w:br/>
      </w:r>
      <w:r>
        <w:rPr>
          <w:rFonts w:ascii="Times New Roman"/>
          <w:b w:val="false"/>
          <w:i w:val="false"/>
          <w:color w:val="000000"/>
          <w:sz w:val="28"/>
        </w:rPr>
        <w:t>
      Вместе с тем, повышается продуктивность скота и птицы. За 2012 год в сравнении с 2011 годом средний удой молока на 1 корову в сельхозформированиях увеличился на 359 л и составил 5654 л.</w:t>
      </w:r>
      <w:r>
        <w:br/>
      </w:r>
      <w:r>
        <w:rPr>
          <w:rFonts w:ascii="Times New Roman"/>
          <w:b w:val="false"/>
          <w:i w:val="false"/>
          <w:color w:val="000000"/>
          <w:sz w:val="28"/>
        </w:rPr>
        <w:t>
      По состоянию на 1 января 2013 года база племенного животноводства представлена 581 хозяйствующими субъектами. Из них занимаются выращиванием и реализацией племенного молодняка сельхозживотных 557 субъектов, из которых 42 племенных завода и 515 племенных хозяйства.</w:t>
      </w:r>
      <w:r>
        <w:br/>
      </w:r>
      <w:r>
        <w:rPr>
          <w:rFonts w:ascii="Times New Roman"/>
          <w:b w:val="false"/>
          <w:i w:val="false"/>
          <w:color w:val="000000"/>
          <w:sz w:val="28"/>
        </w:rPr>
        <w:t>
      Производством и реализацией семени производителей сельхозживотных занимаются 24 субъектов в области племенного животноводства, в том числе 2 племенных и 22 дистрибьютерных центра.</w:t>
      </w:r>
      <w:r>
        <w:br/>
      </w:r>
      <w:r>
        <w:rPr>
          <w:rFonts w:ascii="Times New Roman"/>
          <w:b w:val="false"/>
          <w:i w:val="false"/>
          <w:color w:val="000000"/>
          <w:sz w:val="28"/>
        </w:rPr>
        <w:t>
      Вместе с тем животноводство республики все еще характеризуется низким уровнем генетического потенциала сельхозживотных.</w:t>
      </w:r>
      <w:r>
        <w:br/>
      </w:r>
      <w:r>
        <w:rPr>
          <w:rFonts w:ascii="Times New Roman"/>
          <w:b w:val="false"/>
          <w:i w:val="false"/>
          <w:color w:val="000000"/>
          <w:sz w:val="28"/>
        </w:rPr>
        <w:t>
      По состоянию на 1 января 2013 года удельный вес племенного поголовья КРС в республике составил 8,2 % от общего поголовья, овец – 14,0 %, свиней – 19,1 %, лошадей – 6,8 %, верблюдов – 10,6 % и птицы – 11,8 %.</w:t>
      </w:r>
    </w:p>
    <w:bookmarkStart w:name="z12" w:id="9"/>
    <w:p>
      <w:pPr>
        <w:spacing w:after="0"/>
        <w:ind w:left="0"/>
        <w:jc w:val="both"/>
      </w:pPr>
      <w:r>
        <w:rPr>
          <w:rFonts w:ascii="Times New Roman"/>
          <w:b w:val="false"/>
          <w:i w:val="false"/>
          <w:color w:val="000000"/>
          <w:sz w:val="28"/>
        </w:rPr>
        <w:t>
Анализ основных проблем</w:t>
      </w:r>
    </w:p>
    <w:bookmarkEnd w:id="9"/>
    <w:p>
      <w:pPr>
        <w:spacing w:after="0"/>
        <w:ind w:left="0"/>
        <w:jc w:val="both"/>
      </w:pPr>
      <w:r>
        <w:rPr>
          <w:rFonts w:ascii="Times New Roman"/>
          <w:b w:val="false"/>
          <w:i w:val="false"/>
          <w:color w:val="000000"/>
          <w:sz w:val="28"/>
        </w:rPr>
        <w:t>      В связи с тем, что большая доля сельхозживотных находится в личных подсобных хозяйствах населения, отрасли животноводства присущи такие характеристики как низкий генетический потенциал животных, низкое использование современных технологий содержания, кормления и других технологий, что приводит к низкой продуктивности и качеству продукции, не позволяет обеспечить растущий спрос на внутреннем рынке, ведет к высокой себестоимости животноводческой продукции и снижению конкурентоспособности, приводит к формированию импортозависимости.</w:t>
      </w:r>
      <w:r>
        <w:br/>
      </w:r>
      <w:r>
        <w:rPr>
          <w:rFonts w:ascii="Times New Roman"/>
          <w:b w:val="false"/>
          <w:i w:val="false"/>
          <w:color w:val="000000"/>
          <w:sz w:val="28"/>
        </w:rPr>
        <w:t>
      Кроме того, не используется потенциал естественных пастбищ в связи с недоступностью источников воды для поения животных.</w:t>
      </w:r>
    </w:p>
    <w:bookmarkStart w:name="z13" w:id="10"/>
    <w:p>
      <w:pPr>
        <w:spacing w:after="0"/>
        <w:ind w:left="0"/>
        <w:jc w:val="both"/>
      </w:pPr>
      <w:r>
        <w:rPr>
          <w:rFonts w:ascii="Times New Roman"/>
          <w:b w:val="false"/>
          <w:i w:val="false"/>
          <w:color w:val="000000"/>
          <w:sz w:val="28"/>
        </w:rPr>
        <w:t>
Оценка основных внешних и внутренних факторов</w:t>
      </w:r>
    </w:p>
    <w:bookmarkEnd w:id="10"/>
    <w:p>
      <w:pPr>
        <w:spacing w:after="0"/>
        <w:ind w:left="0"/>
        <w:jc w:val="both"/>
      </w:pPr>
      <w:r>
        <w:rPr>
          <w:rFonts w:ascii="Times New Roman"/>
          <w:b w:val="false"/>
          <w:i w:val="false"/>
          <w:color w:val="000000"/>
          <w:sz w:val="28"/>
        </w:rPr>
        <w:t>      Для развития отрасли животноводства и стимулирования СХТП к технологической модернизации производства, а также повышению объемов и качества производимой животноводческой продукции предполагается продолжить государственную поддержку производителей животноводческой продукции. Государственная поддержка будет направлена на возмещение затрат СХТП (благополучателей) на производство животноводческой продукции.</w:t>
      </w:r>
      <w:r>
        <w:br/>
      </w:r>
      <w:r>
        <w:rPr>
          <w:rFonts w:ascii="Times New Roman"/>
          <w:b w:val="false"/>
          <w:i w:val="false"/>
          <w:color w:val="000000"/>
          <w:sz w:val="28"/>
        </w:rPr>
        <w:t>
      В целях повышения удельного веса племенных животных и увеличения продуктивных качеств сельхозживотных будет продолжено возмещение затрат СХТП по приобретению племенного материала (животных, семени и эмбрионов) и оказана поддержка товаропроизводителям, занимающимся улучшением качественного состава и породных качеств сельхозживотных, в виде субсидирования затрат по содержанию племенного маточного поголовья и племенных быков-производителей, а также по проведению селекционных и племенных работ.</w:t>
      </w:r>
      <w:r>
        <w:br/>
      </w:r>
      <w:r>
        <w:rPr>
          <w:rFonts w:ascii="Times New Roman"/>
          <w:b w:val="false"/>
          <w:i w:val="false"/>
          <w:color w:val="000000"/>
          <w:sz w:val="28"/>
        </w:rPr>
        <w:t>
      Государственная поддержка СХТП будет также распространяться на развитие овцеводства, коневодства, верблюдоводства и птицеводства, что создаст условия для увеличения доли племенного поголовья в общем стаде сельхозживотных и повысит их продуктивность.</w:t>
      </w:r>
      <w:r>
        <w:br/>
      </w:r>
      <w:r>
        <w:rPr>
          <w:rFonts w:ascii="Times New Roman"/>
          <w:b w:val="false"/>
          <w:i w:val="false"/>
          <w:color w:val="000000"/>
          <w:sz w:val="28"/>
        </w:rPr>
        <w:t>
      Будет оказана поддержка отечественным птицефабрикам по приобретению племенного материала (суточных цыплят и инкубационного яйца).</w:t>
      </w:r>
      <w:r>
        <w:br/>
      </w:r>
      <w:r>
        <w:rPr>
          <w:rFonts w:ascii="Times New Roman"/>
          <w:b w:val="false"/>
          <w:i w:val="false"/>
          <w:color w:val="000000"/>
          <w:sz w:val="28"/>
        </w:rPr>
        <w:t>
      При этом в целях реализации положений Концепции новой бюджетной политики Республики Казахстан реализация данных мероприятий передана в базу расходов местных бюджетов. Соответственно показатели эффективности данных мер государственной поддержки будут отражены в программах развития территорий областей.</w:t>
      </w:r>
      <w:r>
        <w:br/>
      </w:r>
      <w:r>
        <w:rPr>
          <w:rFonts w:ascii="Times New Roman"/>
          <w:b w:val="false"/>
          <w:i w:val="false"/>
          <w:color w:val="000000"/>
          <w:sz w:val="28"/>
        </w:rPr>
        <w:t>
      С целью повышения экономической доступности финансов СХТП будет оказана государственная поддержка в виде субсидирования процентной ставки по кредитам.</w:t>
      </w:r>
      <w:r>
        <w:br/>
      </w:r>
      <w:r>
        <w:rPr>
          <w:rFonts w:ascii="Times New Roman"/>
          <w:b w:val="false"/>
          <w:i w:val="false"/>
          <w:color w:val="000000"/>
          <w:sz w:val="28"/>
        </w:rPr>
        <w:t>
      Помимо этого в целях развития отгонного животноводства и обеспечения необходимой инфраструктурой пастбищных участков будет внедрено инвестиционное субсидирование затрат СХТП.</w:t>
      </w:r>
      <w:r>
        <w:br/>
      </w:r>
      <w:r>
        <w:rPr>
          <w:rFonts w:ascii="Times New Roman"/>
          <w:b w:val="false"/>
          <w:i w:val="false"/>
          <w:color w:val="000000"/>
          <w:sz w:val="28"/>
        </w:rPr>
        <w:t>
      Производство и переработка продукции АПК.</w:t>
      </w:r>
      <w:r>
        <w:br/>
      </w:r>
      <w:r>
        <w:rPr>
          <w:rFonts w:ascii="Times New Roman"/>
          <w:b w:val="false"/>
          <w:i w:val="false"/>
          <w:color w:val="000000"/>
          <w:sz w:val="28"/>
        </w:rPr>
        <w:t>
      Объемы производства продуктов питания в 2012 году в денежном выражении составили 833 млрд. тенге, что на 2,9 % больше, чем 2011 году.</w:t>
      </w:r>
      <w:r>
        <w:br/>
      </w:r>
      <w:r>
        <w:rPr>
          <w:rFonts w:ascii="Times New Roman"/>
          <w:b w:val="false"/>
          <w:i w:val="false"/>
          <w:color w:val="000000"/>
          <w:sz w:val="28"/>
        </w:rPr>
        <w:t>
      В 2012 году по сравнению с 2011 годом отмечается рост производства муки, крупы, растительного масла, молока обработанного, сыра и творога, кисломолочных продуктов, колбасных изделий, мясных консервов.</w:t>
      </w:r>
      <w:r>
        <w:br/>
      </w:r>
      <w:r>
        <w:rPr>
          <w:rFonts w:ascii="Times New Roman"/>
          <w:b w:val="false"/>
          <w:i w:val="false"/>
          <w:color w:val="000000"/>
          <w:sz w:val="28"/>
        </w:rPr>
        <w:t>
      Объем внешнеторгового товарооборота по продуктам переработки сельскохозяйственного сырья и пищевой промышленности страны в 2012 году составил 4 057,3 млн. долл. США, что на 5,7 % больше объема 2011 года (3 838,5 млн. долл. США).</w:t>
      </w:r>
      <w:r>
        <w:br/>
      </w:r>
      <w:r>
        <w:rPr>
          <w:rFonts w:ascii="Times New Roman"/>
          <w:b w:val="false"/>
          <w:i w:val="false"/>
          <w:color w:val="000000"/>
          <w:sz w:val="28"/>
        </w:rPr>
        <w:t>
      При этом объем экспорта по продуктам переработки сельскохозяйственного сырья и пищевой промышленности увеличился на 11,5 % (с 1 001,8 до 1 117,1 млн. долл. США). В частности, увеличились объемы экспорта муки на 18 %, растительных масел и макаронных изделий в 2 раза, маргарина на 2 % и кисломолочных продуктов на 34 %.</w:t>
      </w:r>
      <w:r>
        <w:br/>
      </w:r>
      <w:r>
        <w:rPr>
          <w:rFonts w:ascii="Times New Roman"/>
          <w:b w:val="false"/>
          <w:i w:val="false"/>
          <w:color w:val="000000"/>
          <w:sz w:val="28"/>
        </w:rPr>
        <w:t xml:space="preserve">
      Объем импорта в 2012 году по сравнению с 2011 годом увеличился на 3,6 % и составил 2 940,2 млн. долл. США. </w:t>
      </w:r>
      <w:r>
        <w:br/>
      </w:r>
      <w:r>
        <w:rPr>
          <w:rFonts w:ascii="Times New Roman"/>
          <w:b w:val="false"/>
          <w:i w:val="false"/>
          <w:color w:val="000000"/>
          <w:sz w:val="28"/>
        </w:rPr>
        <w:t>
      В натуральном выражении основной объем импорта приходится на плодоовощные консервы, молочные продукты, мясо птицы, кондитерские изделия, завозимые в основном из стран Таможенного Союза и дальнего зарубежья.</w:t>
      </w:r>
    </w:p>
    <w:bookmarkStart w:name="z14" w:id="11"/>
    <w:p>
      <w:pPr>
        <w:spacing w:after="0"/>
        <w:ind w:left="0"/>
        <w:jc w:val="both"/>
      </w:pPr>
      <w:r>
        <w:rPr>
          <w:rFonts w:ascii="Times New Roman"/>
          <w:b w:val="false"/>
          <w:i w:val="false"/>
          <w:color w:val="000000"/>
          <w:sz w:val="28"/>
        </w:rPr>
        <w:t>
Анализ основных проблем</w:t>
      </w:r>
    </w:p>
    <w:bookmarkEnd w:id="11"/>
    <w:p>
      <w:pPr>
        <w:spacing w:after="0"/>
        <w:ind w:left="0"/>
        <w:jc w:val="both"/>
      </w:pPr>
      <w:r>
        <w:rPr>
          <w:rFonts w:ascii="Times New Roman"/>
          <w:b w:val="false"/>
          <w:i w:val="false"/>
          <w:color w:val="000000"/>
          <w:sz w:val="28"/>
        </w:rPr>
        <w:t>      Основными сдерживающими факторами развития перерабатывающего сектора являются низкое качество и дефицит сырья, неразвитость торгово-логистической инфраструктуры и логистики по заготовке, транспортировке и хранению сырья, моральный и физический износ оборудования перерабатывающих предприятий, отсутствие оборотных средств на закуп сырья.</w:t>
      </w:r>
    </w:p>
    <w:bookmarkStart w:name="z15" w:id="12"/>
    <w:p>
      <w:pPr>
        <w:spacing w:after="0"/>
        <w:ind w:left="0"/>
        <w:jc w:val="both"/>
      </w:pPr>
      <w:r>
        <w:rPr>
          <w:rFonts w:ascii="Times New Roman"/>
          <w:b w:val="false"/>
          <w:i w:val="false"/>
          <w:color w:val="000000"/>
          <w:sz w:val="28"/>
        </w:rPr>
        <w:t>
Оценка основных внешних и внутренних факторов</w:t>
      </w:r>
    </w:p>
    <w:bookmarkEnd w:id="12"/>
    <w:p>
      <w:pPr>
        <w:spacing w:after="0"/>
        <w:ind w:left="0"/>
        <w:jc w:val="both"/>
      </w:pPr>
      <w:r>
        <w:rPr>
          <w:rFonts w:ascii="Times New Roman"/>
          <w:b w:val="false"/>
          <w:i w:val="false"/>
          <w:color w:val="000000"/>
          <w:sz w:val="28"/>
        </w:rPr>
        <w:t>      В сфере переработки сельхозпродукции будет продолжена работа по техническому и технологическому перевооружению производства, с тем, чтобы повысить качество отечественной продукции, расширить ассортимент продовольственных товаров и тем самым создать равные условия для конкуренции с основными торговыми партнерами по Таможенному Союзу.</w:t>
      </w:r>
      <w:r>
        <w:br/>
      </w:r>
      <w:r>
        <w:rPr>
          <w:rFonts w:ascii="Times New Roman"/>
          <w:b w:val="false"/>
          <w:i w:val="false"/>
          <w:color w:val="000000"/>
          <w:sz w:val="28"/>
        </w:rPr>
        <w:t>
      В этой связи, будет продолжена государственная поддержка предприятий по переработке сельхозпродукции путем субсидирования процентной ставки кредитов полученных на приобретение основных и оборотных средств.</w:t>
      </w:r>
      <w:r>
        <w:br/>
      </w:r>
      <w:r>
        <w:rPr>
          <w:rFonts w:ascii="Times New Roman"/>
          <w:b w:val="false"/>
          <w:i w:val="false"/>
          <w:color w:val="000000"/>
          <w:sz w:val="28"/>
        </w:rPr>
        <w:t>
      Техническое оснащение АПК.</w:t>
      </w:r>
      <w:r>
        <w:br/>
      </w:r>
      <w:r>
        <w:rPr>
          <w:rFonts w:ascii="Times New Roman"/>
          <w:b w:val="false"/>
          <w:i w:val="false"/>
          <w:color w:val="000000"/>
          <w:sz w:val="28"/>
        </w:rPr>
        <w:t>
      СХТП в последние пять лет приобретается более высокопроизводительная техника ведущих мировых производителей.</w:t>
      </w:r>
      <w:r>
        <w:br/>
      </w:r>
      <w:r>
        <w:rPr>
          <w:rFonts w:ascii="Times New Roman"/>
          <w:b w:val="false"/>
          <w:i w:val="false"/>
          <w:color w:val="000000"/>
          <w:sz w:val="28"/>
        </w:rPr>
        <w:t>
      В 2012 году приобретено более 1,0 тыс. зерноуборочных комбайнов, 1,8 тыс. тракторов, 203 посевных комплекса. При этом в 2012 году общий процент обновления составил порядка 1,6 %, в том числе: комбайнов – 2,3 %, тракторов – 1,2 %, посевных комплексов – 7 %, жаток – 1,9 %.</w:t>
      </w:r>
      <w:r>
        <w:br/>
      </w:r>
      <w:r>
        <w:rPr>
          <w:rFonts w:ascii="Times New Roman"/>
          <w:b w:val="false"/>
          <w:i w:val="false"/>
          <w:color w:val="000000"/>
          <w:sz w:val="28"/>
        </w:rPr>
        <w:t>
      В результате в 2012 году энергообеспечение сельскохозяйственного производства возросло по сравнению с 2002 годом на 19,6 % и составило 168 лошадиных сил или 125 кВт на 100 га пашни.</w:t>
      </w:r>
    </w:p>
    <w:bookmarkStart w:name="z16" w:id="13"/>
    <w:p>
      <w:pPr>
        <w:spacing w:after="0"/>
        <w:ind w:left="0"/>
        <w:jc w:val="both"/>
      </w:pPr>
      <w:r>
        <w:rPr>
          <w:rFonts w:ascii="Times New Roman"/>
          <w:b w:val="false"/>
          <w:i w:val="false"/>
          <w:color w:val="000000"/>
          <w:sz w:val="28"/>
        </w:rPr>
        <w:t>
Анализ основных проблем</w:t>
      </w:r>
    </w:p>
    <w:bookmarkEnd w:id="13"/>
    <w:p>
      <w:pPr>
        <w:spacing w:after="0"/>
        <w:ind w:left="0"/>
        <w:jc w:val="both"/>
      </w:pPr>
      <w:r>
        <w:rPr>
          <w:rFonts w:ascii="Times New Roman"/>
          <w:b w:val="false"/>
          <w:i w:val="false"/>
          <w:color w:val="000000"/>
          <w:sz w:val="28"/>
        </w:rPr>
        <w:t>      Несмотря на динамику роста абсолютного количества машин и оборудования 80 % парка сельхозтехники Республики Казахстан изношено. Средний возраст более 80 % зерноуборочных комбайнов и тракторов составляет 13-14 лет, при нормативном сроке эксплуатации 8-10 лет, списанию подлежит 71 % зерноуборочных комбайнов, 93 % тракторов и 95 % сеялок.</w:t>
      </w:r>
    </w:p>
    <w:bookmarkStart w:name="z17" w:id="14"/>
    <w:p>
      <w:pPr>
        <w:spacing w:after="0"/>
        <w:ind w:left="0"/>
        <w:jc w:val="both"/>
      </w:pPr>
      <w:r>
        <w:rPr>
          <w:rFonts w:ascii="Times New Roman"/>
          <w:b w:val="false"/>
          <w:i w:val="false"/>
          <w:color w:val="000000"/>
          <w:sz w:val="28"/>
        </w:rPr>
        <w:t>
Оценка основных внешних и внутренних факторов</w:t>
      </w:r>
    </w:p>
    <w:bookmarkEnd w:id="14"/>
    <w:p>
      <w:pPr>
        <w:spacing w:after="0"/>
        <w:ind w:left="0"/>
        <w:jc w:val="both"/>
      </w:pPr>
      <w:r>
        <w:rPr>
          <w:rFonts w:ascii="Times New Roman"/>
          <w:b w:val="false"/>
          <w:i w:val="false"/>
          <w:color w:val="000000"/>
          <w:sz w:val="28"/>
        </w:rPr>
        <w:t>      В целях обновления и расширения парка сельхозтехники будет продолжена государственная поддержка СХТП путем субсидирования ставки вознаграждения по лизингу выданным субъектам АПК на приобретение сельхозтехники.</w:t>
      </w:r>
      <w:r>
        <w:br/>
      </w:r>
      <w:r>
        <w:rPr>
          <w:rFonts w:ascii="Times New Roman"/>
          <w:b w:val="false"/>
          <w:i w:val="false"/>
          <w:color w:val="000000"/>
          <w:sz w:val="28"/>
        </w:rPr>
        <w:t>
      Научное обеспечение АПК.</w:t>
      </w:r>
      <w:r>
        <w:br/>
      </w:r>
      <w:r>
        <w:rPr>
          <w:rFonts w:ascii="Times New Roman"/>
          <w:b w:val="false"/>
          <w:i w:val="false"/>
          <w:color w:val="000000"/>
          <w:sz w:val="28"/>
        </w:rPr>
        <w:t>
      В структуре Министерства сельского хозяйства Республики Казахстан (далее – МСХ РК) в 2007 году создано Акционерное общество «КазАгроИнновация» (далее – АО «КазАгроИнновация», в состав которого вошли отраслевые научно-исследовательские организации и сельскохозяйственные опытные станции.</w:t>
      </w:r>
      <w:r>
        <w:br/>
      </w:r>
      <w:r>
        <w:rPr>
          <w:rFonts w:ascii="Times New Roman"/>
          <w:b w:val="false"/>
          <w:i w:val="false"/>
          <w:color w:val="000000"/>
          <w:sz w:val="28"/>
        </w:rPr>
        <w:t>
      С 2009 года в составе АО «КазАгроИнновация» действуют система распространения знаний, отраслевой офис коммерциализации технологий, республиканский центр племенного животноводства «Асыл-Тулик» и издательство «Бастау».</w:t>
      </w:r>
      <w:r>
        <w:br/>
      </w:r>
      <w:r>
        <w:rPr>
          <w:rFonts w:ascii="Times New Roman"/>
          <w:b w:val="false"/>
          <w:i w:val="false"/>
          <w:color w:val="000000"/>
          <w:sz w:val="28"/>
        </w:rPr>
        <w:t>
      Объем финансирования научных исследований в среднем за последние три года составил 3,3 млрд. тенге в год, что составляло 0,17 – 0,25 % от валового продукта отрасли.</w:t>
      </w:r>
      <w:r>
        <w:br/>
      </w:r>
      <w:r>
        <w:rPr>
          <w:rFonts w:ascii="Times New Roman"/>
          <w:b w:val="false"/>
          <w:i w:val="false"/>
          <w:color w:val="000000"/>
          <w:sz w:val="28"/>
        </w:rPr>
        <w:t>
      В результате проведения селекционных и биологических (физиолого-биохимических, биотехнологических, иммунологических, технологических) исследований, широкого экологического сортоиспытания научно-исследовательскими организациями Казахстана создано и передано на государственное сортоиспытание 39 сортов и гибридов сельскохозяйственных культур.</w:t>
      </w:r>
      <w:r>
        <w:br/>
      </w:r>
      <w:r>
        <w:rPr>
          <w:rFonts w:ascii="Times New Roman"/>
          <w:b w:val="false"/>
          <w:i w:val="false"/>
          <w:color w:val="000000"/>
          <w:sz w:val="28"/>
        </w:rPr>
        <w:t>
      Доля посевных площадей зерновых культур под сортами отечественной селекции от общей посевной площади составила 42,1 % или 6,8 млн. га.</w:t>
      </w:r>
      <w:r>
        <w:br/>
      </w:r>
      <w:r>
        <w:rPr>
          <w:rFonts w:ascii="Times New Roman"/>
          <w:b w:val="false"/>
          <w:i w:val="false"/>
          <w:color w:val="000000"/>
          <w:sz w:val="28"/>
        </w:rPr>
        <w:t>
      Созданы 3 заводские линии казахской белоголовой породы, 4 заводские линии: Мергена, Сарыайгыра, Палуанторы и Баумугалжарской породы лошадей, заводской тип казахских мясных скороспелых полутонкорунных овец (КМСП), коллекционный банк источника дезоксирибонуклеиновой кислоты (ДНК) овец смушковой породы разных окрасок в количестве 208 образцов, 3 рецепта комбикормов, 1 рецептура комбикорма для стерляди.</w:t>
      </w:r>
      <w:r>
        <w:br/>
      </w:r>
      <w:r>
        <w:rPr>
          <w:rFonts w:ascii="Times New Roman"/>
          <w:b w:val="false"/>
          <w:i w:val="false"/>
          <w:color w:val="000000"/>
          <w:sz w:val="28"/>
        </w:rPr>
        <w:t>
      В области ветеринарии разработаны 2 моюще-дезинфицирующих средства, 5 лечебно-профилактических препаратов. Выпущены 5 рекомендаций, 1 практикум по гельминтологическому исследованию животных.</w:t>
      </w:r>
      <w:r>
        <w:br/>
      </w:r>
      <w:r>
        <w:rPr>
          <w:rFonts w:ascii="Times New Roman"/>
          <w:b w:val="false"/>
          <w:i w:val="false"/>
          <w:color w:val="000000"/>
          <w:sz w:val="28"/>
        </w:rPr>
        <w:t>
      Подготовка кадров.</w:t>
      </w:r>
      <w:r>
        <w:br/>
      </w:r>
      <w:r>
        <w:rPr>
          <w:rFonts w:ascii="Times New Roman"/>
          <w:b w:val="false"/>
          <w:i w:val="false"/>
          <w:color w:val="000000"/>
          <w:sz w:val="28"/>
        </w:rPr>
        <w:t xml:space="preserve">
      Подготовка кадров для АПК осуществляется в более 10 высших учебных заведениях по 18 специальностям и 168 сельских учебных заведениях технического и профессионального образования по 25 специальностям. </w:t>
      </w:r>
      <w:r>
        <w:br/>
      </w:r>
      <w:r>
        <w:rPr>
          <w:rFonts w:ascii="Times New Roman"/>
          <w:b w:val="false"/>
          <w:i w:val="false"/>
          <w:color w:val="000000"/>
          <w:sz w:val="28"/>
        </w:rPr>
        <w:t>
      Наиболее востребованы агрономы, зоотехники, ветеринарно-санитарные врачи и фельдшеры, фермер-менеджеры, инженер-механики, инженер-технологи мясных и молочных продуктов, по переработке зерна и хлебопекарного производства, техники-технологи, техники-электрики, техники-землеустроители, мастера-наладчики, электромонтеры, трактористы-машинисты и др.</w:t>
      </w:r>
    </w:p>
    <w:bookmarkStart w:name="z18" w:id="15"/>
    <w:p>
      <w:pPr>
        <w:spacing w:after="0"/>
        <w:ind w:left="0"/>
        <w:jc w:val="both"/>
      </w:pPr>
      <w:r>
        <w:rPr>
          <w:rFonts w:ascii="Times New Roman"/>
          <w:b w:val="false"/>
          <w:i w:val="false"/>
          <w:color w:val="000000"/>
          <w:sz w:val="28"/>
        </w:rPr>
        <w:t>
Анализ основных проблем</w:t>
      </w:r>
    </w:p>
    <w:bookmarkEnd w:id="15"/>
    <w:p>
      <w:pPr>
        <w:spacing w:after="0"/>
        <w:ind w:left="0"/>
        <w:jc w:val="both"/>
      </w:pPr>
      <w:r>
        <w:rPr>
          <w:rFonts w:ascii="Times New Roman"/>
          <w:b w:val="false"/>
          <w:i w:val="false"/>
          <w:color w:val="000000"/>
          <w:sz w:val="28"/>
        </w:rPr>
        <w:t>      Современное состояние аграрной науки Казахстана характеризуется недостаточным финансированием, трудностями во внедрении научных разработок, недостаточным развитием системы распространения знаний, отсутствием доступного финансирования на начальных этапах внедрения инноваций, неразвитым спросом на инновационные разработки и др.</w:t>
      </w:r>
      <w:r>
        <w:br/>
      </w:r>
      <w:r>
        <w:rPr>
          <w:rFonts w:ascii="Times New Roman"/>
          <w:b w:val="false"/>
          <w:i w:val="false"/>
          <w:color w:val="000000"/>
          <w:sz w:val="28"/>
        </w:rPr>
        <w:t>
      Кроме того, аграрный сектор постоянно испытывает острый недостаток в высококвалифицированных кадрах. Это, прежде всего, связано со спецификой отрасли. Во-первых, отрасль остается одной из низкооплачиваемых (по данным Агенства Республики Казахстан по статистике на 1 января 2011 года среднемесячная заработная плата в сельском хозяйстве составила 36332 тенге, в промышленности – 93043 тенге, в целом по республике – 77482 тенге).</w:t>
      </w:r>
      <w:r>
        <w:br/>
      </w:r>
      <w:r>
        <w:rPr>
          <w:rFonts w:ascii="Times New Roman"/>
          <w:b w:val="false"/>
          <w:i w:val="false"/>
          <w:color w:val="000000"/>
          <w:sz w:val="28"/>
        </w:rPr>
        <w:t>
      Во-вторых, в сравнении с городской социальная инфраструктура сельской местности все еще значительно отстает.</w:t>
      </w:r>
      <w:r>
        <w:br/>
      </w:r>
      <w:r>
        <w:rPr>
          <w:rFonts w:ascii="Times New Roman"/>
          <w:b w:val="false"/>
          <w:i w:val="false"/>
          <w:color w:val="000000"/>
          <w:sz w:val="28"/>
        </w:rPr>
        <w:t>
      В-третьих, условия труда сельских работников намного труднее, чем работников других отраслей. Все эти причины обуславливают низкий уровень трудоустройства выпускников аграрных специальностей.</w:t>
      </w:r>
    </w:p>
    <w:bookmarkStart w:name="z19" w:id="16"/>
    <w:p>
      <w:pPr>
        <w:spacing w:after="0"/>
        <w:ind w:left="0"/>
        <w:jc w:val="both"/>
      </w:pPr>
      <w:r>
        <w:rPr>
          <w:rFonts w:ascii="Times New Roman"/>
          <w:b w:val="false"/>
          <w:i w:val="false"/>
          <w:color w:val="000000"/>
          <w:sz w:val="28"/>
        </w:rPr>
        <w:t>
Оценка основных внешних и внутренних факторов</w:t>
      </w:r>
    </w:p>
    <w:bookmarkEnd w:id="16"/>
    <w:p>
      <w:pPr>
        <w:spacing w:after="0"/>
        <w:ind w:left="0"/>
        <w:jc w:val="both"/>
      </w:pPr>
      <w:r>
        <w:rPr>
          <w:rFonts w:ascii="Times New Roman"/>
          <w:b w:val="false"/>
          <w:i w:val="false"/>
          <w:color w:val="000000"/>
          <w:sz w:val="28"/>
        </w:rPr>
        <w:t>      С целью обеспечения субъектам агробизнеса доступа к современным технологиям и передовым научным разработкам в АПК будет продолжена работа по реформированию отечественной системы аграрной науки.</w:t>
      </w:r>
      <w:r>
        <w:br/>
      </w:r>
      <w:r>
        <w:rPr>
          <w:rFonts w:ascii="Times New Roman"/>
          <w:b w:val="false"/>
          <w:i w:val="false"/>
          <w:color w:val="000000"/>
          <w:sz w:val="28"/>
        </w:rPr>
        <w:t>
      Конечной целью реформирования будет являться построение устойчивой системы генерации и распространения конкурентоспособных инноваций в АПК.</w:t>
      </w:r>
      <w:r>
        <w:br/>
      </w:r>
      <w:r>
        <w:rPr>
          <w:rFonts w:ascii="Times New Roman"/>
          <w:b w:val="false"/>
          <w:i w:val="false"/>
          <w:color w:val="000000"/>
          <w:sz w:val="28"/>
        </w:rPr>
        <w:t>
      Со стороны государства, в целях повышения результативности, эффективности и конкурентоспособности результатов научных исследований будут созданы необходимые организационные условия и выделены финансовые ресурсы для завершения реформирования отечественной аграрной науки и ее дальнейшего развития.</w:t>
      </w:r>
      <w:r>
        <w:br/>
      </w:r>
      <w:r>
        <w:rPr>
          <w:rFonts w:ascii="Times New Roman"/>
          <w:b w:val="false"/>
          <w:i w:val="false"/>
          <w:color w:val="000000"/>
          <w:sz w:val="28"/>
        </w:rPr>
        <w:t>
      С целью развития государственно-частного партнерства в сфере создания и внедрения инноваций в АПК будут созданы условия для привлечения частных инвестиций в данную сферу с последовательным увеличением доли частных инвестиций до уровня стран с интенсивным сельским хозяйством.</w:t>
      </w:r>
      <w:r>
        <w:br/>
      </w:r>
      <w:r>
        <w:rPr>
          <w:rFonts w:ascii="Times New Roman"/>
          <w:b w:val="false"/>
          <w:i w:val="false"/>
          <w:color w:val="000000"/>
          <w:sz w:val="28"/>
        </w:rPr>
        <w:t>
      С целью повышения экономической доступности образовательных услуг и результатов аграрной науки работа по внедрению научных разработок предполагает осуществление государственной поддержки агробизнеса в виде субсидий.</w:t>
      </w:r>
      <w:r>
        <w:br/>
      </w:r>
      <w:r>
        <w:rPr>
          <w:rFonts w:ascii="Times New Roman"/>
          <w:b w:val="false"/>
          <w:i w:val="false"/>
          <w:color w:val="000000"/>
          <w:sz w:val="28"/>
        </w:rPr>
        <w:t>
      В целях поддержания эффективной обратной связи между субъектами АПК и государственными структурами, аграрной наукой и системой профессионального образования будет продолжено предоставление бесплатной консультационной помощи СХТП в рамках системы распространения знаний.</w:t>
      </w:r>
      <w:r>
        <w:br/>
      </w:r>
      <w:r>
        <w:rPr>
          <w:rFonts w:ascii="Times New Roman"/>
          <w:b w:val="false"/>
          <w:i w:val="false"/>
          <w:color w:val="000000"/>
          <w:sz w:val="28"/>
        </w:rPr>
        <w:t>
      Учитывая, что подготовка кадров является смежной с АПК сферой деятельности и входит в компетенцию Министерства образования и науки Республики Казахстан, МСХ РК ежегодно в соответствии с мониторингом обеспеченности аграрного сектора кадрами направляет в Министерство образования и науки Республики Казахстан заявку о потребности кадров по специальностям АПК для формирования государственного образовательного заказа на текущий учебный год.</w:t>
      </w:r>
      <w:r>
        <w:br/>
      </w:r>
      <w:r>
        <w:rPr>
          <w:rFonts w:ascii="Times New Roman"/>
          <w:b w:val="false"/>
          <w:i w:val="false"/>
          <w:color w:val="000000"/>
          <w:sz w:val="28"/>
        </w:rPr>
        <w:t>
      Фитосанитарная безопасность.</w:t>
      </w:r>
      <w:r>
        <w:br/>
      </w:r>
      <w:r>
        <w:rPr>
          <w:rFonts w:ascii="Times New Roman"/>
          <w:b w:val="false"/>
          <w:i w:val="false"/>
          <w:color w:val="000000"/>
          <w:sz w:val="28"/>
        </w:rPr>
        <w:t>
      Уровень фитосанитарной безопасности в Республике Казахстан находится в удовлетворительном состоянии с низким количеством случаев запрета на вывоз продукции растениеводства из Казахстана.</w:t>
      </w:r>
    </w:p>
    <w:bookmarkStart w:name="z20" w:id="17"/>
    <w:p>
      <w:pPr>
        <w:spacing w:after="0"/>
        <w:ind w:left="0"/>
        <w:jc w:val="both"/>
      </w:pPr>
      <w:r>
        <w:rPr>
          <w:rFonts w:ascii="Times New Roman"/>
          <w:b w:val="false"/>
          <w:i w:val="false"/>
          <w:color w:val="000000"/>
          <w:sz w:val="28"/>
        </w:rPr>
        <w:t>
Анализ основных проблем</w:t>
      </w:r>
    </w:p>
    <w:bookmarkEnd w:id="17"/>
    <w:p>
      <w:pPr>
        <w:spacing w:after="0"/>
        <w:ind w:left="0"/>
        <w:jc w:val="both"/>
      </w:pPr>
      <w:r>
        <w:rPr>
          <w:rFonts w:ascii="Times New Roman"/>
          <w:b w:val="false"/>
          <w:i w:val="false"/>
          <w:color w:val="000000"/>
          <w:sz w:val="28"/>
        </w:rPr>
        <w:t>      Ключевыми проблемами развития системы фитосанитарной безопасности являются устаревшие методы и недостаточный уровень проведения мониторинговых мероприятий и лабораторных экспертиз по определению видового состава карантинных объектов, отсутствие систематического анализа фитосанитарного риска, слабое оснащение государственных учреждений в области фитосанитарной безопасности.</w:t>
      </w:r>
    </w:p>
    <w:bookmarkStart w:name="z21" w:id="18"/>
    <w:p>
      <w:pPr>
        <w:spacing w:after="0"/>
        <w:ind w:left="0"/>
        <w:jc w:val="both"/>
      </w:pPr>
      <w:r>
        <w:rPr>
          <w:rFonts w:ascii="Times New Roman"/>
          <w:b w:val="false"/>
          <w:i w:val="false"/>
          <w:color w:val="000000"/>
          <w:sz w:val="28"/>
        </w:rPr>
        <w:t>
Оценка основных внешних и внутренних факторов</w:t>
      </w:r>
    </w:p>
    <w:bookmarkEnd w:id="18"/>
    <w:p>
      <w:pPr>
        <w:spacing w:after="0"/>
        <w:ind w:left="0"/>
        <w:jc w:val="both"/>
      </w:pPr>
      <w:r>
        <w:rPr>
          <w:rFonts w:ascii="Times New Roman"/>
          <w:b w:val="false"/>
          <w:i w:val="false"/>
          <w:color w:val="000000"/>
          <w:sz w:val="28"/>
        </w:rPr>
        <w:t>      В целях обеспечения фитосанитарной безопасности необходимо своевременное проведение мониторинга за развитием и распространением карантинных, особо опасных и вредных организмов, составление прогноза их распространения с применением современного оборудования, определение координат их распространения для проведения мероприятий по локализации и ликвидации очагов распространения карантинных вредных организмов и по борьбе с вредными и особо опасными организмами.</w:t>
      </w:r>
      <w:r>
        <w:br/>
      </w:r>
      <w:r>
        <w:rPr>
          <w:rFonts w:ascii="Times New Roman"/>
          <w:b w:val="false"/>
          <w:i w:val="false"/>
          <w:color w:val="000000"/>
          <w:sz w:val="28"/>
        </w:rPr>
        <w:t>
      Ветеринарная и пищевая безопасность.</w:t>
      </w:r>
      <w:r>
        <w:br/>
      </w:r>
      <w:r>
        <w:rPr>
          <w:rFonts w:ascii="Times New Roman"/>
          <w:b w:val="false"/>
          <w:i w:val="false"/>
          <w:color w:val="000000"/>
          <w:sz w:val="28"/>
        </w:rPr>
        <w:t>
      В 2012 году было зарегистрировано 166 очагов острых инфекционных болезней. По сравнению с 2011 годом количество зарегистрированных очагов имеют тенденцию снижения и уменьшилось на 61 очага (зарегистрировано 166 против 227 очагов). Отмечается уменьшение количества вспышек бешенства на 43 очага, эмкара на 15, пастереллеза на 9, листериоза на 3 очага.</w:t>
      </w:r>
    </w:p>
    <w:bookmarkStart w:name="z22" w:id="19"/>
    <w:p>
      <w:pPr>
        <w:spacing w:after="0"/>
        <w:ind w:left="0"/>
        <w:jc w:val="both"/>
      </w:pPr>
      <w:r>
        <w:rPr>
          <w:rFonts w:ascii="Times New Roman"/>
          <w:b w:val="false"/>
          <w:i w:val="false"/>
          <w:color w:val="000000"/>
          <w:sz w:val="28"/>
        </w:rPr>
        <w:t>
Анализ основных проблем</w:t>
      </w:r>
    </w:p>
    <w:bookmarkEnd w:id="19"/>
    <w:p>
      <w:pPr>
        <w:spacing w:after="0"/>
        <w:ind w:left="0"/>
        <w:jc w:val="both"/>
      </w:pPr>
      <w:r>
        <w:rPr>
          <w:rFonts w:ascii="Times New Roman"/>
          <w:b w:val="false"/>
          <w:i w:val="false"/>
          <w:color w:val="000000"/>
          <w:sz w:val="28"/>
        </w:rPr>
        <w:t>      Имеется ряд факторов сдерживающих развитие системы ветеринарной безопасности. Такие как, несовершенство законодательной базы в области ветеринарии, институциональное несовершенство системы ветеринарии, недостатки в развертывании ветеринарной сети организаций и их оснащение, низкое качество проведения ветеринарных мероприятий, несоответствие международным стандартам и слабая интеграция с международными организациями.</w:t>
      </w:r>
    </w:p>
    <w:bookmarkStart w:name="z23" w:id="20"/>
    <w:p>
      <w:pPr>
        <w:spacing w:after="0"/>
        <w:ind w:left="0"/>
        <w:jc w:val="both"/>
      </w:pPr>
      <w:r>
        <w:rPr>
          <w:rFonts w:ascii="Times New Roman"/>
          <w:b w:val="false"/>
          <w:i w:val="false"/>
          <w:color w:val="000000"/>
          <w:sz w:val="28"/>
        </w:rPr>
        <w:t>
Оценка основных внешних и внутренних факторов</w:t>
      </w:r>
    </w:p>
    <w:bookmarkEnd w:id="20"/>
    <w:p>
      <w:pPr>
        <w:spacing w:after="0"/>
        <w:ind w:left="0"/>
        <w:jc w:val="both"/>
      </w:pPr>
      <w:r>
        <w:rPr>
          <w:rFonts w:ascii="Times New Roman"/>
          <w:b w:val="false"/>
          <w:i w:val="false"/>
          <w:color w:val="000000"/>
          <w:sz w:val="28"/>
        </w:rPr>
        <w:t>      В целях приведения деятельности ветеринарных лабораторий с требованиями международных стандартов с 2007 года проводится работа по строительству и модернизации их материально-технического состояния. На сегодняшний день введено в эксплуатацию 48 объектов, в том числе 11 областных и 37 районных ветеринарных лабораторий.</w:t>
      </w:r>
      <w:r>
        <w:br/>
      </w:r>
      <w:r>
        <w:rPr>
          <w:rFonts w:ascii="Times New Roman"/>
          <w:b w:val="false"/>
          <w:i w:val="false"/>
          <w:color w:val="000000"/>
          <w:sz w:val="28"/>
        </w:rPr>
        <w:t>
      В целях обеспечения качества к закупаемым ветеринарным препаратам и диагностикумам ужесточены требования к ним, в частности в 2011 году по некоторым диагностикумам закуп был осуществлен с учетом международных требований.</w:t>
      </w:r>
      <w:r>
        <w:br/>
      </w:r>
      <w:r>
        <w:rPr>
          <w:rFonts w:ascii="Times New Roman"/>
          <w:b w:val="false"/>
          <w:i w:val="false"/>
          <w:color w:val="000000"/>
          <w:sz w:val="28"/>
        </w:rPr>
        <w:t>
      Планируемое вступление во Всемирную Торговую Организацию требует от СХТП поставку качественной и безопасной продукции, соответствующей международным стандартам пищевой безопасности. В этой связи, в рамках сотрудничества с международными организациями планируется проработать вопрос совершенствования законодательной базы, пересмотреть стратегии борьбы с заболеваниями животных, создать развернутую сеть лабораторий с интегрированной информационной системой для контроля, надзора и мониторинга за заболеваниями.</w:t>
      </w:r>
      <w:r>
        <w:br/>
      </w:r>
      <w:r>
        <w:rPr>
          <w:rFonts w:ascii="Times New Roman"/>
          <w:b w:val="false"/>
          <w:i w:val="false"/>
          <w:color w:val="000000"/>
          <w:sz w:val="28"/>
        </w:rPr>
        <w:t>
      Кроме того, в основу эффективности проведения профилактических мероприятий будет заложена система использования ветеринарных диагностических и иммунопрофилактических препаратов, соответствующих международным стандартам, в т.ч. GMP/GLP с поэтапным развитием отечественной биопромышленности, где примут участие ведущие производители мира.</w:t>
      </w:r>
    </w:p>
    <w:bookmarkStart w:name="z24" w:id="21"/>
    <w:p>
      <w:pPr>
        <w:spacing w:after="0"/>
        <w:ind w:left="0"/>
        <w:jc w:val="both"/>
      </w:pPr>
      <w:r>
        <w:rPr>
          <w:rFonts w:ascii="Times New Roman"/>
          <w:b w:val="false"/>
          <w:i w:val="false"/>
          <w:color w:val="000000"/>
          <w:sz w:val="28"/>
        </w:rPr>
        <w:t>
</w:t>
      </w:r>
      <w:r>
        <w:rPr>
          <w:rFonts w:ascii="Times New Roman"/>
          <w:b/>
          <w:i w:val="false"/>
          <w:color w:val="000000"/>
          <w:sz w:val="28"/>
        </w:rPr>
        <w:t>   Раздел 3. Стратегические направления, цели, задачи, целевые</w:t>
      </w:r>
      <w:r>
        <w:br/>
      </w:r>
      <w:r>
        <w:rPr>
          <w:rFonts w:ascii="Times New Roman"/>
          <w:b w:val="false"/>
          <w:i w:val="false"/>
          <w:color w:val="000000"/>
          <w:sz w:val="28"/>
        </w:rPr>
        <w:t>
          </w:t>
      </w:r>
      <w:r>
        <w:rPr>
          <w:rFonts w:ascii="Times New Roman"/>
          <w:b/>
          <w:i w:val="false"/>
          <w:color w:val="000000"/>
          <w:sz w:val="28"/>
        </w:rPr>
        <w:t>индикаторы, мероприятия и показатели результатов</w:t>
      </w:r>
    </w:p>
    <w:bookmarkEnd w:id="21"/>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26.06.2014 </w:t>
      </w:r>
      <w:r>
        <w:rPr>
          <w:rFonts w:ascii="Times New Roman"/>
          <w:b w:val="false"/>
          <w:i w:val="false"/>
          <w:color w:val="ff0000"/>
          <w:sz w:val="28"/>
        </w:rPr>
        <w:t>№ 705</w:t>
      </w:r>
      <w:r>
        <w:rPr>
          <w:rFonts w:ascii="Times New Roman"/>
          <w:b w:val="false"/>
          <w:i w:val="false"/>
          <w:color w:val="ff0000"/>
          <w:sz w:val="28"/>
        </w:rPr>
        <w:t>.</w:t>
      </w:r>
    </w:p>
    <w:bookmarkStart w:name="z25" w:id="22"/>
    <w:p>
      <w:pPr>
        <w:spacing w:after="0"/>
        <w:ind w:left="0"/>
        <w:jc w:val="both"/>
      </w:pPr>
      <w:r>
        <w:rPr>
          <w:rFonts w:ascii="Times New Roman"/>
          <w:b w:val="false"/>
          <w:i w:val="false"/>
          <w:color w:val="000000"/>
          <w:sz w:val="28"/>
        </w:rPr>
        <w:t>
</w:t>
      </w:r>
      <w:r>
        <w:rPr>
          <w:rFonts w:ascii="Times New Roman"/>
          <w:b/>
          <w:i w:val="false"/>
          <w:color w:val="000000"/>
          <w:sz w:val="28"/>
        </w:rPr>
        <w:t>  Раздел 3.1. Стратегические направления, цели, задачи, целевые</w:t>
      </w:r>
      <w:r>
        <w:br/>
      </w:r>
      <w:r>
        <w:rPr>
          <w:rFonts w:ascii="Times New Roman"/>
          <w:b w:val="false"/>
          <w:i w:val="false"/>
          <w:color w:val="000000"/>
          <w:sz w:val="28"/>
        </w:rPr>
        <w:t>
           </w:t>
      </w:r>
      <w:r>
        <w:rPr>
          <w:rFonts w:ascii="Times New Roman"/>
          <w:b/>
          <w:i w:val="false"/>
          <w:color w:val="000000"/>
          <w:sz w:val="28"/>
        </w:rPr>
        <w:t>индикаторы, мероприятия и показатели результатов</w:t>
      </w:r>
    </w:p>
    <w:bookmarkEnd w:id="22"/>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                         Стратегическое направление 1.</w:t>
      </w:r>
      <w:r>
        <w:br/>
      </w:r>
      <w:r>
        <w:rPr>
          <w:rFonts w:ascii="Times New Roman"/>
          <w:b w:val="false"/>
          <w:i w:val="false"/>
          <w:color w:val="000000"/>
          <w:sz w:val="28"/>
        </w:rPr>
        <w:t>
                        </w:t>
      </w:r>
      <w:r>
        <w:rPr>
          <w:rFonts w:ascii="Times New Roman"/>
          <w:b/>
          <w:i w:val="false"/>
          <w:color w:val="000000"/>
          <w:sz w:val="28"/>
        </w:rPr>
        <w:t>Развитие агропромышленного комплекса.</w:t>
      </w:r>
    </w:p>
    <w:bookmarkEnd w:id="23"/>
    <w:bookmarkStart w:name="z27" w:id="24"/>
    <w:p>
      <w:pPr>
        <w:spacing w:after="0"/>
        <w:ind w:left="0"/>
        <w:jc w:val="both"/>
      </w:pPr>
      <w:r>
        <w:rPr>
          <w:rFonts w:ascii="Times New Roman"/>
          <w:b w:val="false"/>
          <w:i w:val="false"/>
          <w:color w:val="000000"/>
          <w:sz w:val="28"/>
        </w:rPr>
        <w:t>
      Цель 1.1. Создание условий для повышения конкурентоспособности субъектов АПК Республики Казахстан.</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001, 023, 043, 074, 212, 224, 225, 227, 228.</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352"/>
        <w:gridCol w:w="1305"/>
        <w:gridCol w:w="1190"/>
        <w:gridCol w:w="1153"/>
        <w:gridCol w:w="927"/>
        <w:gridCol w:w="933"/>
        <w:gridCol w:w="933"/>
        <w:gridCol w:w="933"/>
        <w:gridCol w:w="928"/>
      </w:tblGrid>
      <w:tr>
        <w:trPr>
          <w:trHeight w:val="30" w:hRule="atLeast"/>
        </w:trPr>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 срока</w:t>
            </w:r>
            <w:r>
              <w:br/>
            </w:r>
            <w:r>
              <w:rPr>
                <w:rFonts w:ascii="Times New Roman"/>
                <w:b w:val="false"/>
                <w:i w:val="false"/>
                <w:color w:val="000000"/>
                <w:sz w:val="20"/>
              </w:rPr>
              <w:t>
</w:t>
            </w:r>
            <w:r>
              <w:rPr>
                <w:rFonts w:ascii="Times New Roman"/>
                <w:b w:val="false"/>
                <w:i w:val="false"/>
                <w:color w:val="000000"/>
                <w:sz w:val="20"/>
              </w:rPr>
              <w:t>(периода) достижения)</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Валовая добавленная стоимость сельского хозяйства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Рост производства продукции растениеводства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Рост производства продукции животноводства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Производительность труда в сельском хозяйстве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Объем экспорта АПК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долларов США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Доля отечественного производства продовольственных товаров в общем объеме их ресурсов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Рост посевных площадей сельскохозяйственных культур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Урожайность зерновых культур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Затраты воды на орошение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Оросительная норма воды в среднем по республике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/га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Доля поливных площадей на которых внедрена система капельного орошения и другие водосберегающие технологии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Доля переработки:</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расчетным путем</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Позиция Республики Казахстан в рейтинге Глобального индекса конкурентоспособности Всемирного экономического форума по показателю «Обременительность аграрной политики»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экономического форума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Позиция Республики Казахстан в рейтинге Глобального индекса конкурентоспособности Всемирного экономического форума по показателю «Прозрачность принимаемых решений государственными органами»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экономического форума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Позиция Республики Казахстан в рейтинге Глобального индекса конкурентоспособности Всемирного экономического форума по показателю «Фаворитизм в решениях государственных служащих»</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экономического форума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Позиция Республики Казахстан в рейтинге Глобального индекса конкурентоспособности Всемирного экономического форума по показателю «Общественное доверие политикам»</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экономического форума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29" w:id="25"/>
    <w:p>
      <w:pPr>
        <w:spacing w:after="0"/>
        <w:ind w:left="0"/>
        <w:jc w:val="both"/>
      </w:pPr>
      <w:r>
        <w:rPr>
          <w:rFonts w:ascii="Times New Roman"/>
          <w:b w:val="false"/>
          <w:i w:val="false"/>
          <w:color w:val="000000"/>
          <w:sz w:val="28"/>
        </w:rPr>
        <w:t>
               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1.1.1. Повышение экономической доступности</w:t>
      </w:r>
      <w:r>
        <w:br/>
      </w:r>
      <w:r>
        <w:rPr>
          <w:rFonts w:ascii="Times New Roman"/>
          <w:b w:val="false"/>
          <w:i w:val="false"/>
          <w:color w:val="000000"/>
          <w:sz w:val="28"/>
        </w:rPr>
        <w:t>
                           страхования в растениеводстве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1352"/>
        <w:gridCol w:w="1308"/>
        <w:gridCol w:w="1220"/>
        <w:gridCol w:w="1167"/>
        <w:gridCol w:w="936"/>
        <w:gridCol w:w="936"/>
        <w:gridCol w:w="936"/>
        <w:gridCol w:w="936"/>
        <w:gridCol w:w="954"/>
      </w:tblGrid>
      <w:tr>
        <w:trPr>
          <w:trHeight w:val="30" w:hRule="atLeast"/>
        </w:trPr>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посевных площадей, охваченных страхованием</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субсидирование страховых выплат при страховании в растениеводстве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1" w:id="26"/>
    <w:p>
      <w:pPr>
        <w:spacing w:after="0"/>
        <w:ind w:left="0"/>
        <w:jc w:val="both"/>
      </w:pPr>
      <w:r>
        <w:rPr>
          <w:rFonts w:ascii="Times New Roman"/>
          <w:b w:val="false"/>
          <w:i w:val="false"/>
          <w:color w:val="000000"/>
          <w:sz w:val="28"/>
        </w:rPr>
        <w:t>
  Задача 1.1.2. Повышение экономической доступности кредитов и лизинга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1551"/>
        <w:gridCol w:w="1551"/>
        <w:gridCol w:w="1295"/>
        <w:gridCol w:w="1295"/>
        <w:gridCol w:w="1039"/>
        <w:gridCol w:w="1039"/>
        <w:gridCol w:w="1040"/>
        <w:gridCol w:w="1040"/>
        <w:gridCol w:w="1040"/>
      </w:tblGrid>
      <w:tr>
        <w:trPr>
          <w:trHeight w:val="3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Сумма кредитов, включая лизинг, выданных субъектам АПК за счет субсидирования ставок вознаграждения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Количество прокредитованных субъектов АПК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Количество кредитных товариществ, обеспеченных кредитными ресурсами для дальнейшего кредитования СХТП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Количество маточного поголовья КРС, приобретаемого сельхозтоваропроизводителями за счет кредитных ресурсов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Возместить ставки вознаграждения по кредитам и лизингу, выданным субъектам АПК на пополнение основных и оборотных средств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Обеспечить кредитование специализированных организаций в целях проведения мероприятий по поддержке субъектов АПК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27"/>
    <w:p>
      <w:pPr>
        <w:spacing w:after="0"/>
        <w:ind w:left="0"/>
        <w:jc w:val="both"/>
      </w:pPr>
      <w:r>
        <w:rPr>
          <w:rFonts w:ascii="Times New Roman"/>
          <w:b w:val="false"/>
          <w:i w:val="false"/>
          <w:color w:val="000000"/>
          <w:sz w:val="28"/>
        </w:rPr>
        <w:t>
                  Задача 1.1.3. Финансовое оздоровление.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1345"/>
        <w:gridCol w:w="1291"/>
        <w:gridCol w:w="1199"/>
        <w:gridCol w:w="1199"/>
        <w:gridCol w:w="926"/>
        <w:gridCol w:w="926"/>
        <w:gridCol w:w="926"/>
        <w:gridCol w:w="926"/>
        <w:gridCol w:w="944"/>
      </w:tblGrid>
      <w:tr>
        <w:trPr>
          <w:trHeight w:val="30" w:hRule="atLeast"/>
        </w:trPr>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 субсидирования процентной ставки по займам в рамках финансового оздоровления субъектов АПК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год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субсидирование процентной ставки по кредитным и лизинговым обязательствам в рамках направления по финансовому оздоровлению субъектов АПК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 w:id="28"/>
    <w:p>
      <w:pPr>
        <w:spacing w:after="0"/>
        <w:ind w:left="0"/>
        <w:jc w:val="both"/>
      </w:pPr>
      <w:r>
        <w:rPr>
          <w:rFonts w:ascii="Times New Roman"/>
          <w:b w:val="false"/>
          <w:i w:val="false"/>
          <w:color w:val="000000"/>
          <w:sz w:val="28"/>
        </w:rPr>
        <w:t>
     Задача 1.1.4 Повышение экономической доступности образовательных</w:t>
      </w:r>
      <w:r>
        <w:br/>
      </w:r>
      <w:r>
        <w:rPr>
          <w:rFonts w:ascii="Times New Roman"/>
          <w:b w:val="false"/>
          <w:i w:val="false"/>
          <w:color w:val="000000"/>
          <w:sz w:val="28"/>
        </w:rPr>
        <w:t>
         услуг, результатов аграрной науки и консультационных услуг</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1345"/>
        <w:gridCol w:w="1291"/>
        <w:gridCol w:w="1199"/>
        <w:gridCol w:w="1199"/>
        <w:gridCol w:w="926"/>
        <w:gridCol w:w="926"/>
        <w:gridCol w:w="926"/>
        <w:gridCol w:w="926"/>
        <w:gridCol w:w="944"/>
      </w:tblGrid>
      <w:tr>
        <w:trPr>
          <w:trHeight w:val="30" w:hRule="atLeast"/>
        </w:trPr>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субъектов АПК, охваченных услугами системы распространения знаний</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научное обеспечение АПК, в том числе: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программно-целевое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грантовое финансирование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базовое финансирование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Осуществить развитие системы передачи знаний</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Осуществить информационно-консультационное обеспечение субъектов АПК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Задача 1.1.5. Повышение экономической доступности товаров, работ и услуг для производства продукции глубокой переработки сельскохозяйственного сырья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1551"/>
        <w:gridCol w:w="1295"/>
        <w:gridCol w:w="1551"/>
        <w:gridCol w:w="1295"/>
        <w:gridCol w:w="1039"/>
        <w:gridCol w:w="1039"/>
        <w:gridCol w:w="1040"/>
        <w:gridCol w:w="1040"/>
        <w:gridCol w:w="1040"/>
      </w:tblGrid>
      <w:tr>
        <w:trPr>
          <w:trHeight w:val="3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год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год</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 произведенного сухого молока, охваченного субсидированием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данные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Объем произведенного сливочного масла, охваченного субсидированием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данные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Объем произведенных сыров, охваченных субсидированием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данные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Объем произведенной сахарной свеклы, охваченной субсидированием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данные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тонн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Обеспечить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Задача 1.1.6. Повышение доступности товаров, работ и услуг в рамках реализации приоритетных инвестиционных 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1551"/>
        <w:gridCol w:w="1295"/>
        <w:gridCol w:w="1551"/>
        <w:gridCol w:w="1295"/>
        <w:gridCol w:w="1039"/>
        <w:gridCol w:w="1039"/>
        <w:gridCol w:w="1040"/>
        <w:gridCol w:w="1040"/>
        <w:gridCol w:w="1040"/>
      </w:tblGrid>
      <w:tr>
        <w:trPr>
          <w:trHeight w:val="3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информации</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год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год</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 привлеченных инвестиций за счет инвестиционных субсидий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данные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тенге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Возместить часть расходов, понесенных субъектом АПК при инвестиционных вложениях, направленных на создание новых либо расширение действующих производственных мощностей</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4" w:id="29"/>
    <w:p>
      <w:pPr>
        <w:spacing w:after="0"/>
        <w:ind w:left="0"/>
        <w:jc w:val="both"/>
      </w:pPr>
      <w:r>
        <w:rPr>
          <w:rFonts w:ascii="Times New Roman"/>
          <w:b w:val="false"/>
          <w:i w:val="false"/>
          <w:color w:val="000000"/>
          <w:sz w:val="28"/>
        </w:rPr>
        <w:t>
      Цель 1.2. Развитие государственных систем обеспечения субъектов АПК.</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201, 214, 215, 216, 220.</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1347"/>
        <w:gridCol w:w="1300"/>
        <w:gridCol w:w="1200"/>
        <w:gridCol w:w="1200"/>
        <w:gridCol w:w="926"/>
        <w:gridCol w:w="926"/>
        <w:gridCol w:w="926"/>
        <w:gridCol w:w="926"/>
        <w:gridCol w:w="926"/>
      </w:tblGrid>
      <w:tr>
        <w:trPr>
          <w:trHeight w:val="30" w:hRule="atLeast"/>
        </w:trPr>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Коэффициент угрозы распространения карантинных и особо опасных вредных организмов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пищевой продукции, подверженной мониторинговым лабораторным исследованиям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r>
    </w:tbl>
    <w:bookmarkStart w:name="z36" w:id="30"/>
    <w:p>
      <w:pPr>
        <w:spacing w:after="0"/>
        <w:ind w:left="0"/>
        <w:jc w:val="both"/>
      </w:pPr>
      <w:r>
        <w:rPr>
          <w:rFonts w:ascii="Times New Roman"/>
          <w:b w:val="false"/>
          <w:i w:val="false"/>
          <w:color w:val="000000"/>
          <w:sz w:val="28"/>
        </w:rPr>
        <w:t>
           Задача 1.2.1. Развитие системы фитосанитарной безопасности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1344"/>
        <w:gridCol w:w="1298"/>
        <w:gridCol w:w="1198"/>
        <w:gridCol w:w="1199"/>
        <w:gridCol w:w="925"/>
        <w:gridCol w:w="925"/>
        <w:gridCol w:w="926"/>
        <w:gridCol w:w="926"/>
        <w:gridCol w:w="944"/>
      </w:tblGrid>
      <w:tr>
        <w:trPr>
          <w:trHeight w:val="30" w:hRule="atLeast"/>
        </w:trPr>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площадей химическими обработками в сравнении с выявленными площадями по особо опасным вредным организмам, в том числе</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вредителей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болезней зерновых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год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Провести химическую обработку против особо опасных вредителей, болезней сельскохозяйственных культур и карантинных объектов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Провести маршрутные обследования по выявлению особо опасных вредителей, болезней сельскохозяйственных культур и карантинных объектов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Осуществить оснащение современным оборудованием лабораторий по исследованию вредителей, сорняков и болезней растений и подведомственных организаций в области фитосанитарной безопасности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7" w:id="31"/>
    <w:p>
      <w:pPr>
        <w:spacing w:after="0"/>
        <w:ind w:left="0"/>
        <w:jc w:val="both"/>
      </w:pPr>
      <w:r>
        <w:rPr>
          <w:rFonts w:ascii="Times New Roman"/>
          <w:b w:val="false"/>
          <w:i w:val="false"/>
          <w:color w:val="000000"/>
          <w:sz w:val="28"/>
        </w:rPr>
        <w:t>
             Задача 1.2.2. Развитие системы ветеринарной безопасности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336"/>
        <w:gridCol w:w="1291"/>
        <w:gridCol w:w="1195"/>
        <w:gridCol w:w="1195"/>
        <w:gridCol w:w="923"/>
        <w:gridCol w:w="923"/>
        <w:gridCol w:w="924"/>
        <w:gridCol w:w="924"/>
        <w:gridCol w:w="942"/>
      </w:tblGrid>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однотипных модульных зданий районных ветеринарных лабораторий</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Провести диагностические исследования заболеваний животных на особо опасные инфекции с использованием ветеринарных препаратов, производство которых сертифицировано по международному стандарту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Провести противоэпизоотические мероприятия на местном уровне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Провести референтные исследования по ветеринарии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Обеспечить материально-техническое оснащение ветеринарных лабораторий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Обеспечить своевременное выявление, локализацию и оздоровление очагов инфекции по особо опасным заболеваниям животных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Обеспечить закуп ветеринарных препаратов против особо опасных болезней животных, производство которых сертифицировано по международному стандарту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Обеспечить материально-техническое оснащение подведомственных организаций МСХ РК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Провести мониторинг пищевой продукции на наличие остаточных веществ в продуктах животного происхождения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Обеспечить строительство однотипных модульных зданий районных ветеринарных лабораторий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2"/>
    <w:p>
      <w:pPr>
        <w:spacing w:after="0"/>
        <w:ind w:left="0"/>
        <w:jc w:val="both"/>
      </w:pPr>
      <w:r>
        <w:rPr>
          <w:rFonts w:ascii="Times New Roman"/>
          <w:b w:val="false"/>
          <w:i w:val="false"/>
          <w:color w:val="000000"/>
          <w:sz w:val="28"/>
        </w:rPr>
        <w:t>
            Задача 1.2.3. Повышение эффективности государственного</w:t>
      </w:r>
      <w:r>
        <w:br/>
      </w:r>
      <w:r>
        <w:rPr>
          <w:rFonts w:ascii="Times New Roman"/>
          <w:b w:val="false"/>
          <w:i w:val="false"/>
          <w:color w:val="000000"/>
          <w:sz w:val="28"/>
        </w:rPr>
        <w:t>
                   сортоиспытания сельскохозяйственных культур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1345"/>
        <w:gridCol w:w="1291"/>
        <w:gridCol w:w="1199"/>
        <w:gridCol w:w="1199"/>
        <w:gridCol w:w="926"/>
        <w:gridCol w:w="926"/>
        <w:gridCol w:w="926"/>
        <w:gridCol w:w="926"/>
        <w:gridCol w:w="944"/>
      </w:tblGrid>
      <w:tr>
        <w:trPr>
          <w:trHeight w:val="30" w:hRule="atLeast"/>
        </w:trPr>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испытаний сортов по выявлению наиболее продуктивных и ценных по качеству сортов</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Оказать услуги по сортоиспытанию сельскохозяйственных культур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9" w:id="33"/>
    <w:p>
      <w:pPr>
        <w:spacing w:after="0"/>
        <w:ind w:left="0"/>
        <w:jc w:val="both"/>
      </w:pPr>
      <w:r>
        <w:rPr>
          <w:rFonts w:ascii="Times New Roman"/>
          <w:b w:val="false"/>
          <w:i w:val="false"/>
          <w:color w:val="000000"/>
          <w:sz w:val="28"/>
        </w:rPr>
        <w:t>
                Задача 1.2.4. Повышение эффективности агрохимического</w:t>
      </w:r>
      <w:r>
        <w:br/>
      </w:r>
      <w:r>
        <w:rPr>
          <w:rFonts w:ascii="Times New Roman"/>
          <w:b w:val="false"/>
          <w:i w:val="false"/>
          <w:color w:val="000000"/>
          <w:sz w:val="28"/>
        </w:rPr>
        <w:t>
                             обслуживания сельского хозяйства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1345"/>
        <w:gridCol w:w="1291"/>
        <w:gridCol w:w="1199"/>
        <w:gridCol w:w="1199"/>
        <w:gridCol w:w="926"/>
        <w:gridCol w:w="926"/>
        <w:gridCol w:w="926"/>
        <w:gridCol w:w="926"/>
        <w:gridCol w:w="944"/>
      </w:tblGrid>
      <w:tr>
        <w:trPr>
          <w:trHeight w:val="30" w:hRule="atLeast"/>
        </w:trPr>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Площадь агрохимического обследования пахотных земель</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Оказать научно-методические услуги по определению агрохимического состава почв</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0" w:id="34"/>
    <w:p>
      <w:pPr>
        <w:spacing w:after="0"/>
        <w:ind w:left="0"/>
        <w:jc w:val="both"/>
      </w:pPr>
      <w:r>
        <w:rPr>
          <w:rFonts w:ascii="Times New Roman"/>
          <w:b w:val="false"/>
          <w:i w:val="false"/>
          <w:color w:val="000000"/>
          <w:sz w:val="28"/>
        </w:rPr>
        <w:t>
            Задача 1.2.5. Сохранение и улучшение мелиоративного</w:t>
      </w:r>
      <w:r>
        <w:br/>
      </w:r>
      <w:r>
        <w:rPr>
          <w:rFonts w:ascii="Times New Roman"/>
          <w:b w:val="false"/>
          <w:i w:val="false"/>
          <w:color w:val="000000"/>
          <w:sz w:val="28"/>
        </w:rPr>
        <w:t>
                       состояния орошаемых земель</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1343"/>
        <w:gridCol w:w="1289"/>
        <w:gridCol w:w="1216"/>
        <w:gridCol w:w="1198"/>
        <w:gridCol w:w="925"/>
        <w:gridCol w:w="925"/>
        <w:gridCol w:w="925"/>
        <w:gridCol w:w="925"/>
        <w:gridCol w:w="943"/>
      </w:tblGrid>
      <w:tr>
        <w:trPr>
          <w:trHeight w:val="30" w:hRule="atLeast"/>
        </w:trPr>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Агромелиоративное обследование на орошаемых землях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Разработать рекомендации и мероприятия, направленные на эффективное и рациональное использование земель и поливной воды, предотвращение засоления, осолонцевания и ирригационной эрозии и смягчение негативного воздействия на орошаемых землях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1" w:id="35"/>
    <w:p>
      <w:pPr>
        <w:spacing w:after="0"/>
        <w:ind w:left="0"/>
        <w:jc w:val="both"/>
      </w:pPr>
      <w:r>
        <w:rPr>
          <w:rFonts w:ascii="Times New Roman"/>
          <w:b w:val="false"/>
          <w:i w:val="false"/>
          <w:color w:val="000000"/>
          <w:sz w:val="28"/>
        </w:rPr>
        <w:t>
           </w:t>
      </w:r>
      <w:r>
        <w:rPr>
          <w:rFonts w:ascii="Times New Roman"/>
          <w:b/>
          <w:i w:val="false"/>
          <w:color w:val="000000"/>
          <w:sz w:val="28"/>
        </w:rPr>
        <w:t>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государственного органа стратегическим целям государства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2"/>
        <w:gridCol w:w="8218"/>
      </w:tblGrid>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w:t>
            </w:r>
            <w:r>
              <w:br/>
            </w:r>
            <w:r>
              <w:rPr>
                <w:rFonts w:ascii="Times New Roman"/>
                <w:b w:val="false"/>
                <w:i w:val="false"/>
                <w:color w:val="000000"/>
                <w:sz w:val="20"/>
              </w:rPr>
              <w:t>
</w:t>
            </w:r>
            <w:r>
              <w:rPr>
                <w:rFonts w:ascii="Times New Roman"/>
                <w:b w:val="false"/>
                <w:i w:val="false"/>
                <w:color w:val="000000"/>
                <w:sz w:val="20"/>
              </w:rPr>
              <w:t>программного документа</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АПК.</w:t>
            </w:r>
          </w:p>
        </w:tc>
      </w:tr>
      <w:tr>
        <w:trPr>
          <w:trHeight w:val="405"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Создание условий для повышения конкурентоспособности субъектов АПК Республики Казахстан</w:t>
            </w:r>
          </w:p>
        </w:tc>
        <w:tc>
          <w:tcPr>
            <w:tcW w:w="8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29 января 2010 года «Новое десятилетие -новый экономически подъем – новые возможности Казахстана»;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28 января 2011 года «Построим будущее вместе!»;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27 января 2012 года «Социально-экономическая модернизация – главный вектор развития Казахстана»;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14 декабря 2012 года «Стратегия «Казахстан-2050»: Новый политический курс состоявшегося государства»; </w:t>
            </w: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 Республиканский Форум работников АПК, </w:t>
            </w:r>
            <w:r>
              <w:rPr>
                <w:rFonts w:ascii="Times New Roman"/>
                <w:b w:val="false"/>
                <w:i w:val="false"/>
                <w:color w:val="000000"/>
                <w:sz w:val="20"/>
              </w:rPr>
              <w:t>Программа</w:t>
            </w:r>
            <w:r>
              <w:rPr>
                <w:rFonts w:ascii="Times New Roman"/>
                <w:b w:val="false"/>
                <w:i w:val="false"/>
                <w:color w:val="000000"/>
                <w:sz w:val="20"/>
              </w:rPr>
              <w:t xml:space="preserve"> по развитию АПК в Республике Казахстан на 2013 – 2020 годы «Агробизнес – 2020», утвержденная постановлением Правительства Республики Казахстан от 18 февраля 2013 года № 151.</w:t>
            </w:r>
          </w:p>
        </w:tc>
      </w:tr>
      <w:tr>
        <w:trPr>
          <w:trHeight w:val="405"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Развитие государственных систем обеспечения субъектов АПК.</w:t>
            </w:r>
          </w:p>
        </w:tc>
        <w:tc>
          <w:tcPr>
            <w:tcW w:w="0" w:type="auto"/>
            <w:vMerge/>
            <w:tcBorders>
              <w:top w:val="nil"/>
              <w:left w:val="single" w:color="cfcfcf" w:sz="5"/>
              <w:bottom w:val="single" w:color="cfcfcf" w:sz="5"/>
              <w:right w:val="single" w:color="cfcfcf" w:sz="5"/>
            </w:tcBorders>
          </w:tcPr>
          <w:p/>
        </w:tc>
      </w:tr>
    </w:tbl>
    <w:bookmarkStart w:name="z42" w:id="36"/>
    <w:p>
      <w:pPr>
        <w:spacing w:after="0"/>
        <w:ind w:left="0"/>
        <w:jc w:val="both"/>
      </w:pPr>
      <w:r>
        <w:rPr>
          <w:rFonts w:ascii="Times New Roman"/>
          <w:b w:val="false"/>
          <w:i w:val="false"/>
          <w:color w:val="000000"/>
          <w:sz w:val="28"/>
        </w:rPr>
        <w:t>
                  </w:t>
      </w:r>
      <w:r>
        <w:rPr>
          <w:rFonts w:ascii="Times New Roman"/>
          <w:b/>
          <w:i w:val="false"/>
          <w:color w:val="000000"/>
          <w:sz w:val="28"/>
        </w:rPr>
        <w:t>Раздел 4. Развитие функциональных возможностей</w:t>
      </w:r>
    </w:p>
    <w:bookmarkEnd w:id="36"/>
    <w:p>
      <w:pPr>
        <w:spacing w:after="0"/>
        <w:ind w:left="0"/>
        <w:jc w:val="both"/>
      </w:pPr>
      <w:r>
        <w:rPr>
          <w:rFonts w:ascii="Times New Roman"/>
          <w:b w:val="false"/>
          <w:i w:val="false"/>
          <w:color w:val="ff0000"/>
          <w:sz w:val="28"/>
        </w:rPr>
        <w:t xml:space="preserve">      Сноска. Раздел 4 с изменениями, внесенными постановлением Правительства РК от 26.06.2014 </w:t>
      </w:r>
      <w:r>
        <w:rPr>
          <w:rFonts w:ascii="Times New Roman"/>
          <w:b w:val="false"/>
          <w:i w:val="false"/>
          <w:color w:val="ff0000"/>
          <w:sz w:val="28"/>
        </w:rPr>
        <w:t>№ 705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4993"/>
        <w:gridCol w:w="2305"/>
      </w:tblGrid>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5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АПК</w:t>
            </w:r>
            <w:r>
              <w:br/>
            </w:r>
            <w:r>
              <w:rPr>
                <w:rFonts w:ascii="Times New Roman"/>
                <w:b w:val="false"/>
                <w:i w:val="false"/>
                <w:color w:val="000000"/>
                <w:sz w:val="20"/>
              </w:rPr>
              <w:t>
</w:t>
            </w:r>
            <w:r>
              <w:rPr>
                <w:rFonts w:ascii="Times New Roman"/>
                <w:b w:val="false"/>
                <w:i w:val="false"/>
                <w:color w:val="000000"/>
                <w:sz w:val="20"/>
                <w:u w:val="single"/>
              </w:rPr>
              <w:t>Цель 1.1. Создание условий для повышения конкурентоспособности субъектов АПК Республики Казахстан</w:t>
            </w:r>
            <w:r>
              <w:br/>
            </w:r>
            <w:r>
              <w:rPr>
                <w:rFonts w:ascii="Times New Roman"/>
                <w:b w:val="false"/>
                <w:i w:val="false"/>
                <w:color w:val="000000"/>
                <w:sz w:val="20"/>
              </w:rPr>
              <w:t>
</w:t>
            </w:r>
            <w:r>
              <w:rPr>
                <w:rFonts w:ascii="Times New Roman"/>
                <w:b w:val="false"/>
                <w:i w:val="false"/>
                <w:color w:val="000000"/>
                <w:sz w:val="20"/>
              </w:rPr>
              <w:t>Задача 1.1.1. Повышение экономической доступности страхования в растениеводстве</w:t>
            </w:r>
            <w:r>
              <w:br/>
            </w:r>
            <w:r>
              <w:rPr>
                <w:rFonts w:ascii="Times New Roman"/>
                <w:b w:val="false"/>
                <w:i w:val="false"/>
                <w:color w:val="000000"/>
                <w:sz w:val="20"/>
              </w:rPr>
              <w:t>
</w:t>
            </w:r>
            <w:r>
              <w:rPr>
                <w:rFonts w:ascii="Times New Roman"/>
                <w:b w:val="false"/>
                <w:i w:val="false"/>
                <w:color w:val="000000"/>
                <w:sz w:val="20"/>
              </w:rPr>
              <w:t>Задача 1.1.2. Повышение экономической доступности кредитов и лизинга</w:t>
            </w:r>
            <w:r>
              <w:br/>
            </w:r>
            <w:r>
              <w:rPr>
                <w:rFonts w:ascii="Times New Roman"/>
                <w:b w:val="false"/>
                <w:i w:val="false"/>
                <w:color w:val="000000"/>
                <w:sz w:val="20"/>
              </w:rPr>
              <w:t>
</w:t>
            </w:r>
            <w:r>
              <w:rPr>
                <w:rFonts w:ascii="Times New Roman"/>
                <w:b w:val="false"/>
                <w:i w:val="false"/>
                <w:color w:val="000000"/>
                <w:sz w:val="20"/>
              </w:rPr>
              <w:t>Задача 1.1.3. Финансовое оздоровление</w:t>
            </w:r>
            <w:r>
              <w:br/>
            </w:r>
            <w:r>
              <w:rPr>
                <w:rFonts w:ascii="Times New Roman"/>
                <w:b w:val="false"/>
                <w:i w:val="false"/>
                <w:color w:val="000000"/>
                <w:sz w:val="20"/>
              </w:rPr>
              <w:t>
</w:t>
            </w:r>
            <w:r>
              <w:rPr>
                <w:rFonts w:ascii="Times New Roman"/>
                <w:b w:val="false"/>
                <w:i w:val="false"/>
                <w:color w:val="000000"/>
                <w:sz w:val="20"/>
              </w:rPr>
              <w:t>Задача 1.1.4. Повышение экономической доступности образовательных услуг, результатов аграрной науки и консультационных услуг</w:t>
            </w:r>
            <w:r>
              <w:br/>
            </w:r>
            <w:r>
              <w:rPr>
                <w:rFonts w:ascii="Times New Roman"/>
                <w:b w:val="false"/>
                <w:i w:val="false"/>
                <w:color w:val="000000"/>
                <w:sz w:val="20"/>
              </w:rPr>
              <w:t>
</w:t>
            </w:r>
            <w:r>
              <w:rPr>
                <w:rFonts w:ascii="Times New Roman"/>
                <w:b w:val="false"/>
                <w:i w:val="false"/>
                <w:color w:val="000000"/>
                <w:sz w:val="20"/>
              </w:rPr>
              <w:t>Задача 1.1.5. Повышение экономической доступности товаров, работ и услуг для производства продукции глубокой переработки сельскохозяйственного сырья</w:t>
            </w:r>
            <w:r>
              <w:br/>
            </w:r>
            <w:r>
              <w:rPr>
                <w:rFonts w:ascii="Times New Roman"/>
                <w:b w:val="false"/>
                <w:i w:val="false"/>
                <w:color w:val="000000"/>
                <w:sz w:val="20"/>
              </w:rPr>
              <w:t>
</w:t>
            </w:r>
            <w:r>
              <w:rPr>
                <w:rFonts w:ascii="Times New Roman"/>
                <w:b w:val="false"/>
                <w:i w:val="false"/>
                <w:color w:val="000000"/>
                <w:sz w:val="20"/>
              </w:rPr>
              <w:t>Задача 1.1.6. Повышение доступности товаров, работ и услуг в рамках реализации приоритетных инвестиционных проектов</w:t>
            </w:r>
            <w:r>
              <w:br/>
            </w:r>
            <w:r>
              <w:rPr>
                <w:rFonts w:ascii="Times New Roman"/>
                <w:b w:val="false"/>
                <w:i w:val="false"/>
                <w:color w:val="000000"/>
                <w:sz w:val="20"/>
              </w:rPr>
              <w:t>
</w:t>
            </w:r>
            <w:r>
              <w:rPr>
                <w:rFonts w:ascii="Times New Roman"/>
                <w:b w:val="false"/>
                <w:i w:val="false"/>
                <w:color w:val="000000"/>
                <w:sz w:val="20"/>
                <w:u w:val="single"/>
              </w:rPr>
              <w:t>Цель 1.2. Развитие государственных систем обеспечения субъектов АПК</w:t>
            </w:r>
            <w:r>
              <w:br/>
            </w:r>
            <w:r>
              <w:rPr>
                <w:rFonts w:ascii="Times New Roman"/>
                <w:b w:val="false"/>
                <w:i w:val="false"/>
                <w:color w:val="000000"/>
                <w:sz w:val="20"/>
              </w:rPr>
              <w:t>
</w:t>
            </w:r>
            <w:r>
              <w:rPr>
                <w:rFonts w:ascii="Times New Roman"/>
                <w:b w:val="false"/>
                <w:i w:val="false"/>
                <w:color w:val="000000"/>
                <w:sz w:val="20"/>
              </w:rPr>
              <w:t>Задача 1.2.1. Развитие системы фитосанитарной безопасности</w:t>
            </w:r>
            <w:r>
              <w:br/>
            </w:r>
            <w:r>
              <w:rPr>
                <w:rFonts w:ascii="Times New Roman"/>
                <w:b w:val="false"/>
                <w:i w:val="false"/>
                <w:color w:val="000000"/>
                <w:sz w:val="20"/>
              </w:rPr>
              <w:t>
</w:t>
            </w:r>
            <w:r>
              <w:rPr>
                <w:rFonts w:ascii="Times New Roman"/>
                <w:b w:val="false"/>
                <w:i w:val="false"/>
                <w:color w:val="000000"/>
                <w:sz w:val="20"/>
              </w:rPr>
              <w:t>Задача 1.2.2. Развитие системы ветеринарной безопасности</w:t>
            </w:r>
            <w:r>
              <w:br/>
            </w:r>
            <w:r>
              <w:rPr>
                <w:rFonts w:ascii="Times New Roman"/>
                <w:b w:val="false"/>
                <w:i w:val="false"/>
                <w:color w:val="000000"/>
                <w:sz w:val="20"/>
              </w:rPr>
              <w:t>
</w:t>
            </w:r>
            <w:r>
              <w:rPr>
                <w:rFonts w:ascii="Times New Roman"/>
                <w:b w:val="false"/>
                <w:i w:val="false"/>
                <w:color w:val="000000"/>
                <w:sz w:val="20"/>
              </w:rPr>
              <w:t>Задача 1.2.3. Повышение эффективности государственного сортоиспытания сельскохозяйственных культур</w:t>
            </w:r>
            <w:r>
              <w:br/>
            </w:r>
            <w:r>
              <w:rPr>
                <w:rFonts w:ascii="Times New Roman"/>
                <w:b w:val="false"/>
                <w:i w:val="false"/>
                <w:color w:val="000000"/>
                <w:sz w:val="20"/>
              </w:rPr>
              <w:t>
</w:t>
            </w:r>
            <w:r>
              <w:rPr>
                <w:rFonts w:ascii="Times New Roman"/>
                <w:b w:val="false"/>
                <w:i w:val="false"/>
                <w:color w:val="000000"/>
                <w:sz w:val="20"/>
              </w:rPr>
              <w:t>Задача 1.2.4. Повышение эффективности агрохимического обслуживания сельского хозяйства</w:t>
            </w:r>
            <w:r>
              <w:br/>
            </w:r>
            <w:r>
              <w:rPr>
                <w:rFonts w:ascii="Times New Roman"/>
                <w:b w:val="false"/>
                <w:i w:val="false"/>
                <w:color w:val="000000"/>
                <w:sz w:val="20"/>
              </w:rPr>
              <w:t>
</w:t>
            </w:r>
            <w:r>
              <w:rPr>
                <w:rFonts w:ascii="Times New Roman"/>
                <w:b w:val="false"/>
                <w:i w:val="false"/>
                <w:color w:val="000000"/>
                <w:sz w:val="20"/>
              </w:rPr>
              <w:t>Задача 1.2.5. Сохранение и улучшение мелиоративного состояния орошаемых земель</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мониторинг исполнения актов и поручений высшего руководства Республики Казахстан, находящихся на контроле</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ревизии всех действующих норм положенности, нормативов затрат, используемых МСХ РК и подведомственными учреждениями при формировании бюджетных заявок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продвижение по карьерной лестнице перспективных специалистов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конкурсы на замещение вакантных административных должностей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Направить государственных служащих согласно установленному лимиту на курсы повышения квалификации и переподготовки в Академию государственного управления при Президенте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Направить государственных служащих согласно установленному лимиту на курсы повышения квалификации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полноту и качество информации на сайте МСХ РК по разделам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ноября 2000 года «Об административных процедурах».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автоматизацию государственных услуг, оказываемых физическим и юридическим лицам МСХ РК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правового мониторинга нормативно-правовых актов в АПК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качественной правовой экспертизы представленных проектов подзаконных нормативно-правовых актов</w:t>
            </w:r>
          </w:p>
        </w:tc>
        <w:tc>
          <w:tcPr>
            <w:tcW w:w="0" w:type="auto"/>
            <w:vMerge/>
            <w:tcBorders>
              <w:top w:val="nil"/>
              <w:left w:val="single" w:color="cfcfcf" w:sz="5"/>
              <w:bottom w:val="single" w:color="cfcfcf" w:sz="5"/>
              <w:right w:val="single" w:color="cfcfcf" w:sz="5"/>
            </w:tcBorders>
          </w:tcPr>
          <w:p/>
        </w:tc>
      </w:tr>
    </w:tbl>
    <w:bookmarkStart w:name="z43" w:id="37"/>
    <w:p>
      <w:pPr>
        <w:spacing w:after="0"/>
        <w:ind w:left="0"/>
        <w:jc w:val="both"/>
      </w:pPr>
      <w:r>
        <w:rPr>
          <w:rFonts w:ascii="Times New Roman"/>
          <w:b w:val="false"/>
          <w:i w:val="false"/>
          <w:color w:val="000000"/>
          <w:sz w:val="28"/>
        </w:rPr>
        <w:t>
                        </w:t>
      </w:r>
      <w:r>
        <w:rPr>
          <w:rFonts w:ascii="Times New Roman"/>
          <w:b/>
          <w:i w:val="false"/>
          <w:color w:val="000000"/>
          <w:sz w:val="28"/>
        </w:rPr>
        <w:t>Раздел 5. Межведомственное взаимодействие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2"/>
        <w:gridCol w:w="2845"/>
        <w:gridCol w:w="4263"/>
      </w:tblGrid>
      <w:tr>
        <w:trPr>
          <w:trHeight w:val="30" w:hRule="atLeast"/>
        </w:trPr>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государственными органами</w:t>
            </w:r>
          </w:p>
        </w:tc>
      </w:tr>
      <w:tr>
        <w:trPr>
          <w:trHeight w:val="45" w:hRule="atLeast"/>
        </w:trPr>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АПК.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Развитие государственных систем обеспечения субъектов АПК</w:t>
            </w:r>
          </w:p>
        </w:tc>
      </w:tr>
      <w:tr>
        <w:trPr>
          <w:trHeight w:val="30" w:hRule="atLeast"/>
        </w:trPr>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Развитие системы фитосанитарной безопасности.</w:t>
            </w:r>
            <w:r>
              <w:br/>
            </w:r>
            <w:r>
              <w:rPr>
                <w:rFonts w:ascii="Times New Roman"/>
                <w:b w:val="false"/>
                <w:i w:val="false"/>
                <w:color w:val="000000"/>
                <w:sz w:val="20"/>
              </w:rPr>
              <w:t>
</w:t>
            </w:r>
            <w:r>
              <w:rPr>
                <w:rFonts w:ascii="Times New Roman"/>
                <w:b w:val="false"/>
                <w:i w:val="false"/>
                <w:color w:val="000000"/>
                <w:sz w:val="20"/>
              </w:rPr>
              <w:t>Показатель прямого результата</w:t>
            </w:r>
            <w:r>
              <w:br/>
            </w:r>
            <w:r>
              <w:rPr>
                <w:rFonts w:ascii="Times New Roman"/>
                <w:b w:val="false"/>
                <w:i w:val="false"/>
                <w:color w:val="000000"/>
                <w:sz w:val="20"/>
              </w:rPr>
              <w:t>
</w:t>
            </w:r>
            <w:r>
              <w:rPr>
                <w:rFonts w:ascii="Times New Roman"/>
                <w:b w:val="false"/>
                <w:i w:val="false"/>
                <w:color w:val="000000"/>
                <w:sz w:val="20"/>
              </w:rPr>
              <w:t>1. Охват площадей химическими обработками в сравнении с выявленными площадями по особо опасным вредным организмам, в том числе вредителей и болезней зерновых</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химических обработок для снижения численности особо опасных, вредных организмов до безопасного уровня (ниже экономического порога вредности).</w:t>
            </w:r>
          </w:p>
        </w:tc>
      </w:tr>
      <w:tr>
        <w:trPr>
          <w:trHeight w:val="30" w:hRule="atLeast"/>
        </w:trPr>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Развитие системы ветеринарной безопасности</w:t>
            </w:r>
            <w:r>
              <w:br/>
            </w:r>
            <w:r>
              <w:rPr>
                <w:rFonts w:ascii="Times New Roman"/>
                <w:b w:val="false"/>
                <w:i w:val="false"/>
                <w:color w:val="000000"/>
                <w:sz w:val="20"/>
              </w:rPr>
              <w:t>
</w:t>
            </w:r>
            <w:r>
              <w:rPr>
                <w:rFonts w:ascii="Times New Roman"/>
                <w:b w:val="false"/>
                <w:i w:val="false"/>
                <w:color w:val="000000"/>
                <w:sz w:val="20"/>
              </w:rPr>
              <w:t>Показатель прямого результата</w:t>
            </w:r>
            <w:r>
              <w:br/>
            </w:r>
            <w:r>
              <w:rPr>
                <w:rFonts w:ascii="Times New Roman"/>
                <w:b w:val="false"/>
                <w:i w:val="false"/>
                <w:color w:val="000000"/>
                <w:sz w:val="20"/>
              </w:rPr>
              <w:t>
</w:t>
            </w:r>
            <w:r>
              <w:rPr>
                <w:rFonts w:ascii="Times New Roman"/>
                <w:b w:val="false"/>
                <w:i w:val="false"/>
                <w:color w:val="000000"/>
                <w:sz w:val="20"/>
              </w:rPr>
              <w:t>1.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комплекс мероприятий, направленных на защиту населения и животного мира от болезней общих для человека, животных и птиц, путем своевременного выполнения ветеринарно-профилактических и диагностических мероприятий.</w:t>
            </w:r>
          </w:p>
        </w:tc>
      </w:tr>
    </w:tbl>
    <w:bookmarkStart w:name="z44" w:id="38"/>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bookmarkEnd w:id="38"/>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26.06.2014 </w:t>
      </w:r>
      <w:r>
        <w:rPr>
          <w:rFonts w:ascii="Times New Roman"/>
          <w:b w:val="false"/>
          <w:i w:val="false"/>
          <w:color w:val="ff0000"/>
          <w:sz w:val="28"/>
        </w:rPr>
        <w:t>№ 705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6544"/>
        <w:gridCol w:w="3695"/>
      </w:tblGrid>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последствия в случае непринятия </w:t>
            </w:r>
            <w:r>
              <w:rPr>
                <w:rFonts w:ascii="Times New Roman"/>
                <w:b w:val="false"/>
                <w:i w:val="false"/>
                <w:color w:val="000000"/>
                <w:sz w:val="20"/>
              </w:rPr>
              <w:t>мер по управлению рисками</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w:t>
            </w:r>
            <w:r>
              <w:br/>
            </w:r>
            <w:r>
              <w:rPr>
                <w:rFonts w:ascii="Times New Roman"/>
                <w:b w:val="false"/>
                <w:i w:val="false"/>
                <w:color w:val="000000"/>
                <w:sz w:val="20"/>
              </w:rPr>
              <w:t>
</w:t>
            </w:r>
            <w:r>
              <w:rPr>
                <w:rFonts w:ascii="Times New Roman"/>
                <w:b w:val="false"/>
                <w:i w:val="false"/>
                <w:color w:val="000000"/>
                <w:sz w:val="20"/>
              </w:rPr>
              <w:t>управлению рисками</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мировой финансовый кризис</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Коэффициент угрозы распространения карантинных и особо опасных вредных организмов.</w:t>
            </w:r>
            <w:r>
              <w:br/>
            </w:r>
            <w:r>
              <w:rPr>
                <w:rFonts w:ascii="Times New Roman"/>
                <w:b w:val="false"/>
                <w:i w:val="false"/>
                <w:color w:val="000000"/>
                <w:sz w:val="20"/>
              </w:rPr>
              <w:t>
</w:t>
            </w:r>
            <w:r>
              <w:rPr>
                <w:rFonts w:ascii="Times New Roman"/>
                <w:b w:val="false"/>
                <w:i w:val="false"/>
                <w:color w:val="000000"/>
                <w:sz w:val="20"/>
              </w:rPr>
              <w:t>2. Сумма кредитов, включая лизинг, выданных субъектам АПК за счет субсидирования ставок вознаграждения.</w:t>
            </w:r>
            <w:r>
              <w:br/>
            </w:r>
            <w:r>
              <w:rPr>
                <w:rFonts w:ascii="Times New Roman"/>
                <w:b w:val="false"/>
                <w:i w:val="false"/>
                <w:color w:val="000000"/>
                <w:sz w:val="20"/>
              </w:rPr>
              <w:t>
</w:t>
            </w:r>
            <w:r>
              <w:rPr>
                <w:rFonts w:ascii="Times New Roman"/>
                <w:b w:val="false"/>
                <w:i w:val="false"/>
                <w:color w:val="000000"/>
                <w:sz w:val="20"/>
              </w:rPr>
              <w:t>3. Объем субсидирования процентной ставки по займам в рамках финансового оздоровления субъектов АПК.</w:t>
            </w:r>
            <w:r>
              <w:br/>
            </w:r>
            <w:r>
              <w:rPr>
                <w:rFonts w:ascii="Times New Roman"/>
                <w:b w:val="false"/>
                <w:i w:val="false"/>
                <w:color w:val="000000"/>
                <w:sz w:val="20"/>
              </w:rPr>
              <w:t>
</w:t>
            </w:r>
            <w:r>
              <w:rPr>
                <w:rFonts w:ascii="Times New Roman"/>
                <w:b w:val="false"/>
                <w:i w:val="false"/>
                <w:color w:val="000000"/>
                <w:sz w:val="20"/>
              </w:rPr>
              <w:t>4. Количество субъектов АПК, охваченных образовательными и консультационными услугами результатов аграрной науки.</w:t>
            </w:r>
            <w:r>
              <w:br/>
            </w:r>
            <w:r>
              <w:rPr>
                <w:rFonts w:ascii="Times New Roman"/>
                <w:b w:val="false"/>
                <w:i w:val="false"/>
                <w:color w:val="000000"/>
                <w:sz w:val="20"/>
              </w:rPr>
              <w:t>
</w:t>
            </w:r>
            <w:r>
              <w:rPr>
                <w:rFonts w:ascii="Times New Roman"/>
                <w:b w:val="false"/>
                <w:i w:val="false"/>
                <w:color w:val="000000"/>
                <w:sz w:val="20"/>
              </w:rPr>
              <w:t>5. Охват площадей химическими обработками в сравнении с выявленными площадями по особо опасным вредным организмам, в том числе вредителей и болезней зерновых.</w:t>
            </w:r>
            <w:r>
              <w:br/>
            </w:r>
            <w:r>
              <w:rPr>
                <w:rFonts w:ascii="Times New Roman"/>
                <w:b w:val="false"/>
                <w:i w:val="false"/>
                <w:color w:val="000000"/>
                <w:sz w:val="20"/>
              </w:rPr>
              <w:t>
</w:t>
            </w:r>
            <w:r>
              <w:rPr>
                <w:rFonts w:ascii="Times New Roman"/>
                <w:b w:val="false"/>
                <w:i w:val="false"/>
                <w:color w:val="000000"/>
                <w:sz w:val="20"/>
              </w:rPr>
              <w:t>6.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w:t>
            </w:r>
            <w:r>
              <w:br/>
            </w:r>
            <w:r>
              <w:rPr>
                <w:rFonts w:ascii="Times New Roman"/>
                <w:b w:val="false"/>
                <w:i w:val="false"/>
                <w:color w:val="000000"/>
                <w:sz w:val="20"/>
              </w:rPr>
              <w:t>
</w:t>
            </w:r>
            <w:r>
              <w:rPr>
                <w:rFonts w:ascii="Times New Roman"/>
                <w:b w:val="false"/>
                <w:i w:val="false"/>
                <w:color w:val="000000"/>
                <w:sz w:val="20"/>
              </w:rPr>
              <w:t>7.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w:t>
            </w:r>
            <w:r>
              <w:br/>
            </w:r>
            <w:r>
              <w:rPr>
                <w:rFonts w:ascii="Times New Roman"/>
                <w:b w:val="false"/>
                <w:i w:val="false"/>
                <w:color w:val="000000"/>
                <w:sz w:val="20"/>
              </w:rPr>
              <w:t>
</w:t>
            </w:r>
            <w:r>
              <w:rPr>
                <w:rFonts w:ascii="Times New Roman"/>
                <w:b w:val="false"/>
                <w:i w:val="false"/>
                <w:color w:val="000000"/>
                <w:sz w:val="20"/>
              </w:rPr>
              <w:t>8. Площадь агрохимического обследования пахотных земель.</w:t>
            </w:r>
            <w:r>
              <w:br/>
            </w:r>
            <w:r>
              <w:rPr>
                <w:rFonts w:ascii="Times New Roman"/>
                <w:b w:val="false"/>
                <w:i w:val="false"/>
                <w:color w:val="000000"/>
                <w:sz w:val="20"/>
              </w:rPr>
              <w:t>
</w:t>
            </w:r>
            <w:r>
              <w:rPr>
                <w:rFonts w:ascii="Times New Roman"/>
                <w:b w:val="false"/>
                <w:i w:val="false"/>
                <w:color w:val="000000"/>
                <w:sz w:val="20"/>
              </w:rPr>
              <w:t>9. Количество сортоопытов по выявлению наиболее продуктивных и ценных сортов.</w:t>
            </w:r>
            <w:r>
              <w:br/>
            </w:r>
            <w:r>
              <w:rPr>
                <w:rFonts w:ascii="Times New Roman"/>
                <w:b w:val="false"/>
                <w:i w:val="false"/>
                <w:color w:val="000000"/>
                <w:sz w:val="20"/>
              </w:rPr>
              <w:t>
</w:t>
            </w:r>
            <w:r>
              <w:rPr>
                <w:rFonts w:ascii="Times New Roman"/>
                <w:b w:val="false"/>
                <w:i w:val="false"/>
                <w:color w:val="000000"/>
                <w:sz w:val="20"/>
              </w:rPr>
              <w:t>10. Агромелиоративное обследование на орошаемых землях.</w:t>
            </w:r>
            <w:r>
              <w:br/>
            </w:r>
            <w:r>
              <w:rPr>
                <w:rFonts w:ascii="Times New Roman"/>
                <w:b w:val="false"/>
                <w:i w:val="false"/>
                <w:color w:val="000000"/>
                <w:sz w:val="20"/>
              </w:rPr>
              <w:t>
</w:t>
            </w:r>
            <w:r>
              <w:rPr>
                <w:rFonts w:ascii="Times New Roman"/>
                <w:b w:val="false"/>
                <w:i w:val="false"/>
                <w:color w:val="000000"/>
                <w:sz w:val="20"/>
              </w:rPr>
              <w:t>11. Количество кредитных товариществ, обеспеченных кредитными ресурсами для дальнейшего кредитования СХТП;</w:t>
            </w:r>
            <w:r>
              <w:br/>
            </w:r>
            <w:r>
              <w:rPr>
                <w:rFonts w:ascii="Times New Roman"/>
                <w:b w:val="false"/>
                <w:i w:val="false"/>
                <w:color w:val="000000"/>
                <w:sz w:val="20"/>
              </w:rPr>
              <w:t>
</w:t>
            </w:r>
            <w:r>
              <w:rPr>
                <w:rFonts w:ascii="Times New Roman"/>
                <w:b w:val="false"/>
                <w:i w:val="false"/>
                <w:color w:val="000000"/>
                <w:sz w:val="20"/>
              </w:rPr>
              <w:t>12. Количество маточного поголовья КРС, приобретаемого сельхозтоваропроизводителями за счет кредитных ресурсов.</w:t>
            </w:r>
            <w:r>
              <w:br/>
            </w:r>
            <w:r>
              <w:rPr>
                <w:rFonts w:ascii="Times New Roman"/>
                <w:b w:val="false"/>
                <w:i w:val="false"/>
                <w:color w:val="000000"/>
                <w:sz w:val="20"/>
              </w:rPr>
              <w:t>
</w:t>
            </w:r>
            <w:r>
              <w:rPr>
                <w:rFonts w:ascii="Times New Roman"/>
                <w:b w:val="false"/>
                <w:i w:val="false"/>
                <w:color w:val="000000"/>
                <w:sz w:val="20"/>
              </w:rPr>
              <w:t>13. Объем произведенного сухого молока, охваченного субсидированием.</w:t>
            </w:r>
            <w:r>
              <w:br/>
            </w:r>
            <w:r>
              <w:rPr>
                <w:rFonts w:ascii="Times New Roman"/>
                <w:b w:val="false"/>
                <w:i w:val="false"/>
                <w:color w:val="000000"/>
                <w:sz w:val="20"/>
              </w:rPr>
              <w:t>
</w:t>
            </w:r>
            <w:r>
              <w:rPr>
                <w:rFonts w:ascii="Times New Roman"/>
                <w:b w:val="false"/>
                <w:i w:val="false"/>
                <w:color w:val="000000"/>
                <w:sz w:val="20"/>
              </w:rPr>
              <w:t>14. Объем произведенного сливочного масла, охваченного субсидированием.</w:t>
            </w:r>
            <w:r>
              <w:br/>
            </w:r>
            <w:r>
              <w:rPr>
                <w:rFonts w:ascii="Times New Roman"/>
                <w:b w:val="false"/>
                <w:i w:val="false"/>
                <w:color w:val="000000"/>
                <w:sz w:val="20"/>
              </w:rPr>
              <w:t>
</w:t>
            </w:r>
            <w:r>
              <w:rPr>
                <w:rFonts w:ascii="Times New Roman"/>
                <w:b w:val="false"/>
                <w:i w:val="false"/>
                <w:color w:val="000000"/>
                <w:sz w:val="20"/>
              </w:rPr>
              <w:t>15. Объем произведенных сыров, охваченных субсидированием.</w:t>
            </w:r>
            <w:r>
              <w:br/>
            </w:r>
            <w:r>
              <w:rPr>
                <w:rFonts w:ascii="Times New Roman"/>
                <w:b w:val="false"/>
                <w:i w:val="false"/>
                <w:color w:val="000000"/>
                <w:sz w:val="20"/>
              </w:rPr>
              <w:t>
</w:t>
            </w:r>
            <w:r>
              <w:rPr>
                <w:rFonts w:ascii="Times New Roman"/>
                <w:b w:val="false"/>
                <w:i w:val="false"/>
                <w:color w:val="000000"/>
                <w:sz w:val="20"/>
              </w:rPr>
              <w:t>16. Объем произведенной сахарной свеклы, охваченной субсидированием.</w:t>
            </w:r>
            <w:r>
              <w:br/>
            </w:r>
            <w:r>
              <w:rPr>
                <w:rFonts w:ascii="Times New Roman"/>
                <w:b w:val="false"/>
                <w:i w:val="false"/>
                <w:color w:val="000000"/>
                <w:sz w:val="20"/>
              </w:rPr>
              <w:t>
</w:t>
            </w:r>
            <w:r>
              <w:rPr>
                <w:rFonts w:ascii="Times New Roman"/>
                <w:b w:val="false"/>
                <w:i w:val="false"/>
                <w:color w:val="000000"/>
                <w:sz w:val="20"/>
              </w:rPr>
              <w:t>17. Объем привлеченных инвестиций за счет инвестиционных субсидий.</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наступления мирового финансового кризиса будут реализованы следующие альтернативные мероприятия:</w:t>
            </w:r>
            <w:r>
              <w:br/>
            </w:r>
            <w:r>
              <w:rPr>
                <w:rFonts w:ascii="Times New Roman"/>
                <w:b w:val="false"/>
                <w:i w:val="false"/>
                <w:color w:val="000000"/>
                <w:sz w:val="20"/>
              </w:rPr>
              <w:t>
</w:t>
            </w:r>
            <w:r>
              <w:rPr>
                <w:rFonts w:ascii="Times New Roman"/>
                <w:b w:val="false"/>
                <w:i w:val="false"/>
                <w:color w:val="000000"/>
                <w:sz w:val="20"/>
              </w:rPr>
              <w:t>1) поддержание запасов продовольственных товаров в региональных стабилизационных фондах;</w:t>
            </w:r>
            <w:r>
              <w:br/>
            </w:r>
            <w:r>
              <w:rPr>
                <w:rFonts w:ascii="Times New Roman"/>
                <w:b w:val="false"/>
                <w:i w:val="false"/>
                <w:color w:val="000000"/>
                <w:sz w:val="20"/>
              </w:rPr>
              <w:t>
</w:t>
            </w:r>
            <w:r>
              <w:rPr>
                <w:rFonts w:ascii="Times New Roman"/>
                <w:b w:val="false"/>
                <w:i w:val="false"/>
                <w:color w:val="000000"/>
                <w:sz w:val="20"/>
              </w:rPr>
              <w:t>2) субсидирование транспортных расходов при перевозке зерна на экспорт, а также иные меры, одобренные протоколом заседания Правительства Республики Казахстан от 17 сентября 2013 года № 36 «Пошаговый план многоуровневого антикризисного реагирования».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природного характера (засуха, заморозки, вымерзание, недостаток тепла, излишнее увлажнение, град, ливень, буря, ураган, наводнение, сель, глобальное потепление)</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Доля посевных площадей, охваченных страхованием</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обязательного страхования в растениеводстве от неблагоприятных природных явлении.</w:t>
            </w:r>
            <w:r>
              <w:br/>
            </w:r>
            <w:r>
              <w:rPr>
                <w:rFonts w:ascii="Times New Roman"/>
                <w:b w:val="false"/>
                <w:i w:val="false"/>
                <w:color w:val="000000"/>
                <w:sz w:val="20"/>
              </w:rPr>
              <w:t>
</w:t>
            </w:r>
            <w:r>
              <w:rPr>
                <w:rFonts w:ascii="Times New Roman"/>
                <w:b w:val="false"/>
                <w:i w:val="false"/>
                <w:color w:val="000000"/>
                <w:sz w:val="20"/>
              </w:rPr>
              <w:t>Обеспечение гарантированности 50 % страховых выплат страховым компаниям, осуществившим свои обязательства по страховым случаям перед СХТП.</w:t>
            </w:r>
          </w:p>
        </w:tc>
      </w:tr>
    </w:tbl>
    <w:bookmarkStart w:name="z45" w:id="39"/>
    <w:p>
      <w:pPr>
        <w:spacing w:after="0"/>
        <w:ind w:left="0"/>
        <w:jc w:val="both"/>
      </w:pPr>
      <w:r>
        <w:rPr>
          <w:rFonts w:ascii="Times New Roman"/>
          <w:b w:val="false"/>
          <w:i w:val="false"/>
          <w:color w:val="000000"/>
          <w:sz w:val="28"/>
        </w:rPr>
        <w:t>
                              </w:t>
      </w:r>
      <w:r>
        <w:rPr>
          <w:rFonts w:ascii="Times New Roman"/>
          <w:b/>
          <w:i w:val="false"/>
          <w:color w:val="000000"/>
          <w:sz w:val="28"/>
        </w:rPr>
        <w:t>Раздел 7. Бюджетные программы</w:t>
      </w:r>
    </w:p>
    <w:bookmarkEnd w:id="39"/>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26.06.2014 </w:t>
      </w:r>
      <w:r>
        <w:rPr>
          <w:rFonts w:ascii="Times New Roman"/>
          <w:b w:val="false"/>
          <w:i w:val="false"/>
          <w:color w:val="000000"/>
          <w:sz w:val="28"/>
        </w:rPr>
        <w:t>№ 705</w:t>
      </w:r>
      <w:r>
        <w:rPr>
          <w:rFonts w:ascii="Times New Roman"/>
          <w:b w:val="false"/>
          <w:i w:val="false"/>
          <w:color w:val="ff0000"/>
          <w:sz w:val="28"/>
        </w:rPr>
        <w:t>.</w:t>
      </w:r>
      <w:r>
        <w:br/>
      </w:r>
      <w:r>
        <w:rPr>
          <w:rFonts w:ascii="Times New Roman"/>
          <w:b w:val="false"/>
          <w:i w:val="false"/>
          <w:color w:val="000000"/>
          <w:sz w:val="28"/>
        </w:rPr>
        <w:t>
                                    </w:t>
      </w:r>
      <w:r>
        <w:rPr>
          <w:rFonts w:ascii="Times New Roman"/>
          <w:b/>
          <w:i w:val="false"/>
          <w:color w:val="000000"/>
          <w:sz w:val="28"/>
        </w:rPr>
        <w:t>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2709"/>
        <w:gridCol w:w="774"/>
        <w:gridCol w:w="971"/>
        <w:gridCol w:w="971"/>
        <w:gridCol w:w="967"/>
        <w:gridCol w:w="967"/>
        <w:gridCol w:w="968"/>
        <w:gridCol w:w="961"/>
        <w:gridCol w:w="982"/>
      </w:tblGrid>
      <w:tr>
        <w:trPr>
          <w:trHeight w:val="9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«Планирование, регулирование, управление в сфере сельского хозяйства»</w:t>
            </w:r>
          </w:p>
        </w:tc>
      </w:tr>
      <w:tr>
        <w:trPr>
          <w:trHeight w:val="15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и территориальных органов МСХ РК согласно утвержденной штатной численности.</w:t>
            </w:r>
            <w:r>
              <w:br/>
            </w:r>
            <w:r>
              <w:rPr>
                <w:rFonts w:ascii="Times New Roman"/>
                <w:b w:val="false"/>
                <w:i w:val="false"/>
                <w:color w:val="000000"/>
                <w:sz w:val="20"/>
              </w:rPr>
              <w:t>
</w:t>
            </w:r>
            <w:r>
              <w:rPr>
                <w:rFonts w:ascii="Times New Roman"/>
                <w:b w:val="false"/>
                <w:i w:val="false"/>
                <w:color w:val="000000"/>
                <w:sz w:val="20"/>
              </w:rPr>
              <w:t>Нормативно-методическое обеспечение АПК в целях применения научно обоснованных сельскохозяйственных технологий и технологий переработки сельхозпродукции, роста эффективности сельского хозяйства и обслуживающей его инфраструктуры, выпуска конкурентоспособной продукции, оптимизации бюджетного финансирования.</w:t>
            </w:r>
            <w:r>
              <w:br/>
            </w:r>
            <w:r>
              <w:rPr>
                <w:rFonts w:ascii="Times New Roman"/>
                <w:b w:val="false"/>
                <w:i w:val="false"/>
                <w:color w:val="000000"/>
                <w:sz w:val="20"/>
              </w:rPr>
              <w:t>
</w:t>
            </w:r>
            <w:r>
              <w:rPr>
                <w:rFonts w:ascii="Times New Roman"/>
                <w:b w:val="false"/>
                <w:i w:val="false"/>
                <w:color w:val="000000"/>
                <w:sz w:val="20"/>
              </w:rPr>
              <w:t>Предоставление на безвозмездной основе субъектам АПК информации, а также организация процессов по распространению знаний среди субъектов АПК.</w:t>
            </w:r>
          </w:p>
        </w:tc>
      </w:tr>
      <w:tr>
        <w:trPr>
          <w:trHeight w:val="30" w:hRule="atLeast"/>
        </w:trPr>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75" w:hRule="atLeast"/>
        </w:trPr>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центрального аппарата и аппаратов территориального органа, обеспечивающих реализацию государственной политики в области АПК и аграрной науки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прошедших курсы по повышению квалификации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аналитического исследования по выявлению мировых тенденций развития сельскохозяйственного производства, определению потенциальных рынков сбыта сельхозпродукции, производимой в Казахстане и совершенствованию мер государственной поддержки ключевых отраслей аграрного сектора (1, 2 этап)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долгосрочных мер и механизмов обеспечения продовольственной безопасности Республики Казахстан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 развития информационных технологий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ресурсного потенциала регионов республики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управлению проектами в рамках реализации </w:t>
            </w:r>
            <w:r>
              <w:rPr>
                <w:rFonts w:ascii="Times New Roman"/>
                <w:b w:val="false"/>
                <w:i w:val="false"/>
                <w:color w:val="000000"/>
                <w:sz w:val="20"/>
              </w:rPr>
              <w:t>Программы</w:t>
            </w:r>
            <w:r>
              <w:rPr>
                <w:rFonts w:ascii="Times New Roman"/>
                <w:b w:val="false"/>
                <w:i w:val="false"/>
                <w:color w:val="000000"/>
                <w:sz w:val="20"/>
              </w:rPr>
              <w:t xml:space="preserve"> по развитию АПК в Республике Казахстан на 2013-2020 годы (Агробизнес – 2020)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аттестации и аудита Единая автоматизированная система управления отраслями АПК «e-Agriculture» (далее – ЕАСУ) на соответствие их требованиям информационной безопасности и принятым на территории Республики Казахстан стандартам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рекомендаций, нормативов, стандартов, инструкций и методик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информационно-консультационных центров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 АПК, охваченные на безвозмездной основе информацией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АПК, получивших услугу «персональное обслуживание»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слушателей обученных на семинарах: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научно-практических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мясному животноводству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СХТП охваченных консалтинговыми услугами с привлечением зарубежных экспертов по основам ведения мясного и молочного животноводства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реализации проекта ЕАСУ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субъектов АПК, охваченных на безвозмездной основе информацией (от общего количества действующих субъектов АПК)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одного госслужащего</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обучение одного госслужащего</w:t>
            </w: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11 973 412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10 764 359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9 637 172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9 254 502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9 254 502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2318"/>
        <w:gridCol w:w="1002"/>
        <w:gridCol w:w="1422"/>
        <w:gridCol w:w="1202"/>
        <w:gridCol w:w="1102"/>
        <w:gridCol w:w="1062"/>
        <w:gridCol w:w="1062"/>
        <w:gridCol w:w="979"/>
        <w:gridCol w:w="980"/>
      </w:tblGrid>
      <w:tr>
        <w:trPr>
          <w:trHeight w:val="555"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«Кредитование АО «Национальный управляющий холдинг «КазАгро» для проведения мероприятий по поддержке субъектов АПК»</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специализированных организаций в целях проведения мероприятий по поддержке субъектов АПК, в том числе для кредитования субъектов АПК на проведение весенне-полевых и уборочных работ, а также для последующего финансирования СХТП путем осуществления закупок сельхозпродукции и пополнения оборотных средств</w:t>
            </w:r>
          </w:p>
        </w:tc>
      </w:tr>
      <w:tr>
        <w:trPr>
          <w:trHeight w:val="30" w:hRule="atLeast"/>
        </w:trPr>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rPr>
                <w:rFonts w:ascii="Times New Roman"/>
                <w:b w:val="false"/>
                <w:i w:val="false"/>
                <w:color w:val="000000"/>
                <w:sz w:val="20"/>
              </w:rPr>
              <w:t xml:space="preserve">текущего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проектируемый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субъектов АПК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СХТП</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 в кредитных ресурсах в растениеводстве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посева выращиваемых культур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575"/>
        <w:gridCol w:w="1257"/>
        <w:gridCol w:w="1269"/>
        <w:gridCol w:w="1289"/>
        <w:gridCol w:w="1049"/>
        <w:gridCol w:w="981"/>
        <w:gridCol w:w="981"/>
        <w:gridCol w:w="987"/>
        <w:gridCol w:w="1545"/>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 холдинг «КазАгро» для развития агропромышленного комплекса»</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«Аграрная кредитная корпорация» на реализацию следующих мероприятий:</w:t>
            </w:r>
            <w:r>
              <w:br/>
            </w:r>
            <w:r>
              <w:rPr>
                <w:rFonts w:ascii="Times New Roman"/>
                <w:b w:val="false"/>
                <w:i w:val="false"/>
                <w:color w:val="000000"/>
                <w:sz w:val="20"/>
              </w:rPr>
              <w:t>
</w:t>
            </w:r>
            <w:r>
              <w:rPr>
                <w:rFonts w:ascii="Times New Roman"/>
                <w:b w:val="false"/>
                <w:i w:val="false"/>
                <w:color w:val="000000"/>
                <w:sz w:val="20"/>
              </w:rPr>
              <w:t>1. Кредитование сельхозтоваропроизводителей через систему кредитных товариществ для увеличения производства и переработки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2. Кредитование сельхозтоваропроизводителей на развитие животноводства.</w:t>
            </w:r>
          </w:p>
        </w:tc>
      </w:tr>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кредитных товариществ, обеспеченных кредитными ресурсами для дальнейшего кредитования сельхозтоваропроизводителей</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выданных займов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участников в профинансированных КТ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количество приобретаемого сельхозтоваропроизводителями за счет кредитных ресурсов: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маточного поголовья КРС</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46 154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быков-производителей</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размер кредита, выделенного заемщику на приобретение одной головы КРС: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маточного поголовья КРС</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быков-производителей</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7 759 234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2379"/>
        <w:gridCol w:w="1006"/>
        <w:gridCol w:w="1091"/>
        <w:gridCol w:w="1112"/>
        <w:gridCol w:w="1091"/>
        <w:gridCol w:w="1112"/>
        <w:gridCol w:w="1154"/>
        <w:gridCol w:w="1112"/>
        <w:gridCol w:w="1071"/>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«Капитальные расходы МСХ РК»</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капитального ремонта, материально-техническое оснащение центрального аппарата и его территориальных подразделений</w:t>
            </w:r>
          </w:p>
        </w:tc>
      </w:tr>
      <w:tr>
        <w:trPr>
          <w:trHeight w:val="30" w:hRule="atLeast"/>
        </w:trPr>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учреждений, в которых улучшается материально-техническое состояние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серверного помещения</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организации, в которых улучшается материально-техническое оснащение от общего количества учреждений</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материально-техническому оснащению</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модернизации серверного помещения</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2476"/>
        <w:gridCol w:w="1075"/>
        <w:gridCol w:w="1075"/>
        <w:gridCol w:w="1075"/>
        <w:gridCol w:w="1075"/>
        <w:gridCol w:w="1075"/>
        <w:gridCol w:w="1075"/>
        <w:gridCol w:w="1075"/>
        <w:gridCol w:w="1097"/>
      </w:tblGrid>
      <w:tr>
        <w:trPr>
          <w:trHeight w:val="6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 «Погашение налоговой и иной задолженности»</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кредиторской задолженности ликвидируемого РГКП «Коктальский» МСХ РК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16 января 2007 года № 27</w:t>
            </w:r>
          </w:p>
        </w:tc>
      </w:tr>
      <w:tr>
        <w:trPr>
          <w:trHeight w:val="30" w:hRule="atLeast"/>
        </w:trPr>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задолженности по заработной плате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кредиторской задолженности по обязательствам ликвидированных предприятий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2025"/>
        <w:gridCol w:w="1367"/>
        <w:gridCol w:w="1312"/>
        <w:gridCol w:w="1239"/>
        <w:gridCol w:w="1033"/>
        <w:gridCol w:w="979"/>
        <w:gridCol w:w="1034"/>
        <w:gridCol w:w="925"/>
        <w:gridCol w:w="997"/>
      </w:tblGrid>
      <w:tr>
        <w:trPr>
          <w:trHeight w:val="6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«Капитальные расходы подведомственных государственных учреждений и организаций МСХ РК»</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капитальный ремонт, приобретение помещений, зданий и сооружений для подведомственных государственных учреждений и организаций МСХ РК</w:t>
            </w:r>
          </w:p>
        </w:tc>
      </w:tr>
      <w:tr>
        <w:trPr>
          <w:trHeight w:val="3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в которых улучшается материально-техническое состояние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оснащенных районных ветеринарных лабораторий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техники и товаров, относящихся к основным средствам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учреждений, в которых улучшается материально-техническое оснащение от общего количества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оснащенных в соответствии с международными требованиями и стандартами, ветеринарных лабораторий от общего количества построенных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по материально-техническому оснащению одной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51 895,4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222 679,2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143 429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материально-техническому оснащению одной ветеринарной лабораторий</w:t>
            </w: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674 640,2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2 240 980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717 145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2128"/>
        <w:gridCol w:w="1599"/>
        <w:gridCol w:w="1231"/>
        <w:gridCol w:w="1159"/>
        <w:gridCol w:w="1159"/>
        <w:gridCol w:w="996"/>
        <w:gridCol w:w="1123"/>
        <w:gridCol w:w="978"/>
        <w:gridCol w:w="996"/>
      </w:tblGrid>
      <w:tr>
        <w:trPr>
          <w:trHeight w:val="6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«Научные исследования и мероприятия в области АПК»</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конкурентоспособной научно-технической продукции в области земледелия и растениеводства, защиты и карантина растений, мелиорации сельского хозяйства, товарного рыбоводства, животноводства, ветеринарии, механизации, переработки и хранения сельхозпродукции, экономики АПК для внедрения в сельскохозяйственное производство.</w:t>
            </w:r>
          </w:p>
        </w:tc>
      </w:tr>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научно-исследовательских и опытно-конструкторских работ по приоритетным направлениям АПК, в том числе: в области земледелия, растениеводства, защиты и карантина растений, мелиорации сельского хозяйства, товарного рыбоводства, переработки и хранения сельхозпродукции, животноводства и ветеринарной медицины, механизации сельского хозяйства, экономики сельского хозяйства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приоритетное направление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новых сортов и гибридов сельскохозяйственных и других культур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 типов и линий сельскохозяйственных животных, птиц, рыб, пчел, штаммов микроорганизмов с применением генетических, биотехнологических, биохимических, физиологических и других методов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по технологиям в земледелии, защите и карантине растений, мелиорации сельского хозяйства, товарном рыбоводстве, животноводстве, механизации и электрификации сельского хозяйства, переработке и хранении сельхозпродукции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лечебных препаратов и вакцин для животноводства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карантинных вредных организмов, для которых будет разработан анализ фитосанитарного риска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технической документации на новые образцы машин и оборудования для отраслей сельского хозяйства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документация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охранных документов: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патентов на изобретение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инновационных патентов на изобретение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патентов на селекционные достижения</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 зерновых культур под сортами отечественной селекции от общей посевной площади зерновых культур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ресурсо- и энергосберегающих экологически безопасных технологий в АПК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поданных заявок на охранные документы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изданных книг, сборников, рекомендаций</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опубликованных научных статей</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 зарубежных изданиях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3 365 387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5 254 578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464"/>
        <w:gridCol w:w="1070"/>
        <w:gridCol w:w="1091"/>
        <w:gridCol w:w="1079"/>
        <w:gridCol w:w="1079"/>
        <w:gridCol w:w="1080"/>
        <w:gridCol w:w="1080"/>
        <w:gridCol w:w="1070"/>
        <w:gridCol w:w="1093"/>
      </w:tblGrid>
      <w:tr>
        <w:trPr>
          <w:trHeight w:val="43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«Развитие растениеводства и обеспечение продовольственной безопасности»</w:t>
            </w:r>
          </w:p>
        </w:tc>
      </w:tr>
      <w:tr>
        <w:trPr>
          <w:trHeight w:val="255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растениеводства</w:t>
            </w:r>
            <w:r>
              <w:br/>
            </w:r>
            <w:r>
              <w:rPr>
                <w:rFonts w:ascii="Times New Roman"/>
                <w:b w:val="false"/>
                <w:i w:val="false"/>
                <w:color w:val="000000"/>
                <w:sz w:val="20"/>
              </w:rPr>
              <w:t>
</w:t>
            </w:r>
            <w:r>
              <w:rPr>
                <w:rFonts w:ascii="Times New Roman"/>
                <w:b w:val="false"/>
                <w:i w:val="false"/>
                <w:color w:val="000000"/>
                <w:sz w:val="20"/>
              </w:rPr>
              <w:t>Поддержка обязательного страхования в растениеводстве путем возмещения 50 % затрат страховщика по страховым выплатам, выплаченным СХТП. Оплата услуг агента для управления бюджетными средствами для государственной поддержки обязательного страхования в растениеводстве в порядке, утвержденном Правительством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Закуп зерна в государственные ресурсы у отечественных СХТП для освежения государственного резерва продовольственного зерна, формирования государственных реализационных ресурсов и для регулирования внутреннего рынка, а также хранение и перемещение государственного резерва продовольственного зерна</w:t>
            </w:r>
          </w:p>
        </w:tc>
      </w:tr>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Испытание сортов с целью внесения выявленных наиболее продуктивных и ценных по качеству сортов в Государственный реестр селекционных достижений</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Обследованная на основные агрохимические показатели и микроэлементы площадь пахотных земель сельскохозяйственного назначения</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по агрометеорологическому мониторингу для обеспечения сельскохозяйственного производства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инф.</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по космическому мониторингу сельскохозяйственных угодий и объемов растениеводческой продукции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инф.</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застрахованных посевов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зерна в государственные реализационные ресурсы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зерна государственного резерва продовольственного зерна, хранящегося на хлебоприемных предприятиях республики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зерна государственного резерва продовольственного зерна, перемещенного с одного хлебоприемного предприятия на другое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наиболее продуктивных и ценных сортов и гибридов, выявленных в процессе Государственного сортоиспытания</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Информационный банк данных об агрохимическом состоянии пахотных земель сельскохозяйственного назначения</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банк единиц</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 охваченных страхованием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освежения государственного резерва продовольственного зерна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агрометеорологическому мониторингу для обеспечения сельскохозяйственного производства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космическому мониторингу сельскохозяйственных угодий и объемов растениеводческой продукции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стоимость 1 тонны зерна (пшеницы мягкой 3 класса), закупаемого в государственные ресурсы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хранения 1 тонны государственного резерва продовольственного зерна в месяц</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стоимость перемещения 1 тонны государственного резерва продовольственного зерна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8 582 465,9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8 040 377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9 887 148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9 846 620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9 753 524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2396"/>
        <w:gridCol w:w="1430"/>
        <w:gridCol w:w="1050"/>
        <w:gridCol w:w="1045"/>
        <w:gridCol w:w="1045"/>
        <w:gridCol w:w="1045"/>
        <w:gridCol w:w="1045"/>
        <w:gridCol w:w="1041"/>
        <w:gridCol w:w="1062"/>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«Обеспечение фитосанитарной безопасности»</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химических обработок для снижения численности особо опасных вредных организмов до безопасного уровня (ниже экономического порога вредоносности - ЭПВ), систематическое наблюдение за появлением, развитием и распространением вредителей, болезней и сорняков, максимальное выявление очагов массового развития и распространения карантинных, вредных и особо опасных вредных организмов, локализация и ликвидация карантинных вредителей, болезней растений и сорняков. Содержание четырех государственных учреждений по карантину растений и проведение ими определения видового состава карантинных объектов и выявления на скрытую зараженность карантинными объектами (карантинными вредными организмами).</w:t>
            </w:r>
          </w:p>
        </w:tc>
      </w:tr>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определения видового состава карантинных объектов в образцах подкарантинной продукции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экспертиз</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 обработка против особо опасных вредителей и болезней сельскохозяйственных культур и карантинных объектов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мониторинговых мероприятий по защите и карантину растений: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маршрутные обследования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систематические обследования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хозяйства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посева и наблюдение сортообразцов полевых культур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сортообразцы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передача научным учреждениям республики лучших образцов зерновых культур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образцов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Энтомологическая, фитопоталогическая, бактериологическая, гербологическая оценка посевов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анализов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в том числе: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сортообразцы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растения различных плодово-ягодных и других культур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химическими обработками в сравнении с выявленными площадями по особо опасным вредным организмам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вредителей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болезней зерновых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химическими обработками в сравнении с выявленными площадями по карантинным объектам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возможности распространения карантинных и особо опасных вредных организмов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5 357 743,8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6 184 468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9 122 447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8 419 958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8 708 872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2664"/>
        <w:gridCol w:w="1328"/>
        <w:gridCol w:w="1181"/>
        <w:gridCol w:w="994"/>
        <w:gridCol w:w="1014"/>
        <w:gridCol w:w="994"/>
        <w:gridCol w:w="1015"/>
        <w:gridCol w:w="1002"/>
        <w:gridCol w:w="1069"/>
      </w:tblGrid>
      <w:tr>
        <w:trPr>
          <w:trHeight w:val="27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«Ветеринарные мероприятия и обеспечение пищевой безопасности»</w:t>
            </w:r>
          </w:p>
        </w:tc>
      </w:tr>
      <w:tr>
        <w:trPr>
          <w:trHeight w:val="585"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ветеринарных мероприятий, направленных на защиту граждан Казахстана и животного мира от болезней общих для человека, животных и птиц, сохранения стабильной эпизоотической ситуации по инфекционным болезням сельскохозяйственных животных и птиц в республике, путем своевременного выполнения ветеринарно-профилактических и диагностических мероприятий.</w:t>
            </w:r>
          </w:p>
        </w:tc>
      </w:tr>
      <w:tr>
        <w:trPr>
          <w:trHeight w:val="18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40" w:hRule="atLeast"/>
        </w:trPr>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диагностических исследований поголовья животных с внедрением современных диагностических методов в соответствие с требованиями Международного эпизоотического бюро (МЭБ)</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исслед.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и хранение ветеринарных препаратов для профилактики особо опасных болезней животных и птиц и пополнение республиканского запаса ветеринарных препаратов и дезинфицирующего средства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литр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ущерба изъятых и уничтоженных:</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МРС</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запланированных мероприятий по диагностике, профилактике особо опасных болезней животных, мониторингу референции, лабораторной диагностике и введению Национальной коллекции штаммов микроорганизмов</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исслед.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запланированных мероприятий по исследованиям на безопасность пищевой продукции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исслед.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особо опасных заболеваний животных охваченных диагностическими исследованиями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(включая GMP-стандарту)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пищевой продукции, подверженной мониторинговым лабораторным исследованиям</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проведения диагностических исследований:</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затрат на:</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одной дозы ветеринарного препарата </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ветеринарных препаратов (за сутки) на франко-складе</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проведения референтных исследований:</w:t>
            </w:r>
            <w:r>
              <w:br/>
            </w:r>
            <w:r>
              <w:rPr>
                <w:rFonts w:ascii="Times New Roman"/>
                <w:b w:val="false"/>
                <w:i w:val="false"/>
                <w:color w:val="000000"/>
                <w:sz w:val="20"/>
              </w:rPr>
              <w:t>
</w:t>
            </w:r>
            <w:r>
              <w:rPr>
                <w:rFonts w:ascii="Times New Roman"/>
                <w:b w:val="false"/>
                <w:i w:val="false"/>
                <w:color w:val="000000"/>
                <w:sz w:val="20"/>
              </w:rPr>
              <w:t>бактериологических</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вирусологических (серологических)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молекулярно-генетических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химико-токсикологических, биохимических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патоморфологических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освежению (поддержанию активности) штаммов микроорганизмов Национальной коллекции</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мониторингу безопасности пищевой продукции</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мониторингу качества ветеринарных препаратов</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эпизоотическому мониторингу дикой фауны</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проведения мониторинговых исследований по обеспечению пищевой безопасности:</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определению количества в предельно-допустимых концентрациях токсических элементов (соли тяжелых металлов)</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определению количества в предельно-допустимых концентрациях токсических элементов (соли тяжелых металлов, диоксины и диоксина подобных веществ (ПХБ))</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547 173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547 173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547 173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паразитологических</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определению остаточного количества загрязняющих веществ (гормоны и антибиотики)</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10 891 799,4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15 194 793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16 491 888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16 467 559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16 467 559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2538"/>
        <w:gridCol w:w="1355"/>
        <w:gridCol w:w="1275"/>
        <w:gridCol w:w="1276"/>
        <w:gridCol w:w="1036"/>
        <w:gridCol w:w="985"/>
        <w:gridCol w:w="1263"/>
        <w:gridCol w:w="1272"/>
        <w:gridCol w:w="1273"/>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«Строительство объектов в сфере ветеринарии»</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объектов ветеринарных лабораторий, зданий и помещений в соответствии с требованиями международных норм, стандартов и рекомендаций ВТО, путем строительства однотипных модульных районных зданий ветлабораторий с вивариями для животных РГП «Республиканская ветеринарная лаборатория» МСХ РК.</w:t>
            </w:r>
          </w:p>
        </w:tc>
      </w:tr>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однотипных модульных зданий районных ветлабораторий</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Окончательный расчет по объектам, строительство которых завершено в предыдущие годы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биохранилища для хранения микроорганизмов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ветеринарных лабораторий требованиям международных норм, стандартов и рекомендаций ВТО (с нарастающим итогом)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Введено в эксплуатацию ветеринарных лаборатории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единицу: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одной ветеринарной лаборатории</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96 146,7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биохранилища</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зданий и вспомогательных помещений</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6 157 878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1 371 254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835"/>
        <w:gridCol w:w="1"/>
        <w:gridCol w:w="986"/>
        <w:gridCol w:w="1331"/>
        <w:gridCol w:w="1267"/>
        <w:gridCol w:w="1267"/>
        <w:gridCol w:w="1246"/>
        <w:gridCol w:w="1267"/>
        <w:gridCol w:w="937"/>
        <w:gridCol w:w="1129"/>
      </w:tblGrid>
      <w:tr>
        <w:trPr>
          <w:trHeight w:val="6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«Мониторинг и оценка мелиоративного состояния орошаемых земель»</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РГУ «Зональный гидрогеолого-мелиоративный центр»; РГУ «Кызылординская гидрогеолого-мелиоративная экспедиция»; РГУ «Южно-Казахстанская гидрогеолого-мелиоративная экспедиция» мониторинга и оценки за мелиоративным состоянием орошаемых земель, разработка рекомендаций и мероприятий по сохранению и улучшению мелиоративного состояния орошаемых земель.</w:t>
            </w:r>
            <w:r>
              <w:br/>
            </w:r>
            <w:r>
              <w:rPr>
                <w:rFonts w:ascii="Times New Roman"/>
                <w:b w:val="false"/>
                <w:i w:val="false"/>
                <w:color w:val="000000"/>
                <w:sz w:val="20"/>
              </w:rPr>
              <w:t>
</w:t>
            </w:r>
            <w:r>
              <w:rPr>
                <w:rFonts w:ascii="Times New Roman"/>
                <w:b w:val="false"/>
                <w:i w:val="false"/>
                <w:color w:val="000000"/>
                <w:sz w:val="20"/>
              </w:rPr>
              <w:t>Проведение РГУ «Республиканский методический центр «Казагромелиоводхоз» работ по разработке и научному обоснованию единой республиканской нормативно-методической документации в области мелиорации земель.</w:t>
            </w:r>
          </w:p>
        </w:tc>
      </w:tr>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Агромелиоративное обследование на орошаемых землях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нормативно-методических документаций в области мелиорации земель</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и мероприятий, направленных на эффективное и рациональное использование земель и поливной воды, предотвращение засоления, осолонцевания и ирригационной эрозии и смягчение негативного воздействия на орошаемых землях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и рекомендации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стоимость затрат по обоснованию критериев и оценке мелиоративного состояния на 1 гектар инженерно-подготовленных земель</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p>
            <w:pPr>
              <w:spacing w:after="20"/>
              <w:ind w:left="20"/>
              <w:jc w:val="both"/>
            </w:pPr>
            <w:r>
              <w:rPr>
                <w:rFonts w:ascii="Times New Roman"/>
                <w:b w:val="false"/>
                <w:i w:val="false"/>
                <w:color w:val="000000"/>
                <w:sz w:val="20"/>
              </w:rPr>
              <w:t>гектар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по разработке нормативно-методической базы в области мелиорации земель</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6 275,9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249 772,3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270 848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966"/>
        <w:gridCol w:w="1293"/>
        <w:gridCol w:w="1123"/>
        <w:gridCol w:w="1286"/>
        <w:gridCol w:w="1232"/>
        <w:gridCol w:w="1220"/>
        <w:gridCol w:w="1274"/>
        <w:gridCol w:w="996"/>
        <w:gridCol w:w="1159"/>
      </w:tblGrid>
      <w:tr>
        <w:trPr>
          <w:trHeight w:val="43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«Субсидирование процентной ставки по кредитным и лизинговым обязательствам в рамках направления по финансовому оздоровлению субъектов АПК»</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предусматриваются:</w:t>
            </w:r>
            <w:r>
              <w:br/>
            </w:r>
            <w:r>
              <w:rPr>
                <w:rFonts w:ascii="Times New Roman"/>
                <w:b w:val="false"/>
                <w:i w:val="false"/>
                <w:color w:val="000000"/>
                <w:sz w:val="20"/>
              </w:rPr>
              <w:t>
</w:t>
            </w:r>
            <w:r>
              <w:rPr>
                <w:rFonts w:ascii="Times New Roman"/>
                <w:b w:val="false"/>
                <w:i w:val="false"/>
                <w:color w:val="000000"/>
                <w:sz w:val="20"/>
              </w:rPr>
              <w:t>1) удешевление ставки вознаграждения по кредитным и лизинговым обязательствам СХТП в рамках направления по финансовому оздоровлению субъектов АПК;</w:t>
            </w:r>
            <w:r>
              <w:br/>
            </w:r>
            <w:r>
              <w:rPr>
                <w:rFonts w:ascii="Times New Roman"/>
                <w:b w:val="false"/>
                <w:i w:val="false"/>
                <w:color w:val="000000"/>
                <w:sz w:val="20"/>
              </w:rPr>
              <w:t>
</w:t>
            </w:r>
            <w:r>
              <w:rPr>
                <w:rFonts w:ascii="Times New Roman"/>
                <w:b w:val="false"/>
                <w:i w:val="false"/>
                <w:color w:val="000000"/>
                <w:sz w:val="20"/>
              </w:rPr>
              <w:t>2) оплата стоимости услуг оператора (АО «Казагромаркетинг»).</w:t>
            </w:r>
          </w:p>
        </w:tc>
      </w:tr>
      <w:tr>
        <w:trPr>
          <w:trHeight w:val="3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субсидирования процентной ставки по займам в рамках финансового оздоровления субъектов АПК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рассмотренных кредитных и лизинговых договоров для включения в процесс финансового оздоровления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пролонгированных обязательств по кредитным и лизинговым обязательствам в рамках финансового оздоровления субъектов АПК (с нарастающим итогом)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снижения процентной ставки вознаграждения кредитных и лизинговых обязательств в рамках финансового оздоровления субъектов АПК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19 470 136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18 070 136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132"/>
        <w:gridCol w:w="1465"/>
        <w:gridCol w:w="1155"/>
        <w:gridCol w:w="1192"/>
        <w:gridCol w:w="1155"/>
        <w:gridCol w:w="1155"/>
        <w:gridCol w:w="976"/>
        <w:gridCol w:w="976"/>
        <w:gridCol w:w="1156"/>
      </w:tblGrid>
      <w:tr>
        <w:trPr>
          <w:trHeight w:val="28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«Возмещение ставки вознаграждения по кредитам (лизингу) на поддержку сельского хозяйства»</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предусматриваются:</w:t>
            </w:r>
            <w:r>
              <w:br/>
            </w:r>
            <w:r>
              <w:rPr>
                <w:rFonts w:ascii="Times New Roman"/>
                <w:b w:val="false"/>
                <w:i w:val="false"/>
                <w:color w:val="000000"/>
                <w:sz w:val="20"/>
              </w:rPr>
              <w:t>
</w:t>
            </w:r>
            <w:r>
              <w:rPr>
                <w:rFonts w:ascii="Times New Roman"/>
                <w:b w:val="false"/>
                <w:i w:val="false"/>
                <w:color w:val="000000"/>
                <w:sz w:val="20"/>
              </w:rPr>
              <w:t>1) удешевление ставки вознаграждения по кредитам и лизингу для субъектов АПК;</w:t>
            </w:r>
            <w:r>
              <w:br/>
            </w:r>
            <w:r>
              <w:rPr>
                <w:rFonts w:ascii="Times New Roman"/>
                <w:b w:val="false"/>
                <w:i w:val="false"/>
                <w:color w:val="000000"/>
                <w:sz w:val="20"/>
              </w:rPr>
              <w:t>
</w:t>
            </w:r>
            <w:r>
              <w:rPr>
                <w:rFonts w:ascii="Times New Roman"/>
                <w:b w:val="false"/>
                <w:i w:val="false"/>
                <w:color w:val="000000"/>
                <w:sz w:val="20"/>
              </w:rPr>
              <w:t>2) оплата стоимости услуг оператора (АО «Казагромаркетинг»).</w:t>
            </w:r>
          </w:p>
        </w:tc>
      </w:tr>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 переработке сельхозпродукции, участвовавших в реализации программы на получение субсидий по кредитам (лизингу), выдаваемым финансовыми институтами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субсидирования процентной ставки по кредитам и лизингу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 получивших субсидии, к общему количеству перерабатывающих предприятий по республике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основных видов сельхозтехники (с учетом имеющейся техники с 2001 года выпуска)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кредитов, включая лизинг, выданных субъектам АПК за счет субсидирования ставок вознаграждения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удешевленных кредитов финансовых институтов на 1 тенге бюджетных субсидий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снижения процентной ставки вознаграждения кредитных и лизинговых обязательств субъектов АПК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1 724 719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3 952 443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6 574 892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6 574 892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6 749 784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2337"/>
        <w:gridCol w:w="1277"/>
        <w:gridCol w:w="1277"/>
        <w:gridCol w:w="1277"/>
        <w:gridCol w:w="1038"/>
        <w:gridCol w:w="1032"/>
        <w:gridCol w:w="1033"/>
        <w:gridCol w:w="1033"/>
        <w:gridCol w:w="1278"/>
      </w:tblGrid>
      <w:tr>
        <w:trPr>
          <w:trHeight w:val="5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«Целевые текущие трансферты областным бюджетам,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 2020 годы </w:t>
            </w:r>
            <w:r>
              <w:rPr>
                <w:rFonts w:ascii="Times New Roman"/>
                <w:b w:val="false"/>
                <w:i w:val="false"/>
                <w:color w:val="000000"/>
                <w:sz w:val="20"/>
              </w:rPr>
              <w:t>«Агробизнес – 2020»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Субсидирование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0"/>
              </w:rPr>
              <w:t>
</w:t>
            </w:r>
            <w:r>
              <w:rPr>
                <w:rFonts w:ascii="Times New Roman"/>
                <w:b w:val="false"/>
                <w:i w:val="false"/>
                <w:color w:val="000000"/>
                <w:sz w:val="20"/>
              </w:rPr>
              <w:t>2) Возмещение части расходов, понесенных субъектом АПК при инвестиционных вложениях, направленных на создание новых либо расширение действующих производственных мощностей.</w:t>
            </w:r>
            <w:r>
              <w:br/>
            </w:r>
            <w:r>
              <w:rPr>
                <w:rFonts w:ascii="Times New Roman"/>
                <w:b w:val="false"/>
                <w:i w:val="false"/>
                <w:color w:val="000000"/>
                <w:sz w:val="20"/>
              </w:rPr>
              <w:t>
</w:t>
            </w:r>
            <w:r>
              <w:rPr>
                <w:rFonts w:ascii="Times New Roman"/>
                <w:b w:val="false"/>
                <w:i w:val="false"/>
                <w:color w:val="000000"/>
                <w:sz w:val="20"/>
              </w:rPr>
              <w:t xml:space="preserve">Оплата услуг оператора </w:t>
            </w:r>
          </w:p>
        </w:tc>
      </w:tr>
      <w:tr>
        <w:trPr>
          <w:trHeight w:val="30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90" w:hRule="atLeast"/>
        </w:trPr>
        <w:tc>
          <w:tcPr>
            <w:tcW w:w="0" w:type="auto"/>
            <w:vMerge/>
            <w:tcBorders>
              <w:top w:val="nil"/>
              <w:left w:val="single" w:color="cfcfcf" w:sz="5"/>
              <w:bottom w:val="single" w:color="cfcfcf" w:sz="5"/>
              <w:right w:val="single" w:color="cfcfcf" w:sz="5"/>
            </w:tcBorders>
          </w:tcP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0" w:hRule="atLeast"/>
        </w:trPr>
        <w:tc>
          <w:tcPr>
            <w:tcW w:w="0" w:type="auto"/>
            <w:vMerge/>
            <w:tcBorders>
              <w:top w:val="nil"/>
              <w:left w:val="single" w:color="cfcfcf" w:sz="5"/>
              <w:bottom w:val="single" w:color="cfcfcf" w:sz="5"/>
              <w:right w:val="single" w:color="cfcfcf" w:sz="5"/>
            </w:tcBorders>
          </w:tcP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произведенной продукции, охваченный субсидированием, тыс. тонн, в том числе: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молоко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инвестиционных вложений субъектов АПК, направленных на создание новых либо расширение действующих производственных мощностей</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14 269 805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производства молочной продукции к предыдущему году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молоко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производства сахара из отечественного сырья к предыдущему году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привлеченных инвестиций за счет инвестиционных субсидий</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47 566 016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17 767 227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0"/>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w:t>
      </w:r>
    </w:p>
    <w:bookmarkEnd w:id="40"/>
    <w:p>
      <w:pPr>
        <w:spacing w:after="0"/>
        <w:ind w:left="0"/>
        <w:jc w:val="both"/>
      </w:pPr>
      <w:r>
        <w:rPr>
          <w:rFonts w:ascii="Times New Roman"/>
          <w:b w:val="false"/>
          <w:i w:val="false"/>
          <w:color w:val="ff0000"/>
          <w:sz w:val="28"/>
        </w:rPr>
        <w:t xml:space="preserve">      Сноска. Свод бюджетных расходов с изменениями, внесенными постановлением Правительства РК от 26.06.2014 </w:t>
      </w:r>
      <w:r>
        <w:rPr>
          <w:rFonts w:ascii="Times New Roman"/>
          <w:b w:val="false"/>
          <w:i w:val="false"/>
          <w:color w:val="ff0000"/>
          <w:sz w:val="28"/>
        </w:rPr>
        <w:t>№ 705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872"/>
        <w:gridCol w:w="1709"/>
        <w:gridCol w:w="1688"/>
        <w:gridCol w:w="1564"/>
        <w:gridCol w:w="1439"/>
        <w:gridCol w:w="1522"/>
        <w:gridCol w:w="1176"/>
        <w:gridCol w:w="1176"/>
      </w:tblGrid>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2012 год</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2013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295 318 265,7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199 284 346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152 003 142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110 379 532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109 350 285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237 194 769,1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179 116 655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130 631 888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110 379 532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109 350 285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58 123 496,6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20 167 691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21 371 254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