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10e6" w14:textId="3a11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1553. Утратило силу постановлением Правительства Республики Казахстан от 31 декабря 2015 года № 1193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31.12.2015 </w:t>
      </w:r>
      <w:r>
        <w:rPr>
          <w:rFonts w:ascii="Times New Roman"/>
          <w:b w:val="false"/>
          <w:i w:val="false"/>
          <w:color w:val="ff0000"/>
          <w:sz w:val="28"/>
        </w:rPr>
        <w:t>№ 1193</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2007 г., № 51, ст. 648)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премировать, устанавливать стимулирующие надбавки к должностным окладам руководителей организаций по результатам их работы, а также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или по плану развития, утвержденному для казенного предприятия органом государственного управления, в порядке, установленном органом государственного управления;»;</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устанавливать стимулирующие надбавки к должностным окладам работников организаций, премировать и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при отсутствии кредиторской задолженности, или по плану развития, утвержденному для казенного предприятия органом государственного управления, при отсутствии кредиторской задолженности, в порядке, определенном отраслевым соглашением, коллективным договором и (или) актом работодателя.»;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r>
        <w:br/>
      </w:r>
      <w:r>
        <w:rPr>
          <w:rFonts w:ascii="Times New Roman"/>
          <w:b w:val="false"/>
          <w:i w:val="false"/>
          <w:color w:val="000000"/>
          <w:sz w:val="28"/>
        </w:rPr>
        <w:t>
</w:t>
      </w:r>
      <w:r>
        <w:rPr>
          <w:rFonts w:ascii="Times New Roman"/>
          <w:b w:val="false"/>
          <w:i w:val="false"/>
          <w:color w:val="000000"/>
          <w:sz w:val="28"/>
        </w:rPr>
        <w:t>
      в категории «</w:t>
      </w:r>
      <w:r>
        <w:rPr>
          <w:rFonts w:ascii="Times New Roman"/>
          <w:b w:val="false"/>
          <w:i w:val="false"/>
          <w:color w:val="000000"/>
          <w:sz w:val="28"/>
        </w:rPr>
        <w:t>G-14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внесено изменение в текст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7</w:t>
      </w:r>
      <w:r>
        <w:rPr>
          <w:rFonts w:ascii="Times New Roman"/>
          <w:b w:val="false"/>
          <w:i w:val="false"/>
          <w:color w:val="000000"/>
          <w:sz w:val="28"/>
        </w:rPr>
        <w:t xml:space="preserve"> к указанному постановлению:</w:t>
      </w:r>
      <w:r>
        <w:br/>
      </w:r>
      <w:r>
        <w:rPr>
          <w:rFonts w:ascii="Times New Roman"/>
          <w:b w:val="false"/>
          <w:i w:val="false"/>
          <w:color w:val="000000"/>
          <w:sz w:val="28"/>
        </w:rPr>
        <w:t>
</w:t>
      </w:r>
      <w:r>
        <w:rPr>
          <w:rFonts w:ascii="Times New Roman"/>
          <w:b w:val="false"/>
          <w:i w:val="false"/>
          <w:color w:val="000000"/>
          <w:sz w:val="28"/>
        </w:rPr>
        <w:t>
      строку, порядковый номер 1, дополнить подпунктом 9) следующего содержания:</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971"/>
        <w:gridCol w:w="3916"/>
        <w:gridCol w:w="2212"/>
        <w:gridCol w:w="2169"/>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Работникам центров занятости населения за сложность и напряженность в работе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от ДО</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в </w:t>
      </w:r>
      <w:r>
        <w:rPr>
          <w:rFonts w:ascii="Times New Roman"/>
          <w:b w:val="false"/>
          <w:i w:val="false"/>
          <w:color w:val="000000"/>
          <w:sz w:val="28"/>
        </w:rPr>
        <w:t>приложении 14</w:t>
      </w:r>
      <w:r>
        <w:rPr>
          <w:rFonts w:ascii="Times New Roman"/>
          <w:b w:val="false"/>
          <w:i w:val="false"/>
          <w:color w:val="000000"/>
          <w:sz w:val="28"/>
        </w:rPr>
        <w:t xml:space="preserve"> к указанному постановлению:</w:t>
      </w:r>
      <w:r>
        <w:br/>
      </w:r>
      <w:r>
        <w:rPr>
          <w:rFonts w:ascii="Times New Roman"/>
          <w:b w:val="false"/>
          <w:i w:val="false"/>
          <w:color w:val="000000"/>
          <w:sz w:val="28"/>
        </w:rPr>
        <w:t>
</w:t>
      </w:r>
      <w:r>
        <w:rPr>
          <w:rFonts w:ascii="Times New Roman"/>
          <w:b w:val="false"/>
          <w:i w:val="false"/>
          <w:color w:val="000000"/>
          <w:sz w:val="28"/>
        </w:rPr>
        <w:t>
      строку, порядковый номер 3, изложить в следующей редакции:</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5083"/>
        <w:gridCol w:w="3916"/>
        <w:gridCol w:w="2212"/>
        <w:gridCol w:w="2169"/>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Рабочим за работу в Вооруженных Силах, других войсках и воинских формированиях, в системе специальных государственных, правоохранительных органов, государственной противопожарной службы при выслуге лет свыше:</w:t>
            </w:r>
          </w:p>
        </w:tc>
        <w:tc>
          <w:tcPr>
            <w:tcW w:w="3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Надбавка за работу в Вооруженных Силах, других войсках и воинских формированиях, пециальных государственных и правоохранительных органах, государственной противопожарной службе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и условия установления надбавки за выслугу лет определяется уполномоченным центральным органом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лет</w:t>
            </w:r>
          </w:p>
        </w:tc>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p>
        </w:tc>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лет</w:t>
            </w:r>
          </w:p>
        </w:tc>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лет</w:t>
            </w:r>
          </w:p>
        </w:tc>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от ДО</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в </w:t>
      </w:r>
      <w:r>
        <w:rPr>
          <w:rFonts w:ascii="Times New Roman"/>
          <w:b w:val="false"/>
          <w:i w:val="false"/>
          <w:color w:val="000000"/>
          <w:sz w:val="28"/>
        </w:rPr>
        <w:t>приложении 28</w:t>
      </w:r>
      <w:r>
        <w:rPr>
          <w:rFonts w:ascii="Times New Roman"/>
          <w:b w:val="false"/>
          <w:i w:val="false"/>
          <w:color w:val="000000"/>
          <w:sz w:val="28"/>
        </w:rPr>
        <w:t xml:space="preserve"> к указанному постановлению:</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течение года, не более 30 % от общего объема сэкономленных средств по плану развития, а в декабре – в полном объеме сэкономленных средств за год по следующим видам расходов:»;</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полном объеме сэкономленных средств по плану развития по следующим видам расходов:»;</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«По остальным видам расходов направление экономии средств по плану развития на премирование, оказание материальной помощи и установление надбавок не допускается.».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2014 года.</w:t>
      </w:r>
    </w:p>
    <w:bookmarkEnd w:id="2"/>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