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7534c" w14:textId="81753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Стратегическом плане Министерства финансов Республики Казахстан на 2014-2018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31 декабря 2013 года № 1543. Утратило силу постановлением Правительства Республики Казахстан от 31 декабря 2014 года № 1424</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31.12.2014 </w:t>
      </w:r>
      <w:r>
        <w:rPr>
          <w:rFonts w:ascii="Times New Roman"/>
          <w:b w:val="false"/>
          <w:i w:val="false"/>
          <w:color w:val="ff0000"/>
          <w:sz w:val="28"/>
        </w:rPr>
        <w:t>№ 1424</w:t>
      </w:r>
      <w:r>
        <w:rPr>
          <w:rFonts w:ascii="Times New Roman"/>
          <w:b w:val="false"/>
          <w:i w:val="false"/>
          <w:color w:val="ff0000"/>
          <w:sz w:val="28"/>
        </w:rPr>
        <w:t>.</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Вводится в действие с 1 января 2014 года.</w:t>
      </w:r>
    </w:p>
    <w:bookmarkStart w:name="z2"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62</w:t>
      </w:r>
      <w:r>
        <w:rPr>
          <w:rFonts w:ascii="Times New Roman"/>
          <w:b w:val="false"/>
          <w:i w:val="false"/>
          <w:color w:val="000000"/>
          <w:sz w:val="28"/>
        </w:rPr>
        <w:t xml:space="preserve"> Бюджетного кодекса Республики Казахстан от 4 декабря 2008 года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прилагаемый </w:t>
      </w:r>
      <w:r>
        <w:rPr>
          <w:rFonts w:ascii="Times New Roman"/>
          <w:b w:val="false"/>
          <w:i w:val="false"/>
          <w:color w:val="000000"/>
          <w:sz w:val="28"/>
        </w:rPr>
        <w:t>Стратегический план</w:t>
      </w:r>
      <w:r>
        <w:rPr>
          <w:rFonts w:ascii="Times New Roman"/>
          <w:b w:val="false"/>
          <w:i w:val="false"/>
          <w:color w:val="000000"/>
          <w:sz w:val="28"/>
        </w:rPr>
        <w:t xml:space="preserve"> Министерства финансов Республики Казахстан на 2014 – 2018 годы.</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 1 января 2014 года и подлежит официальному опубликованию.</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bookmarkStart w:name="z4" w:id="1"/>
    <w:p>
      <w:pPr>
        <w:spacing w:after="0"/>
        <w:ind w:left="0"/>
        <w:jc w:val="both"/>
      </w:pPr>
      <w:r>
        <w:rPr>
          <w:rFonts w:ascii="Times New Roman"/>
          <w:b w:val="false"/>
          <w:i w:val="false"/>
          <w:color w:val="000000"/>
          <w:sz w:val="28"/>
        </w:rPr>
        <w:t xml:space="preserve">
Утверждаю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31 декабря 2013 года № 1543</w:t>
      </w:r>
    </w:p>
    <w:bookmarkEnd w:id="1"/>
    <w:bookmarkStart w:name="z5" w:id="2"/>
    <w:p>
      <w:pPr>
        <w:spacing w:after="0"/>
        <w:ind w:left="0"/>
        <w:jc w:val="left"/>
      </w:pPr>
      <w:r>
        <w:rPr>
          <w:rFonts w:ascii="Times New Roman"/>
          <w:b/>
          <w:i w:val="false"/>
          <w:color w:val="000000"/>
        </w:rPr>
        <w:t xml:space="preserve"> 
Стратегический план</w:t>
      </w:r>
      <w:r>
        <w:br/>
      </w:r>
      <w:r>
        <w:rPr>
          <w:rFonts w:ascii="Times New Roman"/>
          <w:b/>
          <w:i w:val="false"/>
          <w:color w:val="000000"/>
        </w:rPr>
        <w:t>
Министерства финансов Республики Казахстан на 2014 – 2018 годы</w:t>
      </w:r>
    </w:p>
    <w:bookmarkEnd w:id="2"/>
    <w:bookmarkStart w:name="z6" w:id="3"/>
    <w:p>
      <w:pPr>
        <w:spacing w:after="0"/>
        <w:ind w:left="0"/>
        <w:jc w:val="left"/>
      </w:pPr>
      <w:r>
        <w:rPr>
          <w:rFonts w:ascii="Times New Roman"/>
          <w:b/>
          <w:i w:val="false"/>
          <w:color w:val="000000"/>
        </w:rPr>
        <w:t xml:space="preserve"> 
1. Миссия и видение</w:t>
      </w:r>
    </w:p>
    <w:bookmarkEnd w:id="3"/>
    <w:p>
      <w:pPr>
        <w:spacing w:after="0"/>
        <w:ind w:left="0"/>
        <w:jc w:val="both"/>
      </w:pPr>
      <w:r>
        <w:rPr>
          <w:rFonts w:ascii="Times New Roman"/>
          <w:b w:val="false"/>
          <w:i w:val="false"/>
          <w:color w:val="000000"/>
          <w:sz w:val="28"/>
        </w:rPr>
        <w:t>      Миссия. Содействие в экономической безопасности и повышение конкурентоспособности Республики Казахстан.</w:t>
      </w:r>
      <w:r>
        <w:br/>
      </w:r>
      <w:r>
        <w:rPr>
          <w:rFonts w:ascii="Times New Roman"/>
          <w:b w:val="false"/>
          <w:i w:val="false"/>
          <w:color w:val="000000"/>
          <w:sz w:val="28"/>
        </w:rPr>
        <w:t>
      Видение. Эффективно функционирующая система государственных финансов, классифицируемая мировым сообществом как одна из наиболее развитых, устойчивых и прогрессивно эволюционирующих систем.</w:t>
      </w:r>
    </w:p>
    <w:bookmarkStart w:name="z7" w:id="4"/>
    <w:p>
      <w:pPr>
        <w:spacing w:after="0"/>
        <w:ind w:left="0"/>
        <w:jc w:val="left"/>
      </w:pPr>
      <w:r>
        <w:rPr>
          <w:rFonts w:ascii="Times New Roman"/>
          <w:b/>
          <w:i w:val="false"/>
          <w:color w:val="000000"/>
        </w:rPr>
        <w:t xml:space="preserve"> 
2. Анализ текущей ситуации и тенденции</w:t>
      </w:r>
      <w:r>
        <w:br/>
      </w:r>
      <w:r>
        <w:rPr>
          <w:rFonts w:ascii="Times New Roman"/>
          <w:b/>
          <w:i w:val="false"/>
          <w:color w:val="000000"/>
        </w:rPr>
        <w:t>
развития соответствующих отраслей (сфер) деятельности</w:t>
      </w:r>
      <w:r>
        <w:br/>
      </w:r>
      <w:r>
        <w:rPr>
          <w:rFonts w:ascii="Times New Roman"/>
          <w:b/>
          <w:i w:val="false"/>
          <w:color w:val="000000"/>
        </w:rPr>
        <w:t>
Стратегическое направление 1.</w:t>
      </w:r>
      <w:r>
        <w:br/>
      </w:r>
      <w:r>
        <w:rPr>
          <w:rFonts w:ascii="Times New Roman"/>
          <w:b/>
          <w:i w:val="false"/>
          <w:color w:val="000000"/>
        </w:rPr>
        <w:t>
Содействие в обеспечении финансовой безопасности</w:t>
      </w:r>
    </w:p>
    <w:bookmarkEnd w:id="4"/>
    <w:bookmarkStart w:name="z8" w:id="5"/>
    <w:p>
      <w:pPr>
        <w:spacing w:after="0"/>
        <w:ind w:left="0"/>
        <w:jc w:val="both"/>
      </w:pPr>
      <w:r>
        <w:rPr>
          <w:rFonts w:ascii="Times New Roman"/>
          <w:b w:val="false"/>
          <w:i w:val="false"/>
          <w:color w:val="000000"/>
          <w:sz w:val="28"/>
        </w:rPr>
        <w:t>
      </w:t>
      </w:r>
      <w:r>
        <w:rPr>
          <w:rFonts w:ascii="Times New Roman"/>
          <w:b/>
          <w:i w:val="false"/>
          <w:color w:val="000000"/>
          <w:sz w:val="28"/>
        </w:rPr>
        <w:t>1. Исполнение бюджета</w:t>
      </w:r>
      <w:r>
        <w:br/>
      </w:r>
      <w:r>
        <w:rPr>
          <w:rFonts w:ascii="Times New Roman"/>
          <w:b w:val="false"/>
          <w:i w:val="false"/>
          <w:color w:val="000000"/>
          <w:sz w:val="28"/>
        </w:rPr>
        <w:t>
</w:t>
      </w:r>
      <w:r>
        <w:rPr>
          <w:rFonts w:ascii="Times New Roman"/>
          <w:b w:val="false"/>
          <w:i w:val="false"/>
          <w:color w:val="000000"/>
          <w:sz w:val="28"/>
        </w:rPr>
        <w:t>
      1. Основные параметры развития</w:t>
      </w:r>
      <w:r>
        <w:br/>
      </w:r>
      <w:r>
        <w:rPr>
          <w:rFonts w:ascii="Times New Roman"/>
          <w:b w:val="false"/>
          <w:i w:val="false"/>
          <w:color w:val="000000"/>
          <w:sz w:val="28"/>
        </w:rPr>
        <w:t>
      Экономическая безопасность, являясь составной частью национальной безопасности, характеризует состояние защищенности национальной экономики Республики Казахстан от реальных и потенциальных угроз, при котором обеспечивается устойчивое ее развитие и экономическая независимость. Экономическая безопасность включает финансовую безопасность, предусматривающую состояние защищенности финансовой системы от реальных и потенциальных угроз, при которой государство способно обеспечить ее целостность, независимость и устойчивое развитие.</w:t>
      </w:r>
      <w:r>
        <w:br/>
      </w:r>
      <w:r>
        <w:rPr>
          <w:rFonts w:ascii="Times New Roman"/>
          <w:b w:val="false"/>
          <w:i w:val="false"/>
          <w:color w:val="000000"/>
          <w:sz w:val="28"/>
        </w:rPr>
        <w:t>
      Ключевая функция Министерства финансов (далее – Министерство) обеспечение эффективного исполнения бюджета, поэтому данное стратегическое направление объединило цели по обеспечению полноты доходной части, эффективности расходования бюджетных средств, обеспечению финансирования дефицита республиканского бюджета и удержания государственного долга на безопасном уровне, повышению качества казначейского обслуживания исполнения бюджетов и счетов государственных учреждений, оптимизации и повышению эффективности процесса государственных закупок и предупреждение финансовых нарушений при использовании средств государственного бюджета, совершенствованию управления государственной собственностью.</w:t>
      </w:r>
      <w:r>
        <w:br/>
      </w:r>
      <w:r>
        <w:rPr>
          <w:rFonts w:ascii="Times New Roman"/>
          <w:b w:val="false"/>
          <w:i w:val="false"/>
          <w:color w:val="000000"/>
          <w:sz w:val="28"/>
        </w:rPr>
        <w:t>
</w:t>
      </w:r>
      <w:r>
        <w:rPr>
          <w:rFonts w:ascii="Times New Roman"/>
          <w:b w:val="false"/>
          <w:i w:val="false"/>
          <w:color w:val="000000"/>
          <w:sz w:val="28"/>
        </w:rPr>
        <w:t>
      2. Анализ основных проблем</w:t>
      </w:r>
      <w:r>
        <w:br/>
      </w:r>
      <w:r>
        <w:rPr>
          <w:rFonts w:ascii="Times New Roman"/>
          <w:b w:val="false"/>
          <w:i w:val="false"/>
          <w:color w:val="000000"/>
          <w:sz w:val="28"/>
        </w:rPr>
        <w:t>
      Основной целью казначейства Казахстана является обеспечение полноты, целостности и точности финансовой отчетности, а также переход с бумажной отчетности на электронный документооборот. Многие страны столкнулись со сложной задачей при проведении таких реформ ввиду частичного или полного отсутствия интеграции между различными информационными системами, которые использовались на различных этапах бюджетного процесса. Широкое использование бумажных документов и применение многократного ввода данных в бюджетном процессе также ведут к трате времени и ресурсов. Интеграция системы подготовки бюджета и казначейской исполнительной системы необходима для совершенствования мониторинга исполнения бюджета и управления обязательствами и денежными средствами. По мнению экспертов Всемирного банка, острота технических и эксплуатационных проблем такой интеграции может быть снижена за счет надлежащей интеграции соответствующего программного обеспечения и баз данных, совместного использования информационного центра и сети, гармонизации бюджетной классификации/плана счетов на всех уровнях бюджета и обеспечения адекватного безопасного доступа ко всем бюджетным учреждениям (центрального и местного уровней) для исполнения, мониторинга и отчетности.</w:t>
      </w:r>
      <w:r>
        <w:br/>
      </w:r>
      <w:r>
        <w:rPr>
          <w:rFonts w:ascii="Times New Roman"/>
          <w:b w:val="false"/>
          <w:i w:val="false"/>
          <w:color w:val="000000"/>
          <w:sz w:val="28"/>
        </w:rPr>
        <w:t>
</w:t>
      </w:r>
      <w:r>
        <w:rPr>
          <w:rFonts w:ascii="Times New Roman"/>
          <w:b w:val="false"/>
          <w:i w:val="false"/>
          <w:color w:val="000000"/>
          <w:sz w:val="28"/>
        </w:rPr>
        <w:t>
      3. Оценка основных внешних и внутренних факторов</w:t>
      </w:r>
      <w:r>
        <w:br/>
      </w:r>
      <w:r>
        <w:rPr>
          <w:rFonts w:ascii="Times New Roman"/>
          <w:b w:val="false"/>
          <w:i w:val="false"/>
          <w:color w:val="000000"/>
          <w:sz w:val="28"/>
        </w:rPr>
        <w:t>
      Внешние факторы</w:t>
      </w:r>
      <w:r>
        <w:br/>
      </w:r>
      <w:r>
        <w:rPr>
          <w:rFonts w:ascii="Times New Roman"/>
          <w:b w:val="false"/>
          <w:i w:val="false"/>
          <w:color w:val="000000"/>
          <w:sz w:val="28"/>
        </w:rPr>
        <w:t>
      1) Отсутствие технической оснащенности государственных учреждений для работы в ИС «Казначейство-клиент»;</w:t>
      </w:r>
      <w:r>
        <w:br/>
      </w:r>
      <w:r>
        <w:rPr>
          <w:rFonts w:ascii="Times New Roman"/>
          <w:b w:val="false"/>
          <w:i w:val="false"/>
          <w:color w:val="000000"/>
          <w:sz w:val="28"/>
        </w:rPr>
        <w:t>
      2) отсутствие или нестабильность сети Интернет.</w:t>
      </w:r>
      <w:r>
        <w:br/>
      </w:r>
      <w:r>
        <w:rPr>
          <w:rFonts w:ascii="Times New Roman"/>
          <w:b w:val="false"/>
          <w:i w:val="false"/>
          <w:color w:val="000000"/>
          <w:sz w:val="28"/>
        </w:rPr>
        <w:t>
      Внутренние факторы</w:t>
      </w:r>
      <w:r>
        <w:br/>
      </w:r>
      <w:r>
        <w:rPr>
          <w:rFonts w:ascii="Times New Roman"/>
          <w:b w:val="false"/>
          <w:i w:val="false"/>
          <w:color w:val="000000"/>
          <w:sz w:val="28"/>
        </w:rPr>
        <w:t>
      1) Некачественное представление поставщиком услуг по сопровождению ИС «Казначейство-клиент» для бесперебойного функционирования Системы.</w:t>
      </w:r>
    </w:p>
    <w:bookmarkEnd w:id="5"/>
    <w:bookmarkStart w:name="z12" w:id="6"/>
    <w:p>
      <w:pPr>
        <w:spacing w:after="0"/>
        <w:ind w:left="0"/>
        <w:jc w:val="both"/>
      </w:pPr>
      <w:r>
        <w:rPr>
          <w:rFonts w:ascii="Times New Roman"/>
          <w:b w:val="false"/>
          <w:i w:val="false"/>
          <w:color w:val="000000"/>
          <w:sz w:val="28"/>
        </w:rPr>
        <w:t>
      </w:t>
      </w:r>
      <w:r>
        <w:rPr>
          <w:rFonts w:ascii="Times New Roman"/>
          <w:b/>
          <w:i w:val="false"/>
          <w:color w:val="000000"/>
          <w:sz w:val="28"/>
        </w:rPr>
        <w:t>2. Внутренний государственный финансовый контроль</w:t>
      </w:r>
      <w:r>
        <w:br/>
      </w:r>
      <w:r>
        <w:rPr>
          <w:rFonts w:ascii="Times New Roman"/>
          <w:b w:val="false"/>
          <w:i w:val="false"/>
          <w:color w:val="000000"/>
          <w:sz w:val="28"/>
        </w:rPr>
        <w:t>
</w:t>
      </w:r>
      <w:r>
        <w:rPr>
          <w:rFonts w:ascii="Times New Roman"/>
          <w:b w:val="false"/>
          <w:i w:val="false"/>
          <w:color w:val="000000"/>
          <w:sz w:val="28"/>
        </w:rPr>
        <w:t>
      1. Основные параметры развития</w:t>
      </w:r>
      <w:r>
        <w:br/>
      </w:r>
      <w:r>
        <w:rPr>
          <w:rFonts w:ascii="Times New Roman"/>
          <w:b w:val="false"/>
          <w:i w:val="false"/>
          <w:color w:val="000000"/>
          <w:sz w:val="28"/>
        </w:rPr>
        <w:t>
      В настоящее время, в условиях программно-целевого бюджетирования, наиболее актуальным является вопрос повышения финансовой дисциплины объектов контроля при использовании средств государственного бюджета.</w:t>
      </w:r>
      <w:r>
        <w:br/>
      </w:r>
      <w:r>
        <w:rPr>
          <w:rFonts w:ascii="Times New Roman"/>
          <w:b w:val="false"/>
          <w:i w:val="false"/>
          <w:color w:val="000000"/>
          <w:sz w:val="28"/>
        </w:rPr>
        <w:t>
      В целях выявления наиболее подверженных риску объектами контроля нарушений, КФК применяет отбор объектов к контролю на основе системы управления рисками. Применение данной системы предполагает снижение нагрузки на объекты контроля и мотивирует объекты контроля к минимизации нарушении в целях исключения из СУР.</w:t>
      </w:r>
      <w:r>
        <w:br/>
      </w:r>
      <w:r>
        <w:rPr>
          <w:rFonts w:ascii="Times New Roman"/>
          <w:b w:val="false"/>
          <w:i w:val="false"/>
          <w:color w:val="000000"/>
          <w:sz w:val="28"/>
        </w:rPr>
        <w:t>
</w:t>
      </w:r>
      <w:r>
        <w:rPr>
          <w:rFonts w:ascii="Times New Roman"/>
          <w:b w:val="false"/>
          <w:i w:val="false"/>
          <w:color w:val="000000"/>
          <w:sz w:val="28"/>
        </w:rPr>
        <w:t>
      2. Анализ основных проблем</w:t>
      </w:r>
      <w:r>
        <w:br/>
      </w:r>
      <w:r>
        <w:rPr>
          <w:rFonts w:ascii="Times New Roman"/>
          <w:b w:val="false"/>
          <w:i w:val="false"/>
          <w:color w:val="000000"/>
          <w:sz w:val="28"/>
        </w:rPr>
        <w:t>
      Вместе с тем, актуальным остается вопрос требования наиболее полного устранения выявленных нарушений. При этом на госфинконтроль ложится обязанность не только фиксировать недостатки и нарушения, но и выявлять причины, повлиявшие на возникновение этих проблем, а также формировать предложения и рекомендации по их устранению и недопущению впредь.</w:t>
      </w:r>
      <w:r>
        <w:br/>
      </w:r>
      <w:r>
        <w:rPr>
          <w:rFonts w:ascii="Times New Roman"/>
          <w:b w:val="false"/>
          <w:i w:val="false"/>
          <w:color w:val="000000"/>
          <w:sz w:val="28"/>
        </w:rPr>
        <w:t>
      Одним из основных этапов работы органов госфинконтроля является их взаимодействие, к которым следует также отнести координацию деятельности служб внутреннего контроля уполномоченным Правительством Республики Казахстан органом по внутреннему контролю, что позволит оптимизировать работу и направить имеющиеся ресурсы на контроль объектов с высоким уровнем риска. Таким образом, взаимодействие должно быть построено на контроле и оценке деятельности служб внутреннего контроля на соответствие стандартам госфинконтроля в целях качественной их деятельности и соответствия требованиям стандартов.</w:t>
      </w:r>
      <w:r>
        <w:br/>
      </w:r>
      <w:r>
        <w:rPr>
          <w:rFonts w:ascii="Times New Roman"/>
          <w:b w:val="false"/>
          <w:i w:val="false"/>
          <w:color w:val="000000"/>
          <w:sz w:val="28"/>
        </w:rPr>
        <w:t>
</w:t>
      </w:r>
      <w:r>
        <w:rPr>
          <w:rFonts w:ascii="Times New Roman"/>
          <w:b w:val="false"/>
          <w:i w:val="false"/>
          <w:color w:val="000000"/>
          <w:sz w:val="28"/>
        </w:rPr>
        <w:t>
      3. Оценка основных внешних и внутренних факторов</w:t>
      </w:r>
      <w:r>
        <w:br/>
      </w:r>
      <w:r>
        <w:rPr>
          <w:rFonts w:ascii="Times New Roman"/>
          <w:b w:val="false"/>
          <w:i w:val="false"/>
          <w:color w:val="000000"/>
          <w:sz w:val="28"/>
        </w:rPr>
        <w:t>
      Внешние факторы</w:t>
      </w:r>
      <w:r>
        <w:br/>
      </w:r>
      <w:r>
        <w:rPr>
          <w:rFonts w:ascii="Times New Roman"/>
          <w:b w:val="false"/>
          <w:i w:val="false"/>
          <w:color w:val="000000"/>
          <w:sz w:val="28"/>
        </w:rPr>
        <w:t>
      1) Несоблюдение, нарушение объектами контроля бюджетного и иного законодательства Республики Казахстан;</w:t>
      </w:r>
      <w:r>
        <w:br/>
      </w:r>
      <w:r>
        <w:rPr>
          <w:rFonts w:ascii="Times New Roman"/>
          <w:b w:val="false"/>
          <w:i w:val="false"/>
          <w:color w:val="000000"/>
          <w:sz w:val="28"/>
        </w:rPr>
        <w:t>
      2) неисполнение, несвоевременное либо неполное устранение выявленных нарушений объектами контроля;</w:t>
      </w:r>
      <w:r>
        <w:br/>
      </w:r>
      <w:r>
        <w:rPr>
          <w:rFonts w:ascii="Times New Roman"/>
          <w:b w:val="false"/>
          <w:i w:val="false"/>
          <w:color w:val="000000"/>
          <w:sz w:val="28"/>
        </w:rPr>
        <w:t>
      3) низкая эффективность деятельности служб внутреннего контроля.</w:t>
      </w:r>
      <w:r>
        <w:br/>
      </w:r>
      <w:r>
        <w:rPr>
          <w:rFonts w:ascii="Times New Roman"/>
          <w:b w:val="false"/>
          <w:i w:val="false"/>
          <w:color w:val="000000"/>
          <w:sz w:val="28"/>
        </w:rPr>
        <w:t>
      Внутренние факторы</w:t>
      </w:r>
      <w:r>
        <w:br/>
      </w:r>
      <w:r>
        <w:rPr>
          <w:rFonts w:ascii="Times New Roman"/>
          <w:b w:val="false"/>
          <w:i w:val="false"/>
          <w:color w:val="000000"/>
          <w:sz w:val="28"/>
        </w:rPr>
        <w:t>
      1) Отсутствие автоматизированной информационной системы управления рисками и базы данных финансового контроля;</w:t>
      </w:r>
      <w:r>
        <w:br/>
      </w:r>
      <w:r>
        <w:rPr>
          <w:rFonts w:ascii="Times New Roman"/>
          <w:b w:val="false"/>
          <w:i w:val="false"/>
          <w:color w:val="000000"/>
          <w:sz w:val="28"/>
        </w:rPr>
        <w:t xml:space="preserve">
      2) ограниченность трудовых ресурсов уполномоченного Правительством Республики Казахстан органа по внутреннему контролю. </w:t>
      </w:r>
    </w:p>
    <w:bookmarkEnd w:id="6"/>
    <w:bookmarkStart w:name="z16" w:id="7"/>
    <w:p>
      <w:pPr>
        <w:spacing w:after="0"/>
        <w:ind w:left="0"/>
        <w:jc w:val="both"/>
      </w:pPr>
      <w:r>
        <w:rPr>
          <w:rFonts w:ascii="Times New Roman"/>
          <w:b w:val="false"/>
          <w:i w:val="false"/>
          <w:color w:val="000000"/>
          <w:sz w:val="28"/>
        </w:rPr>
        <w:t>
      </w:t>
      </w:r>
      <w:r>
        <w:rPr>
          <w:rFonts w:ascii="Times New Roman"/>
          <w:b/>
          <w:i w:val="false"/>
          <w:color w:val="000000"/>
          <w:sz w:val="28"/>
        </w:rPr>
        <w:t>3. Бухгалтерский учет, финансовая отчетность и аудиторская деятельность</w:t>
      </w:r>
      <w:r>
        <w:br/>
      </w:r>
      <w:r>
        <w:rPr>
          <w:rFonts w:ascii="Times New Roman"/>
          <w:b w:val="false"/>
          <w:i w:val="false"/>
          <w:color w:val="000000"/>
          <w:sz w:val="28"/>
        </w:rPr>
        <w:t>
</w:t>
      </w:r>
      <w:r>
        <w:rPr>
          <w:rFonts w:ascii="Times New Roman"/>
          <w:b w:val="false"/>
          <w:i w:val="false"/>
          <w:color w:val="000000"/>
          <w:sz w:val="28"/>
        </w:rPr>
        <w:t>
      1. Основные параметры развития</w:t>
      </w:r>
      <w:r>
        <w:br/>
      </w:r>
      <w:r>
        <w:rPr>
          <w:rFonts w:ascii="Times New Roman"/>
          <w:b w:val="false"/>
          <w:i w:val="false"/>
          <w:color w:val="000000"/>
          <w:sz w:val="28"/>
        </w:rPr>
        <w:t>
      В настоящее время страна проходит важный этап интеграции в мировое сообщество, развития автоматизации и интеграции учета и отчетности, адаптации международных стандартов финансовой отчетности и международных стандартов аудита. При этом весьма актуальным становится вопрос качественной подготовки и аттестации специалистов в сфере бухгалтерского учета и аудита, поскольку появляется необходимость обеспечения конкурентоспособности казахстанских специалистов. Решить эту задачу можно только путем совершенствования системы профессионального обучения и повышения квалификации кадров, доводя их уровень подготовки до международного.</w:t>
      </w:r>
      <w:r>
        <w:br/>
      </w:r>
      <w:r>
        <w:rPr>
          <w:rFonts w:ascii="Times New Roman"/>
          <w:b w:val="false"/>
          <w:i w:val="false"/>
          <w:color w:val="000000"/>
          <w:sz w:val="28"/>
        </w:rPr>
        <w:t>
</w:t>
      </w:r>
      <w:r>
        <w:rPr>
          <w:rFonts w:ascii="Times New Roman"/>
          <w:b w:val="false"/>
          <w:i w:val="false"/>
          <w:color w:val="000000"/>
          <w:sz w:val="28"/>
        </w:rPr>
        <w:t>
      2. Анализ основных проблем</w:t>
      </w:r>
      <w:r>
        <w:br/>
      </w:r>
      <w:r>
        <w:rPr>
          <w:rFonts w:ascii="Times New Roman"/>
          <w:b w:val="false"/>
          <w:i w:val="false"/>
          <w:color w:val="000000"/>
          <w:sz w:val="28"/>
        </w:rPr>
        <w:t>
      В ходе интеграции в мировое сообщество, использующее профессиональные стандарты учета и отчетности, которые постоянно совершенствуются, вопросы обеспечения своевременного распространения международных стандартов бухгалтерского учета и аудита остаются одними из наиболее актуальных в республике.</w:t>
      </w:r>
      <w:r>
        <w:br/>
      </w:r>
      <w:r>
        <w:rPr>
          <w:rFonts w:ascii="Times New Roman"/>
          <w:b w:val="false"/>
          <w:i w:val="false"/>
          <w:color w:val="000000"/>
          <w:sz w:val="28"/>
        </w:rPr>
        <w:t>
      Реализация мероприятий по совершенствованию стандартов финансовой отчетности и аудита возможна в результате создания национальной системы опроса пользователей, что позволит выявить проблемы по применению данных стандартов с дальнейшим направлением предложений в Международную федерацию бухгалтеров и Фонд международных стандартов финансовой отчетности.</w:t>
      </w:r>
      <w:r>
        <w:br/>
      </w:r>
      <w:r>
        <w:rPr>
          <w:rFonts w:ascii="Times New Roman"/>
          <w:b w:val="false"/>
          <w:i w:val="false"/>
          <w:color w:val="000000"/>
          <w:sz w:val="28"/>
        </w:rPr>
        <w:t>
      Во исполнение Стамбульского плана действий по борьбе с коррупцией, Сети по борьбе с коррупцией для стран Восточной Европы и Центральной Азии, в сфере государственного финансового контроля и аудита необходимо разграничить, в соответствии с международными стандартами, функции государственного внутреннего контроля и аудита, утвердить и внедрить стандарты внутреннего аудита, а также организовать структуры по внутреннему аудиту в органах исполнительной власти и центральный орган гармонизации стандартов аудита при Министерстве финансов путем разработки методологии государственного аудита в 2014 году. Параллельно, будет осуществляться обучение и сертификация специалистов. Процесс перехода к государственному аудиту в Республике Казахстан планируется завершить в полном объеме до 2018 года.</w:t>
      </w:r>
      <w:r>
        <w:br/>
      </w:r>
      <w:r>
        <w:rPr>
          <w:rFonts w:ascii="Times New Roman"/>
          <w:b w:val="false"/>
          <w:i w:val="false"/>
          <w:color w:val="000000"/>
          <w:sz w:val="28"/>
        </w:rPr>
        <w:t>
</w:t>
      </w:r>
      <w:r>
        <w:rPr>
          <w:rFonts w:ascii="Times New Roman"/>
          <w:b w:val="false"/>
          <w:i w:val="false"/>
          <w:color w:val="000000"/>
          <w:sz w:val="28"/>
        </w:rPr>
        <w:t>
      3. Оценка основных внешних и внутренних факторов</w:t>
      </w:r>
      <w:r>
        <w:br/>
      </w:r>
      <w:r>
        <w:rPr>
          <w:rFonts w:ascii="Times New Roman"/>
          <w:b w:val="false"/>
          <w:i w:val="false"/>
          <w:color w:val="000000"/>
          <w:sz w:val="28"/>
        </w:rPr>
        <w:t>
      Внешние факторы</w:t>
      </w:r>
      <w:r>
        <w:br/>
      </w:r>
      <w:r>
        <w:rPr>
          <w:rFonts w:ascii="Times New Roman"/>
          <w:b w:val="false"/>
          <w:i w:val="false"/>
          <w:color w:val="000000"/>
          <w:sz w:val="28"/>
        </w:rPr>
        <w:t>
      1) Отсутствие международных организаций-доноров по обучению, а также сертифицированных специалистов по государственному внутреннему аудиту в республике;</w:t>
      </w:r>
      <w:r>
        <w:br/>
      </w:r>
      <w:r>
        <w:rPr>
          <w:rFonts w:ascii="Times New Roman"/>
          <w:b w:val="false"/>
          <w:i w:val="false"/>
          <w:color w:val="000000"/>
          <w:sz w:val="28"/>
        </w:rPr>
        <w:t>
      2) низкий уровень подготовки специалистов по бухгалтерскому учету и аудиту в ВУЗ-ах Республики Казахстан.</w:t>
      </w:r>
      <w:r>
        <w:br/>
      </w:r>
      <w:r>
        <w:rPr>
          <w:rFonts w:ascii="Times New Roman"/>
          <w:b w:val="false"/>
          <w:i w:val="false"/>
          <w:color w:val="000000"/>
          <w:sz w:val="28"/>
        </w:rPr>
        <w:t>
      Внутренние факторы</w:t>
      </w:r>
      <w:r>
        <w:br/>
      </w:r>
      <w:r>
        <w:rPr>
          <w:rFonts w:ascii="Times New Roman"/>
          <w:b w:val="false"/>
          <w:i w:val="false"/>
          <w:color w:val="000000"/>
          <w:sz w:val="28"/>
        </w:rPr>
        <w:t>
      1) Высокая загруженность кадров по проведению курсов совершенствованию обучения и сертификации в областях бухгалтерского учета и аудита, а также государственного внутреннего аудита;</w:t>
      </w:r>
      <w:r>
        <w:br/>
      </w:r>
      <w:r>
        <w:rPr>
          <w:rFonts w:ascii="Times New Roman"/>
          <w:b w:val="false"/>
          <w:i w:val="false"/>
          <w:color w:val="000000"/>
          <w:sz w:val="28"/>
        </w:rPr>
        <w:t>
      2) отсутствие системы сертификации аудиторов в сфере государственного финансового контроля.</w:t>
      </w:r>
    </w:p>
    <w:bookmarkEnd w:id="7"/>
    <w:bookmarkStart w:name="z20" w:id="8"/>
    <w:p>
      <w:pPr>
        <w:spacing w:after="0"/>
        <w:ind w:left="0"/>
        <w:jc w:val="both"/>
      </w:pPr>
      <w:r>
        <w:rPr>
          <w:rFonts w:ascii="Times New Roman"/>
          <w:b w:val="false"/>
          <w:i w:val="false"/>
          <w:color w:val="000000"/>
          <w:sz w:val="28"/>
        </w:rPr>
        <w:t>
      </w:t>
      </w:r>
      <w:r>
        <w:rPr>
          <w:rFonts w:ascii="Times New Roman"/>
          <w:b/>
          <w:i w:val="false"/>
          <w:color w:val="000000"/>
          <w:sz w:val="28"/>
        </w:rPr>
        <w:t>4. Международные стандарты финансовой отчетности общественного сектора</w:t>
      </w:r>
      <w:r>
        <w:br/>
      </w:r>
      <w:r>
        <w:rPr>
          <w:rFonts w:ascii="Times New Roman"/>
          <w:b w:val="false"/>
          <w:i w:val="false"/>
          <w:color w:val="000000"/>
          <w:sz w:val="28"/>
        </w:rPr>
        <w:t>
      1. Основные параметры развития</w:t>
      </w:r>
      <w:r>
        <w:br/>
      </w:r>
      <w:r>
        <w:rPr>
          <w:rFonts w:ascii="Times New Roman"/>
          <w:b w:val="false"/>
          <w:i w:val="false"/>
          <w:color w:val="000000"/>
          <w:sz w:val="28"/>
        </w:rPr>
        <w:t>
      В соответствии с </w:t>
      </w:r>
      <w:r>
        <w:rPr>
          <w:rFonts w:ascii="Times New Roman"/>
          <w:b w:val="false"/>
          <w:i w:val="false"/>
          <w:color w:val="000000"/>
          <w:sz w:val="28"/>
        </w:rPr>
        <w:t>Бюджетным кодексом</w:t>
      </w:r>
      <w:r>
        <w:rPr>
          <w:rFonts w:ascii="Times New Roman"/>
          <w:b w:val="false"/>
          <w:i w:val="false"/>
          <w:color w:val="000000"/>
          <w:sz w:val="28"/>
        </w:rPr>
        <w:t xml:space="preserve"> Республики Казахстан с 1 января 2013 года все государственные учреждения перешли на новую методологию бухгалтерского учета и финансовой отчетности, разработанной в соответствии с международными стандартами финансовой отчетности общественного сектора (далее – МСФООС) и методом начисления.</w:t>
      </w:r>
      <w:r>
        <w:br/>
      </w:r>
      <w:r>
        <w:rPr>
          <w:rFonts w:ascii="Times New Roman"/>
          <w:b w:val="false"/>
          <w:i w:val="false"/>
          <w:color w:val="000000"/>
          <w:sz w:val="28"/>
        </w:rPr>
        <w:t>
      В целях совершенствования методологии учета и отчетности, а также обучения, с 2010 года ежегодно осуществляется перевод МСФООС на государственный и/или русский языки с размещением на сайте Министерства. Для поддержания в актуальном состоянии МСФООС Министерством заключен договор с разработчиком данных стандартов – Комитетом по МСФООС Международной федерации бухгалтеров.</w:t>
      </w:r>
      <w:r>
        <w:br/>
      </w:r>
      <w:r>
        <w:rPr>
          <w:rFonts w:ascii="Times New Roman"/>
          <w:b w:val="false"/>
          <w:i w:val="false"/>
          <w:color w:val="000000"/>
          <w:sz w:val="28"/>
        </w:rPr>
        <w:t>
      Переход государственных учреждений на бухгалтерский учет и финансовую отчетность в соответствии с МСФООС по методу начисления является только первым шагом для дальнейших реформ в государственном секторе.</w:t>
      </w:r>
      <w:r>
        <w:br/>
      </w:r>
      <w:r>
        <w:rPr>
          <w:rFonts w:ascii="Times New Roman"/>
          <w:b w:val="false"/>
          <w:i w:val="false"/>
          <w:color w:val="000000"/>
          <w:sz w:val="28"/>
        </w:rPr>
        <w:t>
</w:t>
      </w:r>
      <w:r>
        <w:rPr>
          <w:rFonts w:ascii="Times New Roman"/>
          <w:b w:val="false"/>
          <w:i w:val="false"/>
          <w:color w:val="000000"/>
          <w:sz w:val="28"/>
        </w:rPr>
        <w:t>
      2. Анализ основных проблем</w:t>
      </w:r>
      <w:r>
        <w:br/>
      </w:r>
      <w:r>
        <w:rPr>
          <w:rFonts w:ascii="Times New Roman"/>
          <w:b w:val="false"/>
          <w:i w:val="false"/>
          <w:color w:val="000000"/>
          <w:sz w:val="28"/>
        </w:rPr>
        <w:t>
      По международному опыту стран, таких как Швейцария, Австралия, Новая Зеландия, Канада, Россия, осуществивших переход на метод начисления с предоставлением консолидированной финансовой отчетности в парламент этих стран в течение 10 лет, показывает необходимость тщательной методологической проработки по данному вопросу.</w:t>
      </w:r>
      <w:r>
        <w:br/>
      </w:r>
      <w:r>
        <w:rPr>
          <w:rFonts w:ascii="Times New Roman"/>
          <w:b w:val="false"/>
          <w:i w:val="false"/>
          <w:color w:val="000000"/>
          <w:sz w:val="28"/>
        </w:rPr>
        <w:t>
      В международной практике общепринято, что единый план счетов(далее – ЕПС) является основой структуры бухгалтерского учета и финансовой отчетности госсектора при классифицировании, регистрации информации по операциям и составлении финансовой отчетности.</w:t>
      </w:r>
      <w:r>
        <w:br/>
      </w:r>
      <w:r>
        <w:rPr>
          <w:rFonts w:ascii="Times New Roman"/>
          <w:b w:val="false"/>
          <w:i w:val="false"/>
          <w:color w:val="000000"/>
          <w:sz w:val="28"/>
        </w:rPr>
        <w:t>
      Разработка ЕПС является одной из первых задач, которая выполняется при создании системы бюджетирования и связанных с ней систем бухгалтерского учета и отчетности и важным элементом структуры управления государственными финансами и основой для гармонизации бюджетного и финансового учета.</w:t>
      </w:r>
      <w:r>
        <w:br/>
      </w:r>
      <w:r>
        <w:rPr>
          <w:rFonts w:ascii="Times New Roman"/>
          <w:b w:val="false"/>
          <w:i w:val="false"/>
          <w:color w:val="000000"/>
          <w:sz w:val="28"/>
        </w:rPr>
        <w:t>
      Система бухгалтерского учета может потребовать изменения ЕБК для удовлетворения потребности финансового управления и соответствия бухгалтерским стандартам. Бухгалтерская основа заключается в разработке интегрированного ЕПС, который будет соответствовать МСФООС и методу начисления, а также использоваться для контроля и отчетности бюджета по кассовому методу.</w:t>
      </w:r>
      <w:r>
        <w:br/>
      </w:r>
      <w:r>
        <w:rPr>
          <w:rFonts w:ascii="Times New Roman"/>
          <w:b w:val="false"/>
          <w:i w:val="false"/>
          <w:color w:val="000000"/>
          <w:sz w:val="28"/>
        </w:rPr>
        <w:t>
      Осуществление всех этапов реформ позволит достичь цели реформирования учета и отчетности по методу начисления в государственном секторе – это формирование полных и всеобъемлющих данных об операциях и состоянии государственного сектора в финансовой отчетности правительства.</w:t>
      </w:r>
      <w:r>
        <w:br/>
      </w:r>
      <w:r>
        <w:rPr>
          <w:rFonts w:ascii="Times New Roman"/>
          <w:b w:val="false"/>
          <w:i w:val="false"/>
          <w:color w:val="000000"/>
          <w:sz w:val="28"/>
        </w:rPr>
        <w:t>
</w:t>
      </w:r>
      <w:r>
        <w:rPr>
          <w:rFonts w:ascii="Times New Roman"/>
          <w:b w:val="false"/>
          <w:i w:val="false"/>
          <w:color w:val="000000"/>
          <w:sz w:val="28"/>
        </w:rPr>
        <w:t>
      3. Оценка основных внешних и внутренних факторов</w:t>
      </w:r>
      <w:r>
        <w:br/>
      </w:r>
      <w:r>
        <w:rPr>
          <w:rFonts w:ascii="Times New Roman"/>
          <w:b w:val="false"/>
          <w:i w:val="false"/>
          <w:color w:val="000000"/>
          <w:sz w:val="28"/>
        </w:rPr>
        <w:t>
      Внешние факторы</w:t>
      </w:r>
      <w:r>
        <w:br/>
      </w:r>
      <w:r>
        <w:rPr>
          <w:rFonts w:ascii="Times New Roman"/>
          <w:b w:val="false"/>
          <w:i w:val="false"/>
          <w:color w:val="000000"/>
          <w:sz w:val="28"/>
        </w:rPr>
        <w:t>
      1) Не предоставление поставщиком услуг по переводу МСФООС с английского языка на государственный и (или) русский языки.</w:t>
      </w:r>
      <w:r>
        <w:br/>
      </w:r>
      <w:r>
        <w:rPr>
          <w:rFonts w:ascii="Times New Roman"/>
          <w:b w:val="false"/>
          <w:i w:val="false"/>
          <w:color w:val="000000"/>
          <w:sz w:val="28"/>
        </w:rPr>
        <w:t>
      Внутренние факторы</w:t>
      </w:r>
      <w:r>
        <w:br/>
      </w:r>
      <w:r>
        <w:rPr>
          <w:rFonts w:ascii="Times New Roman"/>
          <w:b w:val="false"/>
          <w:i w:val="false"/>
          <w:color w:val="000000"/>
          <w:sz w:val="28"/>
        </w:rPr>
        <w:t>
      2) Отсутствие в Казахстане специалистов в области МСФООС.</w:t>
      </w:r>
    </w:p>
    <w:bookmarkEnd w:id="8"/>
    <w:bookmarkStart w:name="z23" w:id="9"/>
    <w:p>
      <w:pPr>
        <w:spacing w:after="0"/>
        <w:ind w:left="0"/>
        <w:jc w:val="both"/>
      </w:pPr>
      <w:r>
        <w:rPr>
          <w:rFonts w:ascii="Times New Roman"/>
          <w:b w:val="false"/>
          <w:i w:val="false"/>
          <w:color w:val="000000"/>
          <w:sz w:val="28"/>
        </w:rPr>
        <w:t>
      </w:t>
      </w:r>
      <w:r>
        <w:rPr>
          <w:rFonts w:ascii="Times New Roman"/>
          <w:b/>
          <w:i w:val="false"/>
          <w:color w:val="000000"/>
          <w:sz w:val="28"/>
        </w:rPr>
        <w:t>5. Государственные закупки</w:t>
      </w:r>
      <w:r>
        <w:br/>
      </w:r>
      <w:r>
        <w:rPr>
          <w:rFonts w:ascii="Times New Roman"/>
          <w:b w:val="false"/>
          <w:i w:val="false"/>
          <w:color w:val="000000"/>
          <w:sz w:val="28"/>
        </w:rPr>
        <w:t>
</w:t>
      </w:r>
      <w:r>
        <w:rPr>
          <w:rFonts w:ascii="Times New Roman"/>
          <w:b w:val="false"/>
          <w:i w:val="false"/>
          <w:color w:val="000000"/>
          <w:sz w:val="28"/>
        </w:rPr>
        <w:t>
      1. Основные параметры развития</w:t>
      </w:r>
      <w:r>
        <w:br/>
      </w:r>
      <w:r>
        <w:rPr>
          <w:rFonts w:ascii="Times New Roman"/>
          <w:b w:val="false"/>
          <w:i w:val="false"/>
          <w:color w:val="000000"/>
          <w:sz w:val="28"/>
        </w:rPr>
        <w:t xml:space="preserve">
      В целях централизации и осуществления государственных закупок по принципу «одного окна» создана информационная система «электронных государственных закупок» – веб-портал государственных закупок </w:t>
      </w:r>
      <w:r>
        <w:br/>
      </w:r>
      <w:r>
        <w:rPr>
          <w:rFonts w:ascii="Times New Roman"/>
          <w:b w:val="false"/>
          <w:i w:val="false"/>
          <w:color w:val="000000"/>
          <w:sz w:val="28"/>
        </w:rPr>
        <w:t>
(далее – портал государственных закупок).</w:t>
      </w:r>
      <w:r>
        <w:br/>
      </w:r>
      <w:r>
        <w:rPr>
          <w:rFonts w:ascii="Times New Roman"/>
          <w:b w:val="false"/>
          <w:i w:val="false"/>
          <w:color w:val="000000"/>
          <w:sz w:val="28"/>
        </w:rPr>
        <w:t>
      В целом развитие системы государственных закупок с использованием информационных технологий связано с необходимостью создания эффективной конкурентной среды, дальнейшего снижения коррупционных проявлений при проведении процедур закупок, упрощении процедур государственных закупок.</w:t>
      </w:r>
      <w:r>
        <w:br/>
      </w:r>
      <w:r>
        <w:rPr>
          <w:rFonts w:ascii="Times New Roman"/>
          <w:b w:val="false"/>
          <w:i w:val="false"/>
          <w:color w:val="000000"/>
          <w:sz w:val="28"/>
        </w:rPr>
        <w:t>
      С 1 января 2010 года все государственные закупки способом запроса ценовых предложений проходят только в электронном формате.</w:t>
      </w:r>
      <w:r>
        <w:br/>
      </w:r>
      <w:r>
        <w:rPr>
          <w:rFonts w:ascii="Times New Roman"/>
          <w:b w:val="false"/>
          <w:i w:val="false"/>
          <w:color w:val="000000"/>
          <w:sz w:val="28"/>
        </w:rPr>
        <w:t>
      Со второго полугодия 2011 года заказчики вправе воспользоваться порталом государственных закупок и проводить государственные закупки способом конкурса в электронном формате. С 1 июля 2012 года данный способ проведения государственных закупок осуществляется только посредством электронных государственных закупок.</w:t>
      </w:r>
      <w:r>
        <w:br/>
      </w:r>
      <w:r>
        <w:rPr>
          <w:rFonts w:ascii="Times New Roman"/>
          <w:b w:val="false"/>
          <w:i w:val="false"/>
          <w:color w:val="000000"/>
          <w:sz w:val="28"/>
        </w:rPr>
        <w:t>
      С 1 июля 2012 года внедрен новый способ осуществления государственных закупок – аукцион, проводимый исключительно в электронном формате в режиме реального времени на портале государственных закупок, за второе полугодие 2012 года проведено 660 аукционов.</w:t>
      </w:r>
      <w:r>
        <w:br/>
      </w:r>
      <w:r>
        <w:rPr>
          <w:rFonts w:ascii="Times New Roman"/>
          <w:b w:val="false"/>
          <w:i w:val="false"/>
          <w:color w:val="000000"/>
          <w:sz w:val="28"/>
        </w:rPr>
        <w:t>
</w:t>
      </w:r>
      <w:r>
        <w:rPr>
          <w:rFonts w:ascii="Times New Roman"/>
          <w:b w:val="false"/>
          <w:i w:val="false"/>
          <w:color w:val="000000"/>
          <w:sz w:val="28"/>
        </w:rPr>
        <w:t>
      2. Анализ основных проблем</w:t>
      </w:r>
      <w:r>
        <w:br/>
      </w:r>
      <w:r>
        <w:rPr>
          <w:rFonts w:ascii="Times New Roman"/>
          <w:b w:val="false"/>
          <w:i w:val="false"/>
          <w:color w:val="000000"/>
          <w:sz w:val="28"/>
        </w:rPr>
        <w:t>
      Автоматизация государственных закупок является одним из наиболее эффективных инструментов экономии бюджетных средств и устранения причин необоснованного сдерживания процесса государственных закупок.</w:t>
      </w:r>
      <w:r>
        <w:br/>
      </w:r>
      <w:r>
        <w:rPr>
          <w:rFonts w:ascii="Times New Roman"/>
          <w:b w:val="false"/>
          <w:i w:val="false"/>
          <w:color w:val="000000"/>
          <w:sz w:val="28"/>
        </w:rPr>
        <w:t>
      По состоянию на 1 апреля 2013 года общее количество пользователей, зарегистрированных на портале государственных закупок, составляет 242 453, что почти в 3 раза больше, чем в 2010 году.</w:t>
      </w:r>
      <w:r>
        <w:br/>
      </w:r>
      <w:r>
        <w:rPr>
          <w:rFonts w:ascii="Times New Roman"/>
          <w:b w:val="false"/>
          <w:i w:val="false"/>
          <w:color w:val="000000"/>
          <w:sz w:val="28"/>
        </w:rPr>
        <w:t>
      Общее количество поставщиков с 2010 года возросло в 2,1 раза и составило 117 311, из них 53 423 – юридические лица, 63 888 – физические лица.</w:t>
      </w:r>
      <w:r>
        <w:br/>
      </w:r>
      <w:r>
        <w:rPr>
          <w:rFonts w:ascii="Times New Roman"/>
          <w:b w:val="false"/>
          <w:i w:val="false"/>
          <w:color w:val="000000"/>
          <w:sz w:val="28"/>
        </w:rPr>
        <w:t>
      Количество посетителей – 53 056 269, из них абсолютно уникальных посетителей – 5 422 181, что в 3,8 раза больше чем в 2010 году.</w:t>
      </w:r>
      <w:r>
        <w:br/>
      </w:r>
      <w:r>
        <w:rPr>
          <w:rFonts w:ascii="Times New Roman"/>
          <w:b w:val="false"/>
          <w:i w:val="false"/>
          <w:color w:val="000000"/>
          <w:sz w:val="28"/>
        </w:rPr>
        <w:t>
      Каждый посетитель портала государственных закупок в среднем просматривает около 20 страниц, при этом длительность пребывания на сайте посетителя в среднем составляет 15 минут.</w:t>
      </w:r>
      <w:r>
        <w:br/>
      </w:r>
      <w:r>
        <w:rPr>
          <w:rFonts w:ascii="Times New Roman"/>
          <w:b w:val="false"/>
          <w:i w:val="false"/>
          <w:color w:val="000000"/>
          <w:sz w:val="28"/>
        </w:rPr>
        <w:t>
      Соглашение о государственных (муниципальных) закупках, заключенное в рамках Единого экономического пространства между Республикой Казахстан, Республикой Беларусь и Российской Федерацией, которое ратифицировано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8 июля 2011 года (далее – Соглашение), является одним из основных внешних факторов, влияющих на развитие системы государственных закупок.</w:t>
      </w:r>
      <w:r>
        <w:br/>
      </w:r>
      <w:r>
        <w:rPr>
          <w:rFonts w:ascii="Times New Roman"/>
          <w:b w:val="false"/>
          <w:i w:val="false"/>
          <w:color w:val="000000"/>
          <w:sz w:val="28"/>
        </w:rPr>
        <w:t>
      Соглашением предусматривается введение национального режима для всех государств Сторон – до 1 января 2014 года. С 1 января 2014 года для казахстанских предпринимателей появится огромная возможность наравне с предпринимателями стран Соглашения участвовать в закупках России и Беларусии. Более того, Соглашение в целом будет способствовать развитию конкуренции и в нашей стране.</w:t>
      </w:r>
      <w:r>
        <w:br/>
      </w:r>
      <w:r>
        <w:rPr>
          <w:rFonts w:ascii="Times New Roman"/>
          <w:b w:val="false"/>
          <w:i w:val="false"/>
          <w:color w:val="000000"/>
          <w:sz w:val="28"/>
        </w:rPr>
        <w:t>
      В тоже время отсутствие у пользователей навыков работы с веб-порталом, незнание норм законодательства Республики Казахстан о государственных закупках, инструкций по проведению закупок в электронном формате, размещенных на портале государственных закупок, приводят к допущению нарушений норм законодательства Республики Казахстан в сфере государственных закупок, искажению формируемых на портале государственных закупок отчетных данных, а также выражению недовольства пользователей к работе портала государственных закупок, что в целом влияет на соответствующее проведение закупок и формирование достоверных результатов.</w:t>
      </w:r>
      <w:r>
        <w:br/>
      </w:r>
      <w:r>
        <w:rPr>
          <w:rFonts w:ascii="Times New Roman"/>
          <w:b w:val="false"/>
          <w:i w:val="false"/>
          <w:color w:val="000000"/>
          <w:sz w:val="28"/>
        </w:rPr>
        <w:t>
</w:t>
      </w:r>
      <w:r>
        <w:rPr>
          <w:rFonts w:ascii="Times New Roman"/>
          <w:b w:val="false"/>
          <w:i w:val="false"/>
          <w:color w:val="000000"/>
          <w:sz w:val="28"/>
        </w:rPr>
        <w:t>
      3. Оценка основных внешних и внутренних факторов</w:t>
      </w:r>
      <w:r>
        <w:br/>
      </w:r>
      <w:r>
        <w:rPr>
          <w:rFonts w:ascii="Times New Roman"/>
          <w:b w:val="false"/>
          <w:i w:val="false"/>
          <w:color w:val="000000"/>
          <w:sz w:val="28"/>
        </w:rPr>
        <w:t>
      Внешние факторы</w:t>
      </w:r>
      <w:r>
        <w:br/>
      </w:r>
      <w:r>
        <w:rPr>
          <w:rFonts w:ascii="Times New Roman"/>
          <w:b w:val="false"/>
          <w:i w:val="false"/>
          <w:color w:val="000000"/>
          <w:sz w:val="28"/>
        </w:rPr>
        <w:t>
      1) Подписанный в декабре месяце 2010 года в Москве Соглашение о государственных (муниципальных) закупках, заключенное в рамках Единого экономического пространства между Республикой Казахстан, Республикой Беларусь и Российской Федерацией, ратифицировано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8 июля 2011 года.</w:t>
      </w:r>
      <w:r>
        <w:br/>
      </w:r>
      <w:r>
        <w:rPr>
          <w:rFonts w:ascii="Times New Roman"/>
          <w:b w:val="false"/>
          <w:i w:val="false"/>
          <w:color w:val="000000"/>
          <w:sz w:val="28"/>
        </w:rPr>
        <w:t>
      Внутренние факторы</w:t>
      </w:r>
      <w:r>
        <w:br/>
      </w:r>
      <w:r>
        <w:rPr>
          <w:rFonts w:ascii="Times New Roman"/>
          <w:b w:val="false"/>
          <w:i w:val="false"/>
          <w:color w:val="000000"/>
          <w:sz w:val="28"/>
        </w:rPr>
        <w:t>
      1) Отсутствие у пользователей навыков работы с веб-порталом;</w:t>
      </w:r>
      <w:r>
        <w:br/>
      </w:r>
      <w:r>
        <w:rPr>
          <w:rFonts w:ascii="Times New Roman"/>
          <w:b w:val="false"/>
          <w:i w:val="false"/>
          <w:color w:val="000000"/>
          <w:sz w:val="28"/>
        </w:rPr>
        <w:t>
      2) незнание пользователями норм законодательства республики Казахстан о государственных закупках, инструкций по проведению закупок в электронном формате, размещенных на портале государственных закупок.</w:t>
      </w:r>
    </w:p>
    <w:bookmarkEnd w:id="9"/>
    <w:bookmarkStart w:name="z27" w:id="10"/>
    <w:p>
      <w:pPr>
        <w:spacing w:after="0"/>
        <w:ind w:left="0"/>
        <w:jc w:val="both"/>
      </w:pPr>
      <w:r>
        <w:rPr>
          <w:rFonts w:ascii="Times New Roman"/>
          <w:b w:val="false"/>
          <w:i w:val="false"/>
          <w:color w:val="000000"/>
          <w:sz w:val="28"/>
        </w:rPr>
        <w:t>
      </w:t>
      </w:r>
      <w:r>
        <w:rPr>
          <w:rFonts w:ascii="Times New Roman"/>
          <w:b/>
          <w:i w:val="false"/>
          <w:color w:val="000000"/>
          <w:sz w:val="28"/>
        </w:rPr>
        <w:t>6. Управление и мониторинг рисков государственного и гарантированного государственного долга, долга по поручительствам государства и долга квазигосударственного сектора</w:t>
      </w:r>
      <w:r>
        <w:br/>
      </w:r>
      <w:r>
        <w:rPr>
          <w:rFonts w:ascii="Times New Roman"/>
          <w:b w:val="false"/>
          <w:i w:val="false"/>
          <w:color w:val="000000"/>
          <w:sz w:val="28"/>
        </w:rPr>
        <w:t>
</w:t>
      </w:r>
      <w:r>
        <w:rPr>
          <w:rFonts w:ascii="Times New Roman"/>
          <w:b w:val="false"/>
          <w:i w:val="false"/>
          <w:color w:val="000000"/>
          <w:sz w:val="28"/>
        </w:rPr>
        <w:t>
      1. Основные параметры развития</w:t>
      </w:r>
      <w:r>
        <w:br/>
      </w:r>
      <w:r>
        <w:rPr>
          <w:rFonts w:ascii="Times New Roman"/>
          <w:b w:val="false"/>
          <w:i w:val="false"/>
          <w:color w:val="000000"/>
          <w:sz w:val="28"/>
        </w:rPr>
        <w:t>
      Министерство осуществляет заимствование на внутреннем и внешнем рынках в рамках утвержденного размера дефицита бюджета на соответствующий год для осуществления своевременного финансирования бюджетных программ.</w:t>
      </w:r>
      <w:r>
        <w:br/>
      </w:r>
      <w:r>
        <w:rPr>
          <w:rFonts w:ascii="Times New Roman"/>
          <w:b w:val="false"/>
          <w:i w:val="false"/>
          <w:color w:val="000000"/>
          <w:sz w:val="28"/>
        </w:rPr>
        <w:t>
      Установление целей и финансовых границ заимствования являются основой при осуществлении правительственного заимствования. Привлечение Правительством займов в разумных объемах, в совокупности с качественным управлением государственного долга и поддержании его на безопасном уровне, одна из главных задач Министерства.</w:t>
      </w:r>
      <w:r>
        <w:br/>
      </w:r>
      <w:r>
        <w:rPr>
          <w:rFonts w:ascii="Times New Roman"/>
          <w:b w:val="false"/>
          <w:i w:val="false"/>
          <w:color w:val="000000"/>
          <w:sz w:val="28"/>
        </w:rPr>
        <w:t>
      Внутреннее правительственное заимствование осуществляется для финансирования дефицита республиканского бюджета, а также содействия развитию внутреннего рынка долговых инструментов. В настоящее время на внутреннем рынке ценных бумаг представлены государственные ценные бумаги (далее – ГЦБ) с краткосрочными, среднесрочными и долгосрочными периодами обращения. Министерство выпускает ГЦБ в объеме, достаточном для установления ценового ориентира на рынке капитала и предоставления участникам отечественного рынка надежных финансовых инструментов. В целях поддержки накопительной пенсионной системы Министерство выпускает долгосрочные сберегательные облигации, индексированные к уровню инфляции (МЕУЖКАМ).</w:t>
      </w:r>
      <w:r>
        <w:br/>
      </w:r>
      <w:r>
        <w:rPr>
          <w:rFonts w:ascii="Times New Roman"/>
          <w:b w:val="false"/>
          <w:i w:val="false"/>
          <w:color w:val="000000"/>
          <w:sz w:val="28"/>
        </w:rPr>
        <w:t>
      Альтернативным источником финансирования дефицита бюджета является выпуск ГЦБ на внешних рынках капитала (еврооблигации). Одним из преимуществ выхода на внешние рынки капитала является установление новых долгосрочных отношений с международными инвесторами через ключевые мировые финансовые центры, а также расширение и диверсификация глобальной инвесторской базы. Расширение инвесторской базы с успешной транзакцией позволит Казахстану в будущем получить быстрый доступ на рынки.</w:t>
      </w:r>
      <w:r>
        <w:br/>
      </w:r>
      <w:r>
        <w:rPr>
          <w:rFonts w:ascii="Times New Roman"/>
          <w:b w:val="false"/>
          <w:i w:val="false"/>
          <w:color w:val="000000"/>
          <w:sz w:val="28"/>
        </w:rPr>
        <w:t>
      В целом, наличие постоянного умеренного размера дефицита бюджета при поддержании безопасного уровня правительственного долга позволит обеспечить достаточный объем государственных ценных бумаг в обращении, необходимый для построения кривой доходности, а также правильной оценки ожиданий на краткосрочную и долгосрочную перспективы.</w:t>
      </w:r>
      <w:r>
        <w:br/>
      </w:r>
      <w:r>
        <w:rPr>
          <w:rFonts w:ascii="Times New Roman"/>
          <w:b w:val="false"/>
          <w:i w:val="false"/>
          <w:color w:val="000000"/>
          <w:sz w:val="28"/>
        </w:rPr>
        <w:t>
      В области внешнего заимствования осуществляется привлечение займов международных финансовых институтов. С учетом формирования оптимального уровня правительственного заимствования, долга, затрат на его обслуживание и риска планирование объема правительственного внешнего заимствования на предстоящий год будет увязано с реализацией крупных инвестиционных проектов в секторах традиционной специализации экономики.</w:t>
      </w:r>
      <w:r>
        <w:br/>
      </w:r>
      <w:r>
        <w:rPr>
          <w:rFonts w:ascii="Times New Roman"/>
          <w:b w:val="false"/>
          <w:i w:val="false"/>
          <w:color w:val="000000"/>
          <w:sz w:val="28"/>
        </w:rPr>
        <w:t>
      В этой связи, в предстоящем среднесрочном периоде планируется развивать дальнейшее сотрудничество Республики Казахстан в области международных кредитных отношений с различными международными финансовыми институтами, в том числе, такими как МБРР, АБР, ЕБРР, ЯАМС, ИБР, ЕИБ для реализации совместных проектов и программ.</w:t>
      </w:r>
      <w:r>
        <w:br/>
      </w:r>
      <w:r>
        <w:rPr>
          <w:rFonts w:ascii="Times New Roman"/>
          <w:b w:val="false"/>
          <w:i w:val="false"/>
          <w:color w:val="000000"/>
          <w:sz w:val="28"/>
        </w:rPr>
        <w:t>
</w:t>
      </w:r>
      <w:r>
        <w:rPr>
          <w:rFonts w:ascii="Times New Roman"/>
          <w:b w:val="false"/>
          <w:i w:val="false"/>
          <w:color w:val="000000"/>
          <w:sz w:val="28"/>
        </w:rPr>
        <w:t>
      2. Анализ основных проблем</w:t>
      </w:r>
      <w:r>
        <w:br/>
      </w:r>
      <w:r>
        <w:rPr>
          <w:rFonts w:ascii="Times New Roman"/>
          <w:b w:val="false"/>
          <w:i w:val="false"/>
          <w:color w:val="000000"/>
          <w:sz w:val="28"/>
        </w:rPr>
        <w:t>
      В результате финансирования дефицита республиканского бюджета за счет заимствования наблюдается рост правительственного долга. Ежегодно правительственный долг увеличивается на сумму финансирования дефицита за счет заимствования с учетом курсовой разницы (колебаний кросс курсов иностранных валют и курса тенге к доллару США). Поэтому, причиной роста правительственного долга является формирование республиканского бюджета с дефицитом.</w:t>
      </w:r>
      <w:r>
        <w:br/>
      </w:r>
      <w:r>
        <w:rPr>
          <w:rFonts w:ascii="Times New Roman"/>
          <w:b w:val="false"/>
          <w:i w:val="false"/>
          <w:color w:val="000000"/>
          <w:sz w:val="28"/>
        </w:rPr>
        <w:t>
      При этом усилия Правительства сосредоточены не на сокращении абсолютных показателей правительственного долга, а на поддержании его на безопасном уровне и на снижении реальной стоимости обслуживания долга и согласования его динамики с темпами экономического роста.</w:t>
      </w:r>
      <w:r>
        <w:br/>
      </w:r>
      <w:r>
        <w:rPr>
          <w:rFonts w:ascii="Times New Roman"/>
          <w:b w:val="false"/>
          <w:i w:val="false"/>
          <w:color w:val="000000"/>
          <w:sz w:val="28"/>
        </w:rPr>
        <w:t>
      Соотношение долга с размером ВВП является наиболее типичным в мировой практике индикатором долга, позволяющим оценить долговую нагрузку. К примеру, отношение государственного долга к ВВП на начало 2012 года составило 12,0 %, 2013 года – 12,7 % (снижение за счет роста номинального значения ВВП). Данный уровень долга не выходит за пределы, превышение которых создает угрозу развитию страны. К примеру, для стран ЕС данный критерий не должен превышать 60 %, для стран-участниц Таможенного союза – 50 %.</w:t>
      </w:r>
      <w:r>
        <w:br/>
      </w:r>
      <w:r>
        <w:rPr>
          <w:rFonts w:ascii="Times New Roman"/>
          <w:b w:val="false"/>
          <w:i w:val="false"/>
          <w:color w:val="000000"/>
          <w:sz w:val="28"/>
        </w:rPr>
        <w:t>
      Как показывает проводимый мониторинг, установленные предельно допустимые уровни индикаторов долга находятся в зоне допустимых значений и не оказывают опасения.</w:t>
      </w:r>
      <w:r>
        <w:br/>
      </w:r>
      <w:r>
        <w:rPr>
          <w:rFonts w:ascii="Times New Roman"/>
          <w:b w:val="false"/>
          <w:i w:val="false"/>
          <w:color w:val="000000"/>
          <w:sz w:val="28"/>
        </w:rPr>
        <w:t>
      Согласно Общенационального плана мероприятий по реализации </w:t>
      </w:r>
      <w:r>
        <w:rPr>
          <w:rFonts w:ascii="Times New Roman"/>
          <w:b w:val="false"/>
          <w:i w:val="false"/>
          <w:color w:val="000000"/>
          <w:sz w:val="28"/>
        </w:rPr>
        <w:t>Послания</w:t>
      </w:r>
      <w:r>
        <w:rPr>
          <w:rFonts w:ascii="Times New Roman"/>
          <w:b w:val="false"/>
          <w:i w:val="false"/>
          <w:color w:val="000000"/>
          <w:sz w:val="28"/>
        </w:rPr>
        <w:t xml:space="preserve"> Главы государства народу Казахстана от 14 декабря 2012 года необходимо обеспечить постоянный контроль за уровнем государственного долга страны и квазигосударственного сектора, в том числе за счет снижения бюджетного дефицита относительно ВВП с 2,1 % в 2013 году до 1,5 % в 2015 году.</w:t>
      </w:r>
      <w:r>
        <w:br/>
      </w:r>
      <w:r>
        <w:rPr>
          <w:rFonts w:ascii="Times New Roman"/>
          <w:b w:val="false"/>
          <w:i w:val="false"/>
          <w:color w:val="000000"/>
          <w:sz w:val="28"/>
        </w:rPr>
        <w:t>
      При этом следует принять во внимание необходимость в реализации приоритетных проектов в соответствии с поручениями Правительства Республики Казахстан и Президента Республики Казахстан, в предстоящие годы.</w:t>
      </w:r>
      <w:r>
        <w:br/>
      </w:r>
      <w:r>
        <w:rPr>
          <w:rFonts w:ascii="Times New Roman"/>
          <w:b w:val="false"/>
          <w:i w:val="false"/>
          <w:color w:val="000000"/>
          <w:sz w:val="28"/>
        </w:rPr>
        <w:t>
      На сегодняшний день продолжают поступать запросы со стороны государственных органов, а также проявляют заинтересованность различные заимодатели о возможности предоставления займов на различные проекты, соответственно в течение 5-летнего периода потребности в осуществлении правительственного заимствования будут увеличиваться.</w:t>
      </w:r>
      <w:r>
        <w:br/>
      </w:r>
      <w:r>
        <w:rPr>
          <w:rFonts w:ascii="Times New Roman"/>
          <w:b w:val="false"/>
          <w:i w:val="false"/>
          <w:color w:val="000000"/>
          <w:sz w:val="28"/>
        </w:rPr>
        <w:t>
      Увеличение внешнего заимствования способно оказать негативное влияние на параметры и показатели государственного долга, что в целом может повлиять на экономическую безопасность страны.</w:t>
      </w:r>
      <w:r>
        <w:br/>
      </w:r>
      <w:r>
        <w:rPr>
          <w:rFonts w:ascii="Times New Roman"/>
          <w:b w:val="false"/>
          <w:i w:val="false"/>
          <w:color w:val="000000"/>
          <w:sz w:val="28"/>
        </w:rPr>
        <w:t>
      Формирование бюджета с дефицитом на протяжении многих лет является недопустимым в виду следующих основных причин:</w:t>
      </w:r>
      <w:r>
        <w:br/>
      </w:r>
      <w:r>
        <w:rPr>
          <w:rFonts w:ascii="Times New Roman"/>
          <w:b w:val="false"/>
          <w:i w:val="false"/>
          <w:color w:val="000000"/>
          <w:sz w:val="28"/>
        </w:rPr>
        <w:t>
      1) ограниченная емкость внутреннего рынка долгового капитала;</w:t>
      </w:r>
      <w:r>
        <w:br/>
      </w:r>
      <w:r>
        <w:rPr>
          <w:rFonts w:ascii="Times New Roman"/>
          <w:b w:val="false"/>
          <w:i w:val="false"/>
          <w:color w:val="000000"/>
          <w:sz w:val="28"/>
        </w:rPr>
        <w:t>
      2) избыточное предложение государственных ценных бумаг и бумаг национальных компаний приведет к давлению на доходность данных бумаг;</w:t>
      </w:r>
      <w:r>
        <w:br/>
      </w:r>
      <w:r>
        <w:rPr>
          <w:rFonts w:ascii="Times New Roman"/>
          <w:b w:val="false"/>
          <w:i w:val="false"/>
          <w:color w:val="000000"/>
          <w:sz w:val="28"/>
        </w:rPr>
        <w:t>
      3) в результате роста правительственного долга происходит рост расходов на его обслуживание и рисков платежеспособности Правительства;</w:t>
      </w:r>
      <w:r>
        <w:br/>
      </w:r>
      <w:r>
        <w:rPr>
          <w:rFonts w:ascii="Times New Roman"/>
          <w:b w:val="false"/>
          <w:i w:val="false"/>
          <w:color w:val="000000"/>
          <w:sz w:val="28"/>
        </w:rPr>
        <w:t>
      4) согласно фискальной теории инфляции существенный рост госдолга приводит к более высокому темпу роста денежной базы и инфляции.</w:t>
      </w:r>
      <w:r>
        <w:br/>
      </w:r>
      <w:r>
        <w:rPr>
          <w:rFonts w:ascii="Times New Roman"/>
          <w:b w:val="false"/>
          <w:i w:val="false"/>
          <w:color w:val="000000"/>
          <w:sz w:val="28"/>
        </w:rPr>
        <w:t>
      Следовательно, налогово-бюджетная политика страны является одним из факторов роста долга.</w:t>
      </w:r>
      <w:r>
        <w:br/>
      </w:r>
      <w:r>
        <w:rPr>
          <w:rFonts w:ascii="Times New Roman"/>
          <w:b w:val="false"/>
          <w:i w:val="false"/>
          <w:color w:val="000000"/>
          <w:sz w:val="28"/>
        </w:rPr>
        <w:t>
      Основными внешними факторами, влияющими на увеличение задолженности, можно назвать шоки на внешних рынках, дисбалансы в денежно-кредитной политике, колебания экономической конъюнктуры.</w:t>
      </w:r>
      <w:r>
        <w:br/>
      </w:r>
      <w:r>
        <w:rPr>
          <w:rFonts w:ascii="Times New Roman"/>
          <w:b w:val="false"/>
          <w:i w:val="false"/>
          <w:color w:val="000000"/>
          <w:sz w:val="28"/>
        </w:rPr>
        <w:t>
      Изменения во внешнеэкономической конъюнктуре являются одним из основных факторов. Проблема внешнего долга стала крайне актуальной после глобального экономического кризиса, преодоление последствий которого во многих странах сопровождалось значительным наращиванием внешнего долга. Кризис существенно изменил структуру мировой экономики, лишив ее основ роста, действовавших ранее.</w:t>
      </w:r>
      <w:r>
        <w:br/>
      </w:r>
      <w:r>
        <w:rPr>
          <w:rFonts w:ascii="Times New Roman"/>
          <w:b w:val="false"/>
          <w:i w:val="false"/>
          <w:color w:val="000000"/>
          <w:sz w:val="28"/>
        </w:rPr>
        <w:t>
      Политика государственного заимствования должна обеспечивать возможность Правительства выполнять обязательства по погашению и обслуживанию долга в будущем независимо от состояния республиканского бюджета. Для этого необходимо обеспечить корреляцию темпов роста долга с темпами роста ВВП, темпы роста расходов на обслуживание правительственного долга не должны превышать темпы роста доходов республиканского бюджета.</w:t>
      </w:r>
      <w:r>
        <w:br/>
      </w:r>
      <w:r>
        <w:rPr>
          <w:rFonts w:ascii="Times New Roman"/>
          <w:b w:val="false"/>
          <w:i w:val="false"/>
          <w:color w:val="000000"/>
          <w:sz w:val="28"/>
        </w:rPr>
        <w:t>
      В рамках обеспечения эффективного управления правительственным долгом, Министерством осуществляется работа по оценке процентных и валютных рисков правительственного долга, обеспечению достаточной диверсификации структуры долга по валютам, ставкам вознаграждения, сокращению доли внешнего долга в общем объеме правительственного долга.</w:t>
      </w:r>
      <w:r>
        <w:br/>
      </w:r>
      <w:r>
        <w:rPr>
          <w:rFonts w:ascii="Times New Roman"/>
          <w:b w:val="false"/>
          <w:i w:val="false"/>
          <w:color w:val="000000"/>
          <w:sz w:val="28"/>
        </w:rPr>
        <w:t>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2 апреля 2010 года № 962 была утверждена Концепция формирования и использования средств Национального фонда. Основной целью Концепции является увеличение сбережений для будущих поколений и предотвращение замещения накопления средств Национального фонда правительственным заимствованием.</w:t>
      </w:r>
      <w:r>
        <w:br/>
      </w:r>
      <w:r>
        <w:rPr>
          <w:rFonts w:ascii="Times New Roman"/>
          <w:b w:val="false"/>
          <w:i w:val="false"/>
          <w:color w:val="000000"/>
          <w:sz w:val="28"/>
        </w:rPr>
        <w:t>
      Положения Концепции направлены на доведение средств Национального фонда к 2020 году до 90 млрд. долларов США, что должно составить не менее 30 % к ВВП.</w:t>
      </w:r>
      <w:r>
        <w:br/>
      </w:r>
      <w:r>
        <w:rPr>
          <w:rFonts w:ascii="Times New Roman"/>
          <w:b w:val="false"/>
          <w:i w:val="false"/>
          <w:color w:val="000000"/>
          <w:sz w:val="28"/>
        </w:rPr>
        <w:t>
</w:t>
      </w:r>
      <w:r>
        <w:rPr>
          <w:rFonts w:ascii="Times New Roman"/>
          <w:b w:val="false"/>
          <w:i w:val="false"/>
          <w:color w:val="000000"/>
          <w:sz w:val="28"/>
        </w:rPr>
        <w:t>
      3. Оценка основных внешних и внутренних факторов</w:t>
      </w:r>
      <w:r>
        <w:br/>
      </w:r>
      <w:r>
        <w:rPr>
          <w:rFonts w:ascii="Times New Roman"/>
          <w:b w:val="false"/>
          <w:i w:val="false"/>
          <w:color w:val="000000"/>
          <w:sz w:val="28"/>
        </w:rPr>
        <w:t>
      Внешние факторы</w:t>
      </w:r>
      <w:r>
        <w:br/>
      </w:r>
      <w:r>
        <w:rPr>
          <w:rFonts w:ascii="Times New Roman"/>
          <w:b w:val="false"/>
          <w:i w:val="false"/>
          <w:color w:val="000000"/>
          <w:sz w:val="28"/>
        </w:rPr>
        <w:t>
      1) Изменения во внешнеэкономической конъюнктуре;</w:t>
      </w:r>
      <w:r>
        <w:br/>
      </w:r>
      <w:r>
        <w:rPr>
          <w:rFonts w:ascii="Times New Roman"/>
          <w:b w:val="false"/>
          <w:i w:val="false"/>
          <w:color w:val="000000"/>
          <w:sz w:val="28"/>
        </w:rPr>
        <w:t>
      2) избыточное предложение государственных ценных бумаг и бумаг национальных компаний приведет к давлению на доходность данных бумаг;</w:t>
      </w:r>
      <w:r>
        <w:br/>
      </w:r>
      <w:r>
        <w:rPr>
          <w:rFonts w:ascii="Times New Roman"/>
          <w:b w:val="false"/>
          <w:i w:val="false"/>
          <w:color w:val="000000"/>
          <w:sz w:val="28"/>
        </w:rPr>
        <w:t>
      3) недостаточность оценки рисков управления государственным долгом.</w:t>
      </w:r>
      <w:r>
        <w:br/>
      </w:r>
      <w:r>
        <w:rPr>
          <w:rFonts w:ascii="Times New Roman"/>
          <w:b w:val="false"/>
          <w:i w:val="false"/>
          <w:color w:val="000000"/>
          <w:sz w:val="28"/>
        </w:rPr>
        <w:t>
      Внутренние факторы</w:t>
      </w:r>
      <w:r>
        <w:br/>
      </w:r>
      <w:r>
        <w:rPr>
          <w:rFonts w:ascii="Times New Roman"/>
          <w:b w:val="false"/>
          <w:i w:val="false"/>
          <w:color w:val="000000"/>
          <w:sz w:val="28"/>
        </w:rPr>
        <w:t>
      1) Формирование республиканского бюджета с дефицитом.</w:t>
      </w:r>
    </w:p>
    <w:bookmarkEnd w:id="10"/>
    <w:bookmarkStart w:name="z31" w:id="11"/>
    <w:p>
      <w:pPr>
        <w:spacing w:after="0"/>
        <w:ind w:left="0"/>
        <w:jc w:val="both"/>
      </w:pPr>
      <w:r>
        <w:rPr>
          <w:rFonts w:ascii="Times New Roman"/>
          <w:b w:val="false"/>
          <w:i w:val="false"/>
          <w:color w:val="000000"/>
          <w:sz w:val="28"/>
        </w:rPr>
        <w:t>
      </w:t>
      </w:r>
      <w:r>
        <w:rPr>
          <w:rFonts w:ascii="Times New Roman"/>
          <w:b/>
          <w:i w:val="false"/>
          <w:color w:val="000000"/>
          <w:sz w:val="28"/>
        </w:rPr>
        <w:t>7. Распоряжение республиканской государственной собственностью и проведение государственного мониторинга собственности</w:t>
      </w:r>
      <w:r>
        <w:br/>
      </w:r>
      <w:r>
        <w:rPr>
          <w:rFonts w:ascii="Times New Roman"/>
          <w:b w:val="false"/>
          <w:i w:val="false"/>
          <w:color w:val="000000"/>
          <w:sz w:val="28"/>
        </w:rPr>
        <w:t>
</w:t>
      </w:r>
      <w:r>
        <w:rPr>
          <w:rFonts w:ascii="Times New Roman"/>
          <w:b w:val="false"/>
          <w:i w:val="false"/>
          <w:color w:val="000000"/>
          <w:sz w:val="28"/>
        </w:rPr>
        <w:t>
      1. Основные параметры развития</w:t>
      </w:r>
      <w:r>
        <w:br/>
      </w:r>
      <w:r>
        <w:rPr>
          <w:rFonts w:ascii="Times New Roman"/>
          <w:b w:val="false"/>
          <w:i w:val="false"/>
          <w:color w:val="000000"/>
          <w:sz w:val="28"/>
        </w:rPr>
        <w:t>
      Республиканская государственная собственность подразделяется на республиканские государственные предприятия (297), 135 акционерных обществ и 28 товариществ с ограниченной ответственностью с государственным участием в уставном капитале.</w:t>
      </w:r>
      <w:r>
        <w:br/>
      </w:r>
      <w:r>
        <w:rPr>
          <w:rFonts w:ascii="Times New Roman"/>
          <w:b w:val="false"/>
          <w:i w:val="false"/>
          <w:color w:val="000000"/>
          <w:sz w:val="28"/>
        </w:rPr>
        <w:t>
      Деятельность юридических лиц с государственным участием требует постоянного контроля и оперативного вмешательства уполномоченных государственных органов. Для обеспечения контроля, Министерством финансов проводится мониторинг эффективности управления государственной собственностью путем периодического проведения обследования юридических лиц с государственным участием и выявления негативных факторов, отрицательно влияющих на их основные технико-экономические показатели. Такой контроль проводится силами независимых консультантов, представляющих отчет о мониторинге и рекомендации по устранению выявленных недостатков. Министерство осуществляет государственный мониторинг стратегических объектов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РК «О государственном мониторинге собственности в отраслях экономики, имеющих стратегическое значение», с привлечением независимых консультантов, позволяющий получать информацию об их деятельности в Казахстане, несмотря на то, что большая их часть находится в частной собственности, или в собственности иностранных инвесторов.</w:t>
      </w:r>
      <w:r>
        <w:br/>
      </w:r>
      <w:r>
        <w:rPr>
          <w:rFonts w:ascii="Times New Roman"/>
          <w:b w:val="false"/>
          <w:i w:val="false"/>
          <w:color w:val="000000"/>
          <w:sz w:val="28"/>
        </w:rPr>
        <w:t>
      Результаты его направляются заинтересованным государственным органам для обеспечения полноты информационной картины по функционированию экономики страны.</w:t>
      </w:r>
      <w:r>
        <w:br/>
      </w:r>
      <w:r>
        <w:rPr>
          <w:rFonts w:ascii="Times New Roman"/>
          <w:b w:val="false"/>
          <w:i w:val="false"/>
          <w:color w:val="000000"/>
          <w:sz w:val="28"/>
        </w:rPr>
        <w:t>
</w:t>
      </w:r>
      <w:r>
        <w:rPr>
          <w:rFonts w:ascii="Times New Roman"/>
          <w:b w:val="false"/>
          <w:i w:val="false"/>
          <w:color w:val="000000"/>
          <w:sz w:val="28"/>
        </w:rPr>
        <w:t>
      2. Анализ основных проблем</w:t>
      </w:r>
      <w:r>
        <w:br/>
      </w:r>
      <w:r>
        <w:rPr>
          <w:rFonts w:ascii="Times New Roman"/>
          <w:b w:val="false"/>
          <w:i w:val="false"/>
          <w:color w:val="000000"/>
          <w:sz w:val="28"/>
        </w:rPr>
        <w:t>
      Управление государственной собственностью на современном этапе требует существенного совершенствования методов и подходов. Продолжает оставаться большим число хозяйствующих субъектов с государственным участием, допускающих убытки по итогам календарного периода, снижение стоимости активов, рост административных расходов и т.д.</w:t>
      </w:r>
      <w:r>
        <w:br/>
      </w:r>
      <w:r>
        <w:rPr>
          <w:rFonts w:ascii="Times New Roman"/>
          <w:b w:val="false"/>
          <w:i w:val="false"/>
          <w:color w:val="000000"/>
          <w:sz w:val="28"/>
        </w:rPr>
        <w:t>
      Не всегда удается определить эффективность обмена информацией с заинтересованными государственными органами, по результатам государственного мониторинга.</w:t>
      </w:r>
      <w:r>
        <w:br/>
      </w:r>
      <w:r>
        <w:rPr>
          <w:rFonts w:ascii="Times New Roman"/>
          <w:b w:val="false"/>
          <w:i w:val="false"/>
          <w:color w:val="000000"/>
          <w:sz w:val="28"/>
        </w:rPr>
        <w:t>
      Также, использование имущества, закрепленного за республиканскими государственными юридическими лицами (недвижимость, транспортные средства, оборудование и т.д.), требует государственного контроля со стороны уполномоченного органа по государственному имуществу с целью недопущения нецелевого и неэффективного их использования.</w:t>
      </w:r>
      <w:r>
        <w:br/>
      </w:r>
      <w:r>
        <w:rPr>
          <w:rFonts w:ascii="Times New Roman"/>
          <w:b w:val="false"/>
          <w:i w:val="false"/>
          <w:color w:val="000000"/>
          <w:sz w:val="28"/>
        </w:rPr>
        <w:t>
</w:t>
      </w:r>
      <w:r>
        <w:rPr>
          <w:rFonts w:ascii="Times New Roman"/>
          <w:b w:val="false"/>
          <w:i w:val="false"/>
          <w:color w:val="000000"/>
          <w:sz w:val="28"/>
        </w:rPr>
        <w:t>
      3. Оценка основных внешних и внутренних факторов</w:t>
      </w:r>
      <w:r>
        <w:br/>
      </w:r>
      <w:r>
        <w:rPr>
          <w:rFonts w:ascii="Times New Roman"/>
          <w:b w:val="false"/>
          <w:i w:val="false"/>
          <w:color w:val="000000"/>
          <w:sz w:val="28"/>
        </w:rPr>
        <w:t>
      Внешние факторы</w:t>
      </w:r>
      <w:r>
        <w:br/>
      </w:r>
      <w:r>
        <w:rPr>
          <w:rFonts w:ascii="Times New Roman"/>
          <w:b w:val="false"/>
          <w:i w:val="false"/>
          <w:color w:val="000000"/>
          <w:sz w:val="28"/>
        </w:rPr>
        <w:t>
      1) Своевременное принятие решений заинтересованными государственными органами, по развитию, как государственного сектора экономики, так и экономической ситуации в целом, на основе обоснованной информации, полученной в результате мониторинга эффективности и мониторинга стратегических объектов.</w:t>
      </w:r>
      <w:r>
        <w:br/>
      </w:r>
      <w:r>
        <w:rPr>
          <w:rFonts w:ascii="Times New Roman"/>
          <w:b w:val="false"/>
          <w:i w:val="false"/>
          <w:color w:val="000000"/>
          <w:sz w:val="28"/>
        </w:rPr>
        <w:t>
      Внутренние факторы</w:t>
      </w:r>
      <w:r>
        <w:br/>
      </w:r>
      <w:r>
        <w:rPr>
          <w:rFonts w:ascii="Times New Roman"/>
          <w:b w:val="false"/>
          <w:i w:val="false"/>
          <w:color w:val="000000"/>
          <w:sz w:val="28"/>
        </w:rPr>
        <w:t>
      1) Необходимость целенаправленного обследования предприятий и юридических лиц с государственным участием, имеющих предпосылки и риски для ухудшения своих показателей, и исключение проверки объектов, не имеющих такие риски и негативные тенденции.</w:t>
      </w:r>
    </w:p>
    <w:bookmarkEnd w:id="11"/>
    <w:bookmarkStart w:name="z35" w:id="12"/>
    <w:p>
      <w:pPr>
        <w:spacing w:after="0"/>
        <w:ind w:left="0"/>
        <w:jc w:val="both"/>
      </w:pPr>
      <w:r>
        <w:rPr>
          <w:rFonts w:ascii="Times New Roman"/>
          <w:b w:val="false"/>
          <w:i w:val="false"/>
          <w:color w:val="000000"/>
          <w:sz w:val="28"/>
        </w:rPr>
        <w:t>       
</w:t>
      </w:r>
      <w:r>
        <w:rPr>
          <w:rFonts w:ascii="Times New Roman"/>
          <w:b/>
          <w:i w:val="false"/>
          <w:color w:val="000000"/>
          <w:sz w:val="28"/>
        </w:rPr>
        <w:t>8. Бюджетное кредитование</w:t>
      </w:r>
      <w:r>
        <w:br/>
      </w:r>
      <w:r>
        <w:rPr>
          <w:rFonts w:ascii="Times New Roman"/>
          <w:b w:val="false"/>
          <w:i w:val="false"/>
          <w:color w:val="000000"/>
          <w:sz w:val="28"/>
        </w:rPr>
        <w:t>
      1. Основные параметры развития</w:t>
      </w:r>
      <w:r>
        <w:br/>
      </w:r>
      <w:r>
        <w:rPr>
          <w:rFonts w:ascii="Times New Roman"/>
          <w:b w:val="false"/>
          <w:i w:val="false"/>
          <w:color w:val="000000"/>
          <w:sz w:val="28"/>
        </w:rPr>
        <w:t>
      На сегодняшний день бюджетное кредитование является одним из важнейших инструментов, посредством которого государство предоставляет поддержку как отдельным отраслям промышленности, так и экономике государства в целом.</w:t>
      </w:r>
      <w:r>
        <w:br/>
      </w:r>
      <w:r>
        <w:rPr>
          <w:rFonts w:ascii="Times New Roman"/>
          <w:b w:val="false"/>
          <w:i w:val="false"/>
          <w:color w:val="000000"/>
          <w:sz w:val="28"/>
        </w:rPr>
        <w:t>
      В целях обеспечения социальной безопасности, благополучия, а также улучшения качества жизни населения Правительством Республики Казахстан, в лице Министерства финансов Республики Казахстан, предоставлялись бюджетные кредиты для реализации социальных программ, таких как «</w:t>
      </w:r>
      <w:r>
        <w:rPr>
          <w:rFonts w:ascii="Times New Roman"/>
          <w:b w:val="false"/>
          <w:i w:val="false"/>
          <w:color w:val="000000"/>
          <w:sz w:val="28"/>
        </w:rPr>
        <w:t>Доступное жилье – 2020</w:t>
      </w:r>
      <w:r>
        <w:rPr>
          <w:rFonts w:ascii="Times New Roman"/>
          <w:b w:val="false"/>
          <w:i w:val="false"/>
          <w:color w:val="000000"/>
          <w:sz w:val="28"/>
        </w:rPr>
        <w:t>», «С дипломом в село», «</w:t>
      </w:r>
      <w:r>
        <w:rPr>
          <w:rFonts w:ascii="Times New Roman"/>
          <w:b w:val="false"/>
          <w:i w:val="false"/>
          <w:color w:val="000000"/>
          <w:sz w:val="28"/>
        </w:rPr>
        <w:t>Дорожная карта занятости – 2020</w:t>
      </w:r>
      <w:r>
        <w:rPr>
          <w:rFonts w:ascii="Times New Roman"/>
          <w:b w:val="false"/>
          <w:i w:val="false"/>
          <w:color w:val="000000"/>
          <w:sz w:val="28"/>
        </w:rPr>
        <w:t>».</w:t>
      </w:r>
      <w:r>
        <w:br/>
      </w:r>
      <w:r>
        <w:rPr>
          <w:rFonts w:ascii="Times New Roman"/>
          <w:b w:val="false"/>
          <w:i w:val="false"/>
          <w:color w:val="000000"/>
          <w:sz w:val="28"/>
        </w:rPr>
        <w:t>
      Динамика погашения бюджетных кредитов представляется следующими данными: в 2010 году – 98,8 %, в 2011 году – 106,4 %, в 2012 году — 101,4 %.</w:t>
      </w:r>
      <w:r>
        <w:br/>
      </w:r>
      <w:r>
        <w:rPr>
          <w:rFonts w:ascii="Times New Roman"/>
          <w:b w:val="false"/>
          <w:i w:val="false"/>
          <w:color w:val="000000"/>
          <w:sz w:val="28"/>
        </w:rPr>
        <w:t>
</w:t>
      </w:r>
      <w:r>
        <w:rPr>
          <w:rFonts w:ascii="Times New Roman"/>
          <w:b w:val="false"/>
          <w:i w:val="false"/>
          <w:color w:val="000000"/>
          <w:sz w:val="28"/>
        </w:rPr>
        <w:t>
      2. Анализ основных проблем</w:t>
      </w:r>
      <w:r>
        <w:br/>
      </w:r>
      <w:r>
        <w:rPr>
          <w:rFonts w:ascii="Times New Roman"/>
          <w:b w:val="false"/>
          <w:i w:val="false"/>
          <w:color w:val="000000"/>
          <w:sz w:val="28"/>
        </w:rPr>
        <w:t>
      Основной проблемой в процессе бюджетного кредитования является неплатежеспособность заемщиков, непосредственно ведущая к недоисполнению плана поступлений в республиканский бюджет.</w:t>
      </w:r>
      <w:r>
        <w:br/>
      </w:r>
      <w:r>
        <w:rPr>
          <w:rFonts w:ascii="Times New Roman"/>
          <w:b w:val="false"/>
          <w:i w:val="false"/>
          <w:color w:val="000000"/>
          <w:sz w:val="28"/>
        </w:rPr>
        <w:t>
      Следует отметить, что исполнение плана поступлений по погашению бюджетных кредитов является корреляционной величиной, в связи с тем, что на его перевыполнение или недоисполнение влияют внешние и внутренние факторы.</w:t>
      </w:r>
      <w:r>
        <w:br/>
      </w:r>
      <w:r>
        <w:rPr>
          <w:rFonts w:ascii="Times New Roman"/>
          <w:b w:val="false"/>
          <w:i w:val="false"/>
          <w:color w:val="000000"/>
          <w:sz w:val="28"/>
        </w:rPr>
        <w:t>
</w:t>
      </w:r>
      <w:r>
        <w:rPr>
          <w:rFonts w:ascii="Times New Roman"/>
          <w:b w:val="false"/>
          <w:i w:val="false"/>
          <w:color w:val="000000"/>
          <w:sz w:val="28"/>
        </w:rPr>
        <w:t>
      3. Оценка основных внешних и внутренних факторов</w:t>
      </w:r>
      <w:r>
        <w:br/>
      </w:r>
      <w:r>
        <w:rPr>
          <w:rFonts w:ascii="Times New Roman"/>
          <w:b w:val="false"/>
          <w:i w:val="false"/>
          <w:color w:val="000000"/>
          <w:sz w:val="28"/>
        </w:rPr>
        <w:t>
      Внешние факторы</w:t>
      </w:r>
      <w:r>
        <w:br/>
      </w:r>
      <w:r>
        <w:rPr>
          <w:rFonts w:ascii="Times New Roman"/>
          <w:b w:val="false"/>
          <w:i w:val="false"/>
          <w:color w:val="000000"/>
          <w:sz w:val="28"/>
        </w:rPr>
        <w:t>
      1) Неплатежеспособность заемщиков;</w:t>
      </w:r>
      <w:r>
        <w:br/>
      </w:r>
      <w:r>
        <w:rPr>
          <w:rFonts w:ascii="Times New Roman"/>
          <w:b w:val="false"/>
          <w:i w:val="false"/>
          <w:color w:val="000000"/>
          <w:sz w:val="28"/>
        </w:rPr>
        <w:t>
      2) досрочное погашение бюджетного кредита;</w:t>
      </w:r>
      <w:r>
        <w:br/>
      </w:r>
      <w:r>
        <w:rPr>
          <w:rFonts w:ascii="Times New Roman"/>
          <w:b w:val="false"/>
          <w:i w:val="false"/>
          <w:color w:val="000000"/>
          <w:sz w:val="28"/>
        </w:rPr>
        <w:t>
      3) возврат неосвоенных средств бюджетного кредита, который не планируется при формировании республиканского бюджета;</w:t>
      </w:r>
      <w:r>
        <w:br/>
      </w:r>
      <w:r>
        <w:rPr>
          <w:rFonts w:ascii="Times New Roman"/>
          <w:b w:val="false"/>
          <w:i w:val="false"/>
          <w:color w:val="000000"/>
          <w:sz w:val="28"/>
        </w:rPr>
        <w:t>
      4) реструктуризация срока погашения бюджетного кредита;</w:t>
      </w:r>
      <w:r>
        <w:br/>
      </w:r>
      <w:r>
        <w:rPr>
          <w:rFonts w:ascii="Times New Roman"/>
          <w:b w:val="false"/>
          <w:i w:val="false"/>
          <w:color w:val="000000"/>
          <w:sz w:val="28"/>
        </w:rPr>
        <w:t>
      5) погашение бюджетного кредита имуществом путем передачи в республиканскую собственность.</w:t>
      </w:r>
      <w:r>
        <w:br/>
      </w:r>
      <w:r>
        <w:rPr>
          <w:rFonts w:ascii="Times New Roman"/>
          <w:b w:val="false"/>
          <w:i w:val="false"/>
          <w:color w:val="000000"/>
          <w:sz w:val="28"/>
        </w:rPr>
        <w:t>
      Внутренние факторы</w:t>
      </w:r>
      <w:r>
        <w:br/>
      </w:r>
      <w:r>
        <w:rPr>
          <w:rFonts w:ascii="Times New Roman"/>
          <w:b w:val="false"/>
          <w:i w:val="false"/>
          <w:color w:val="000000"/>
          <w:sz w:val="28"/>
        </w:rPr>
        <w:t>
      1) Несвоевременный сбор и анализ данных по платежам;</w:t>
      </w:r>
      <w:r>
        <w:br/>
      </w:r>
      <w:r>
        <w:rPr>
          <w:rFonts w:ascii="Times New Roman"/>
          <w:b w:val="false"/>
          <w:i w:val="false"/>
          <w:color w:val="000000"/>
          <w:sz w:val="28"/>
        </w:rPr>
        <w:t>
      2) возможные технические сбои в системе при обработке информации по платежам.</w:t>
      </w:r>
    </w:p>
    <w:bookmarkEnd w:id="12"/>
    <w:bookmarkStart w:name="z38" w:id="13"/>
    <w:p>
      <w:pPr>
        <w:spacing w:after="0"/>
        <w:ind w:left="0"/>
        <w:jc w:val="both"/>
      </w:pPr>
      <w:r>
        <w:rPr>
          <w:rFonts w:ascii="Times New Roman"/>
          <w:b w:val="false"/>
          <w:i w:val="false"/>
          <w:color w:val="000000"/>
          <w:sz w:val="28"/>
        </w:rPr>
        <w:t>
      </w:t>
      </w:r>
      <w:r>
        <w:rPr>
          <w:rFonts w:ascii="Times New Roman"/>
          <w:b/>
          <w:i w:val="false"/>
          <w:color w:val="000000"/>
          <w:sz w:val="28"/>
        </w:rPr>
        <w:t>9. Льготные жилищные кредиты</w:t>
      </w:r>
      <w:r>
        <w:br/>
      </w:r>
      <w:r>
        <w:rPr>
          <w:rFonts w:ascii="Times New Roman"/>
          <w:b w:val="false"/>
          <w:i w:val="false"/>
          <w:color w:val="000000"/>
          <w:sz w:val="28"/>
        </w:rPr>
        <w:t>
</w:t>
      </w:r>
      <w:r>
        <w:rPr>
          <w:rFonts w:ascii="Times New Roman"/>
          <w:b w:val="false"/>
          <w:i w:val="false"/>
          <w:color w:val="000000"/>
          <w:sz w:val="28"/>
        </w:rPr>
        <w:t>
      1. Основные параметры развития</w:t>
      </w:r>
      <w:r>
        <w:br/>
      </w:r>
      <w:r>
        <w:rPr>
          <w:rFonts w:ascii="Times New Roman"/>
          <w:b w:val="false"/>
          <w:i w:val="false"/>
          <w:color w:val="000000"/>
          <w:sz w:val="28"/>
        </w:rPr>
        <w:t>
      В соответствии с пунктом 1 постановления Правительства Республики Казахстан от 28 февраля 2001 года </w:t>
      </w:r>
      <w:r>
        <w:rPr>
          <w:rFonts w:ascii="Times New Roman"/>
          <w:b w:val="false"/>
          <w:i w:val="false"/>
          <w:color w:val="000000"/>
          <w:sz w:val="28"/>
        </w:rPr>
        <w:t>№ 304</w:t>
      </w:r>
      <w:r>
        <w:rPr>
          <w:rFonts w:ascii="Times New Roman"/>
          <w:b w:val="false"/>
          <w:i w:val="false"/>
          <w:color w:val="000000"/>
          <w:sz w:val="28"/>
        </w:rPr>
        <w:t xml:space="preserve"> «О мерах по обеспечению защиты интересов граждан, получивших льготные кредиты, выданные ЗАО «Жилстройбанк»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6 сентября 1993 года № 1344 «О новой жилищной политике» на ежегодной основе финансируется из республиканского бюджета исполнение части обязательств граждан, получивших льготные долгосрочные кредиты, выданные ЗАО «Жилстройбанк», в связи с изменениями обменного курса тенге с 5 апреля 1999 года.</w:t>
      </w:r>
      <w:r>
        <w:br/>
      </w:r>
      <w:r>
        <w:rPr>
          <w:rFonts w:ascii="Times New Roman"/>
          <w:b w:val="false"/>
          <w:i w:val="false"/>
          <w:color w:val="000000"/>
          <w:sz w:val="28"/>
        </w:rPr>
        <w:t>
      Данная программа реализуется путем выплаты АО «Банку центр кредит» курсовой разницы по Заемщикам, фактически погасивших задолженность по кредиту в соответствии с графиком.</w:t>
      </w:r>
      <w:r>
        <w:br/>
      </w:r>
      <w:r>
        <w:rPr>
          <w:rFonts w:ascii="Times New Roman"/>
          <w:b w:val="false"/>
          <w:i w:val="false"/>
          <w:color w:val="000000"/>
          <w:sz w:val="28"/>
        </w:rPr>
        <w:t>
      Вышеуказанная программа нацелена на снятие социального напряжения среди социально уязвимых слоев населения, платежеспособность которых является низкой.</w:t>
      </w:r>
      <w:r>
        <w:br/>
      </w:r>
      <w:r>
        <w:rPr>
          <w:rFonts w:ascii="Times New Roman"/>
          <w:b w:val="false"/>
          <w:i w:val="false"/>
          <w:color w:val="000000"/>
          <w:sz w:val="28"/>
        </w:rPr>
        <w:t>
</w:t>
      </w:r>
      <w:r>
        <w:rPr>
          <w:rFonts w:ascii="Times New Roman"/>
          <w:b w:val="false"/>
          <w:i w:val="false"/>
          <w:color w:val="000000"/>
          <w:sz w:val="28"/>
        </w:rPr>
        <w:t>
      2. Анализ основных проблем</w:t>
      </w:r>
      <w:r>
        <w:br/>
      </w:r>
      <w:r>
        <w:rPr>
          <w:rFonts w:ascii="Times New Roman"/>
          <w:b w:val="false"/>
          <w:i w:val="false"/>
          <w:color w:val="000000"/>
          <w:sz w:val="28"/>
        </w:rPr>
        <w:t>
      Существует опасность увеличения социальной напряженности среди граждан, получивших льготные долгосрочные кредиты через ЗАО «Жилстройбанк» связанного с угрозой потери жилья.</w:t>
      </w:r>
      <w:r>
        <w:br/>
      </w:r>
      <w:r>
        <w:rPr>
          <w:rFonts w:ascii="Times New Roman"/>
          <w:b w:val="false"/>
          <w:i w:val="false"/>
          <w:color w:val="000000"/>
          <w:sz w:val="28"/>
        </w:rPr>
        <w:t>
</w:t>
      </w:r>
      <w:r>
        <w:rPr>
          <w:rFonts w:ascii="Times New Roman"/>
          <w:b w:val="false"/>
          <w:i w:val="false"/>
          <w:color w:val="000000"/>
          <w:sz w:val="28"/>
        </w:rPr>
        <w:t>
      3. Оценка основных внешних и внутренних факторов</w:t>
      </w:r>
      <w:r>
        <w:br/>
      </w:r>
      <w:r>
        <w:rPr>
          <w:rFonts w:ascii="Times New Roman"/>
          <w:b w:val="false"/>
          <w:i w:val="false"/>
          <w:color w:val="000000"/>
          <w:sz w:val="28"/>
        </w:rPr>
        <w:t>
      Внешние факторы</w:t>
      </w:r>
      <w:r>
        <w:br/>
      </w:r>
      <w:r>
        <w:rPr>
          <w:rFonts w:ascii="Times New Roman"/>
          <w:b w:val="false"/>
          <w:i w:val="false"/>
          <w:color w:val="000000"/>
          <w:sz w:val="28"/>
        </w:rPr>
        <w:t>
      1) Изменения курса валют.</w:t>
      </w:r>
    </w:p>
    <w:bookmarkEnd w:id="13"/>
    <w:bookmarkStart w:name="z42" w:id="14"/>
    <w:p>
      <w:pPr>
        <w:spacing w:after="0"/>
        <w:ind w:left="0"/>
        <w:jc w:val="both"/>
      </w:pPr>
      <w:r>
        <w:rPr>
          <w:rFonts w:ascii="Times New Roman"/>
          <w:b w:val="false"/>
          <w:i w:val="false"/>
          <w:color w:val="000000"/>
          <w:sz w:val="28"/>
        </w:rPr>
        <w:t>
      </w:t>
      </w:r>
      <w:r>
        <w:rPr>
          <w:rFonts w:ascii="Times New Roman"/>
          <w:b/>
          <w:i w:val="false"/>
          <w:color w:val="000000"/>
          <w:sz w:val="28"/>
        </w:rPr>
        <w:t>10. Государственные гарантии</w:t>
      </w:r>
      <w:r>
        <w:br/>
      </w:r>
      <w:r>
        <w:rPr>
          <w:rFonts w:ascii="Times New Roman"/>
          <w:b w:val="false"/>
          <w:i w:val="false"/>
          <w:color w:val="000000"/>
          <w:sz w:val="28"/>
        </w:rPr>
        <w:t>
</w:t>
      </w:r>
      <w:r>
        <w:rPr>
          <w:rFonts w:ascii="Times New Roman"/>
          <w:b w:val="false"/>
          <w:i w:val="false"/>
          <w:color w:val="000000"/>
          <w:sz w:val="28"/>
        </w:rPr>
        <w:t>
      1. Основные параметры развития</w:t>
      </w:r>
      <w:r>
        <w:br/>
      </w:r>
      <w:r>
        <w:rPr>
          <w:rFonts w:ascii="Times New Roman"/>
          <w:b w:val="false"/>
          <w:i w:val="false"/>
          <w:color w:val="000000"/>
          <w:sz w:val="28"/>
        </w:rPr>
        <w:t>
      В целях реализации </w:t>
      </w:r>
      <w:r>
        <w:rPr>
          <w:rFonts w:ascii="Times New Roman"/>
          <w:b w:val="false"/>
          <w:i w:val="false"/>
          <w:color w:val="000000"/>
          <w:sz w:val="28"/>
        </w:rPr>
        <w:t>Бюджетного Кодекса</w:t>
      </w:r>
      <w:r>
        <w:rPr>
          <w:rFonts w:ascii="Times New Roman"/>
          <w:b w:val="false"/>
          <w:i w:val="false"/>
          <w:color w:val="000000"/>
          <w:sz w:val="28"/>
        </w:rPr>
        <w:t xml:space="preserve"> Республики Казахстан, Правил исполнения бюджета и его кассового обслуживания,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26 февраля 2009 года № 220 на полугодовой основе осуществляется выполнение обязательств по государственным гарантиям.</w:t>
      </w:r>
      <w:r>
        <w:br/>
      </w:r>
      <w:r>
        <w:rPr>
          <w:rFonts w:ascii="Times New Roman"/>
          <w:b w:val="false"/>
          <w:i w:val="false"/>
          <w:color w:val="000000"/>
          <w:sz w:val="28"/>
        </w:rPr>
        <w:t>
      Выполнение обязательств по государственным гарантиям отражается на имидже Казахстана, а также дает возможность повысить кредитный рейтинг, что в свою очередь, позволяет стране привлекать новые займы по более низким процентным ставкам, а также стимулирует рост инвестиций и не допустить фактов дефолта по гарантированным государством займам.</w:t>
      </w:r>
      <w:r>
        <w:br/>
      </w:r>
      <w:r>
        <w:rPr>
          <w:rFonts w:ascii="Times New Roman"/>
          <w:b w:val="false"/>
          <w:i w:val="false"/>
          <w:color w:val="000000"/>
          <w:sz w:val="28"/>
        </w:rPr>
        <w:t>
</w:t>
      </w:r>
      <w:r>
        <w:rPr>
          <w:rFonts w:ascii="Times New Roman"/>
          <w:b w:val="false"/>
          <w:i w:val="false"/>
          <w:color w:val="000000"/>
          <w:sz w:val="28"/>
        </w:rPr>
        <w:t>
      2. Анализ основных проблем</w:t>
      </w:r>
      <w:r>
        <w:br/>
      </w:r>
      <w:r>
        <w:rPr>
          <w:rFonts w:ascii="Times New Roman"/>
          <w:b w:val="false"/>
          <w:i w:val="false"/>
          <w:color w:val="000000"/>
          <w:sz w:val="28"/>
        </w:rPr>
        <w:t>
      1) Неплатежеспособность заемщиков, непосредственно ведущая к вступлению в силу государственной гарантии.</w:t>
      </w:r>
      <w:r>
        <w:br/>
      </w:r>
      <w:r>
        <w:rPr>
          <w:rFonts w:ascii="Times New Roman"/>
          <w:b w:val="false"/>
          <w:i w:val="false"/>
          <w:color w:val="000000"/>
          <w:sz w:val="28"/>
        </w:rPr>
        <w:t>
</w:t>
      </w:r>
      <w:r>
        <w:rPr>
          <w:rFonts w:ascii="Times New Roman"/>
          <w:b w:val="false"/>
          <w:i w:val="false"/>
          <w:color w:val="000000"/>
          <w:sz w:val="28"/>
        </w:rPr>
        <w:t>
      3. Оценка основных внешних и внутренних факторов</w:t>
      </w:r>
      <w:r>
        <w:br/>
      </w:r>
      <w:r>
        <w:rPr>
          <w:rFonts w:ascii="Times New Roman"/>
          <w:b w:val="false"/>
          <w:i w:val="false"/>
          <w:color w:val="000000"/>
          <w:sz w:val="28"/>
        </w:rPr>
        <w:t>
      Внешние факторы</w:t>
      </w:r>
      <w:r>
        <w:br/>
      </w:r>
      <w:r>
        <w:rPr>
          <w:rFonts w:ascii="Times New Roman"/>
          <w:b w:val="false"/>
          <w:i w:val="false"/>
          <w:color w:val="000000"/>
          <w:sz w:val="28"/>
        </w:rPr>
        <w:t>
      1) Неплатежеспособность заемщиков вследствие изменения курсов валют, процентных ставок и др.</w:t>
      </w:r>
    </w:p>
    <w:bookmarkEnd w:id="14"/>
    <w:bookmarkStart w:name="z46" w:id="15"/>
    <w:p>
      <w:pPr>
        <w:spacing w:after="0"/>
        <w:ind w:left="0"/>
        <w:jc w:val="both"/>
      </w:pPr>
      <w:r>
        <w:rPr>
          <w:rFonts w:ascii="Times New Roman"/>
          <w:b w:val="false"/>
          <w:i w:val="false"/>
          <w:color w:val="000000"/>
          <w:sz w:val="28"/>
        </w:rPr>
        <w:t>
      </w:t>
      </w:r>
      <w:r>
        <w:rPr>
          <w:rFonts w:ascii="Times New Roman"/>
          <w:b/>
          <w:i w:val="false"/>
          <w:color w:val="000000"/>
          <w:sz w:val="28"/>
        </w:rPr>
        <w:t>11. Налоговое администрирование</w:t>
      </w:r>
      <w:r>
        <w:br/>
      </w:r>
      <w:r>
        <w:rPr>
          <w:rFonts w:ascii="Times New Roman"/>
          <w:b w:val="false"/>
          <w:i w:val="false"/>
          <w:color w:val="000000"/>
          <w:sz w:val="28"/>
        </w:rPr>
        <w:t>
</w:t>
      </w:r>
      <w:r>
        <w:rPr>
          <w:rFonts w:ascii="Times New Roman"/>
          <w:b w:val="false"/>
          <w:i w:val="false"/>
          <w:color w:val="000000"/>
          <w:sz w:val="28"/>
        </w:rPr>
        <w:t>
      1. Основные параметры развития</w:t>
      </w:r>
      <w:r>
        <w:br/>
      </w:r>
      <w:r>
        <w:rPr>
          <w:rFonts w:ascii="Times New Roman"/>
          <w:b w:val="false"/>
          <w:i w:val="false"/>
          <w:color w:val="000000"/>
          <w:sz w:val="28"/>
        </w:rPr>
        <w:t xml:space="preserve">
      Ключевыми целями совершенствования налоговой системы </w:t>
      </w:r>
      <w:r>
        <w:br/>
      </w:r>
      <w:r>
        <w:rPr>
          <w:rFonts w:ascii="Times New Roman"/>
          <w:b w:val="false"/>
          <w:i w:val="false"/>
          <w:color w:val="000000"/>
          <w:sz w:val="28"/>
        </w:rPr>
        <w:t>
являются – улучшение налогового администрирования и повышение качества предоставляемых налоговых услуг.</w:t>
      </w:r>
      <w:r>
        <w:br/>
      </w:r>
      <w:r>
        <w:rPr>
          <w:rFonts w:ascii="Times New Roman"/>
          <w:b w:val="false"/>
          <w:i w:val="false"/>
          <w:color w:val="000000"/>
          <w:sz w:val="28"/>
        </w:rPr>
        <w:t>
      Главой государства в «</w:t>
      </w:r>
      <w:r>
        <w:rPr>
          <w:rFonts w:ascii="Times New Roman"/>
          <w:b w:val="false"/>
          <w:i w:val="false"/>
          <w:color w:val="000000"/>
          <w:sz w:val="28"/>
        </w:rPr>
        <w:t>Стратегии «Казахстан – 2050</w:t>
      </w:r>
      <w:r>
        <w:rPr>
          <w:rFonts w:ascii="Times New Roman"/>
          <w:b w:val="false"/>
          <w:i w:val="false"/>
          <w:color w:val="000000"/>
          <w:sz w:val="28"/>
        </w:rPr>
        <w:t>»: новый политический курс состоявшегося государства» обозначены новые ориентиры, среди которых отмечены – либерализация налогового администрирования, упрощение и минимизация налоговой отчетности с поэтапным переходом хозяйствующих субъектов на полный режим электронной отчетности.</w:t>
      </w:r>
      <w:r>
        <w:br/>
      </w:r>
      <w:r>
        <w:rPr>
          <w:rFonts w:ascii="Times New Roman"/>
          <w:b w:val="false"/>
          <w:i w:val="false"/>
          <w:color w:val="000000"/>
          <w:sz w:val="28"/>
        </w:rPr>
        <w:t>
      Несмотря на значительные достижения в налоговом администрировании и ежегодном повышении качества налоговых услуг имеются проблемы, связанные с неэффективным управлением органов налоговой службы и чрезмерной зарегулированностью налоговых бизнес-процессов.</w:t>
      </w:r>
      <w:r>
        <w:br/>
      </w:r>
      <w:r>
        <w:rPr>
          <w:rFonts w:ascii="Times New Roman"/>
          <w:b w:val="false"/>
          <w:i w:val="false"/>
          <w:color w:val="000000"/>
          <w:sz w:val="28"/>
        </w:rPr>
        <w:t>
      Имеющиеся проблемы влияют на показатели исполнения налоговых обязательств. Так согласно докладу Всемирного банка «Doing Business», Казахстану необходимо снизить время, необходимое налогоплательщикам для выполнения налоговых обязательств.</w:t>
      </w:r>
      <w:r>
        <w:br/>
      </w:r>
      <w:r>
        <w:rPr>
          <w:rFonts w:ascii="Times New Roman"/>
          <w:b w:val="false"/>
          <w:i w:val="false"/>
          <w:color w:val="000000"/>
          <w:sz w:val="28"/>
        </w:rPr>
        <w:t>
</w:t>
      </w:r>
      <w:r>
        <w:rPr>
          <w:rFonts w:ascii="Times New Roman"/>
          <w:b w:val="false"/>
          <w:i w:val="false"/>
          <w:color w:val="000000"/>
          <w:sz w:val="28"/>
        </w:rPr>
        <w:t>
      2. Анализ основных проблем</w:t>
      </w:r>
      <w:r>
        <w:br/>
      </w:r>
      <w:r>
        <w:rPr>
          <w:rFonts w:ascii="Times New Roman"/>
          <w:b w:val="false"/>
          <w:i w:val="false"/>
          <w:color w:val="000000"/>
          <w:sz w:val="28"/>
        </w:rPr>
        <w:t>
      Работа налоговых органов по сбору налоговых поступлений осуществляется в тесном взаимодействии с уполномоченными органами. В настоящее время проблемы по взаимодействию существуют практически со всеми уполномоченными государственными органами, что значительно усложняет и тормозит текущую работу налоговых органов и является препятствием дальнейшего его развития. В связи с чем, производится актуализация баз данных уполномоченных органов, что позволяет обеспечить полноту сборов и налогов.</w:t>
      </w:r>
      <w:r>
        <w:br/>
      </w:r>
      <w:r>
        <w:rPr>
          <w:rFonts w:ascii="Times New Roman"/>
          <w:b w:val="false"/>
          <w:i w:val="false"/>
          <w:color w:val="000000"/>
          <w:sz w:val="28"/>
        </w:rPr>
        <w:t>
</w:t>
      </w:r>
      <w:r>
        <w:rPr>
          <w:rFonts w:ascii="Times New Roman"/>
          <w:b w:val="false"/>
          <w:i w:val="false"/>
          <w:color w:val="000000"/>
          <w:sz w:val="28"/>
        </w:rPr>
        <w:t>
      3. Оценка основных внешних и внутренних факторов</w:t>
      </w:r>
      <w:r>
        <w:br/>
      </w:r>
      <w:r>
        <w:rPr>
          <w:rFonts w:ascii="Times New Roman"/>
          <w:b w:val="false"/>
          <w:i w:val="false"/>
          <w:color w:val="000000"/>
          <w:sz w:val="28"/>
        </w:rPr>
        <w:t>
      Внешние факторы</w:t>
      </w:r>
      <w:r>
        <w:br/>
      </w:r>
      <w:r>
        <w:rPr>
          <w:rFonts w:ascii="Times New Roman"/>
          <w:b w:val="false"/>
          <w:i w:val="false"/>
          <w:color w:val="000000"/>
          <w:sz w:val="28"/>
        </w:rPr>
        <w:t>
      1) Спад мировых цен на металлы, падение цен на нефть и как следствие падение объемов производства и реализации;</w:t>
      </w:r>
      <w:r>
        <w:br/>
      </w:r>
      <w:r>
        <w:rPr>
          <w:rFonts w:ascii="Times New Roman"/>
          <w:b w:val="false"/>
          <w:i w:val="false"/>
          <w:color w:val="000000"/>
          <w:sz w:val="28"/>
        </w:rPr>
        <w:t>
      2) снижение поступлений от финансового сектора за счет представления льгот и преференций;</w:t>
      </w:r>
      <w:r>
        <w:br/>
      </w:r>
      <w:r>
        <w:rPr>
          <w:rFonts w:ascii="Times New Roman"/>
          <w:b w:val="false"/>
          <w:i w:val="false"/>
          <w:color w:val="000000"/>
          <w:sz w:val="28"/>
        </w:rPr>
        <w:t>
      3) снижение объема работ, услуг в связи с завершением крупных контрактов по проектам нерезидентов.</w:t>
      </w:r>
      <w:r>
        <w:br/>
      </w:r>
      <w:r>
        <w:rPr>
          <w:rFonts w:ascii="Times New Roman"/>
          <w:b w:val="false"/>
          <w:i w:val="false"/>
          <w:color w:val="000000"/>
          <w:sz w:val="28"/>
        </w:rPr>
        <w:t>
      Внутренние факторы</w:t>
      </w:r>
      <w:r>
        <w:br/>
      </w:r>
      <w:r>
        <w:rPr>
          <w:rFonts w:ascii="Times New Roman"/>
          <w:b w:val="false"/>
          <w:i w:val="false"/>
          <w:color w:val="000000"/>
          <w:sz w:val="28"/>
        </w:rPr>
        <w:t>
      1) Некачественный обмен информацией с уполномоченными органами и как следствие неполное и несвоевременное обновление базы данных налоговых органов актуальной информацией о субъектах и объектах налогообложения и объектах, связанных с налогообложением;</w:t>
      </w:r>
      <w:r>
        <w:br/>
      </w:r>
      <w:r>
        <w:rPr>
          <w:rFonts w:ascii="Times New Roman"/>
          <w:b w:val="false"/>
          <w:i w:val="false"/>
          <w:color w:val="000000"/>
          <w:sz w:val="28"/>
        </w:rPr>
        <w:t>
      2) своевременное и полное обеспечение методологической и правовой базы для функционирования налоговой системы;</w:t>
      </w:r>
      <w:r>
        <w:br/>
      </w:r>
      <w:r>
        <w:rPr>
          <w:rFonts w:ascii="Times New Roman"/>
          <w:b w:val="false"/>
          <w:i w:val="false"/>
          <w:color w:val="000000"/>
          <w:sz w:val="28"/>
        </w:rPr>
        <w:t>
      3) своевременное и полное материально-техническое и кадровое обеспечение органов налоговой службы.</w:t>
      </w:r>
    </w:p>
    <w:bookmarkEnd w:id="15"/>
    <w:bookmarkStart w:name="z50" w:id="16"/>
    <w:p>
      <w:pPr>
        <w:spacing w:after="0"/>
        <w:ind w:left="0"/>
        <w:jc w:val="both"/>
      </w:pPr>
      <w:r>
        <w:rPr>
          <w:rFonts w:ascii="Times New Roman"/>
          <w:b w:val="false"/>
          <w:i w:val="false"/>
          <w:color w:val="000000"/>
          <w:sz w:val="28"/>
        </w:rPr>
        <w:t>
      </w:t>
      </w:r>
      <w:r>
        <w:rPr>
          <w:rFonts w:ascii="Times New Roman"/>
          <w:b/>
          <w:i w:val="false"/>
          <w:color w:val="000000"/>
          <w:sz w:val="28"/>
        </w:rPr>
        <w:t>12. Таможенное администрирование</w:t>
      </w:r>
      <w:r>
        <w:br/>
      </w:r>
      <w:r>
        <w:rPr>
          <w:rFonts w:ascii="Times New Roman"/>
          <w:b w:val="false"/>
          <w:i w:val="false"/>
          <w:color w:val="000000"/>
          <w:sz w:val="28"/>
        </w:rPr>
        <w:t>
</w:t>
      </w:r>
      <w:r>
        <w:rPr>
          <w:rFonts w:ascii="Times New Roman"/>
          <w:b w:val="false"/>
          <w:i w:val="false"/>
          <w:color w:val="000000"/>
          <w:sz w:val="28"/>
        </w:rPr>
        <w:t>
      1. Основные параметры развития</w:t>
      </w:r>
      <w:r>
        <w:br/>
      </w:r>
      <w:r>
        <w:rPr>
          <w:rFonts w:ascii="Times New Roman"/>
          <w:b w:val="false"/>
          <w:i w:val="false"/>
          <w:color w:val="000000"/>
          <w:sz w:val="28"/>
        </w:rPr>
        <w:t>
      За последние годы, таможенной службой Казахстана предпринимались активные шаги в сторону совершенствования таможенного администрирования, упрощения таможенных процедур, создания благоприятных условий для участников внешнеэкономической деятельности (далее – ВЭД) и населения в целом.</w:t>
      </w:r>
      <w:r>
        <w:br/>
      </w:r>
      <w:r>
        <w:rPr>
          <w:rFonts w:ascii="Times New Roman"/>
          <w:b w:val="false"/>
          <w:i w:val="false"/>
          <w:color w:val="000000"/>
          <w:sz w:val="28"/>
        </w:rPr>
        <w:t>
      В июле 2010 года реализованы правовые основы таможенного регулирования в Таможенном союзе – </w:t>
      </w:r>
      <w:r>
        <w:rPr>
          <w:rFonts w:ascii="Times New Roman"/>
          <w:b w:val="false"/>
          <w:i w:val="false"/>
          <w:color w:val="000000"/>
          <w:sz w:val="28"/>
        </w:rPr>
        <w:t>Таможенный кодекс</w:t>
      </w:r>
      <w:r>
        <w:rPr>
          <w:rFonts w:ascii="Times New Roman"/>
          <w:b w:val="false"/>
          <w:i w:val="false"/>
          <w:color w:val="000000"/>
          <w:sz w:val="28"/>
        </w:rPr>
        <w:t xml:space="preserve"> Таможенного союза применяется на единой таможенной территории государствами – членами Таможенного союза.</w:t>
      </w:r>
      <w:r>
        <w:br/>
      </w:r>
      <w:r>
        <w:rPr>
          <w:rFonts w:ascii="Times New Roman"/>
          <w:b w:val="false"/>
          <w:i w:val="false"/>
          <w:color w:val="000000"/>
          <w:sz w:val="28"/>
        </w:rPr>
        <w:t>
      В рамках положений таможенного законодательства Таможенного союза и Республики Казахстан государствами-членами Таможенного союза унифицирован порядок: таможенного декларирования и применения таможенных процедур; совершения таможенных операций, связанных с таможенной очисткой и выпуском товаров; проведения таможенного контроля с использованием системы управления рисками (СУР) и др.</w:t>
      </w:r>
      <w:r>
        <w:br/>
      </w:r>
      <w:r>
        <w:rPr>
          <w:rFonts w:ascii="Times New Roman"/>
          <w:b w:val="false"/>
          <w:i w:val="false"/>
          <w:color w:val="000000"/>
          <w:sz w:val="28"/>
        </w:rPr>
        <w:t>
      С 1 июля 2010 года в соответствии с положениями таможенного законодательства Таможенного союза и Республики Казахстан товары, происходящие с территорий государств – членов Таможенного союза, а также товары, происходящие из третьих стран и выпущенные в свободное обращение на территориях государств-членов Таможенного союза, не подлежат таможенному декларированию и таможенной очистке, а с начала 2011 года перемещение товаров на территории Таможенного союза осуществляется свободно.</w:t>
      </w:r>
      <w:r>
        <w:br/>
      </w:r>
      <w:r>
        <w:rPr>
          <w:rFonts w:ascii="Times New Roman"/>
          <w:b w:val="false"/>
          <w:i w:val="false"/>
          <w:color w:val="000000"/>
          <w:sz w:val="28"/>
        </w:rPr>
        <w:t>
      Выпуск товаров производится не позднее 1-го рабочего дня, следующего за днем регистрации таможенной декларации (до 1 июля 2010 г. – 2 рабочих дня), а в отношении отдельных категорий товаров – за 4 часа (экспорт). Указанные сроки включают время проведения таможенного контроля с использованием системы управления рисками.</w:t>
      </w:r>
      <w:r>
        <w:br/>
      </w:r>
      <w:r>
        <w:rPr>
          <w:rFonts w:ascii="Times New Roman"/>
          <w:b w:val="false"/>
          <w:i w:val="false"/>
          <w:color w:val="000000"/>
          <w:sz w:val="28"/>
        </w:rPr>
        <w:t>
      С 1 июля 2010 года в Республике Казахстан при декларировании иностранных товаров перечень обязательных документов сокращен до 3 (трех) основных документов (документ, подтверждающий полномочия лица, подающего ТД; коммерческие и транспортные (перевозочные) документы, упразднен институт лицензирования, что позволило исключить расходы по уплате лицензионного сбора, составлявшие от 5 до 19 тысяч евро.</w:t>
      </w:r>
      <w:r>
        <w:br/>
      </w:r>
      <w:r>
        <w:rPr>
          <w:rFonts w:ascii="Times New Roman"/>
          <w:b w:val="false"/>
          <w:i w:val="false"/>
          <w:color w:val="000000"/>
          <w:sz w:val="28"/>
        </w:rPr>
        <w:t>
      В целях сохранения привлекательного инвестиционного климата в Республике Казахстан в таможенном законодательстве предусмотрено сохранение положений контрактов на недропользование, регламентирующих порядок уплаты, освобождение от уплаты таможенных платежей в топливно-энергетической сфере. Отменена процедура временного декларирования электроэнергии, таможенное декларирование электроэнергии производится путем подачи декларации после фактического перемещения товара. При таможенном оформлении товаров, перемещаемых трубопроводным транспортом и линиями электропередачи, не требуется фактическое предъявление товара.</w:t>
      </w:r>
      <w:r>
        <w:br/>
      </w:r>
      <w:r>
        <w:rPr>
          <w:rFonts w:ascii="Times New Roman"/>
          <w:b w:val="false"/>
          <w:i w:val="false"/>
          <w:color w:val="000000"/>
          <w:sz w:val="28"/>
        </w:rPr>
        <w:t>
      Введен институт уполномоченного экономического оператора, пользующегося специальными упрощениями, например, выпуском до подачи декларации, то есть фактическая беспроцентная отсрочка сроком до 40 дней.</w:t>
      </w:r>
      <w:r>
        <w:br/>
      </w:r>
      <w:r>
        <w:rPr>
          <w:rFonts w:ascii="Times New Roman"/>
          <w:b w:val="false"/>
          <w:i w:val="false"/>
          <w:color w:val="000000"/>
          <w:sz w:val="28"/>
        </w:rPr>
        <w:t>
      С октября 2010 года проверка таможенной декларации и таможенный контроль производится с использованием автоматизированной системы управления рисками. В рамках данной системы впервые среди стран СНГ предусмотрено применение системы управления рисками при пост – таможенном контроле.</w:t>
      </w:r>
      <w:r>
        <w:br/>
      </w:r>
      <w:r>
        <w:rPr>
          <w:rFonts w:ascii="Times New Roman"/>
          <w:b w:val="false"/>
          <w:i w:val="false"/>
          <w:color w:val="000000"/>
          <w:sz w:val="28"/>
        </w:rPr>
        <w:t>
      Введен интегрированный таможенный контроль на границе с возложением на таможенные органы функций по координации действий контролирующих органов, осуществлению приема и выдачи документов на товары и транспортные средства.</w:t>
      </w:r>
      <w:r>
        <w:br/>
      </w:r>
      <w:r>
        <w:rPr>
          <w:rFonts w:ascii="Times New Roman"/>
          <w:b w:val="false"/>
          <w:i w:val="false"/>
          <w:color w:val="000000"/>
          <w:sz w:val="28"/>
        </w:rPr>
        <w:t>
      Для совместного дистанционного мониторинга с другими контролирующими органами к соответствующему структурному подразделению Комитета таможенного контроля подключены более 20 рабочих мест таможенных органов и более 60 автомобильных пунктов пропуска на государственной границе.</w:t>
      </w:r>
      <w:r>
        <w:br/>
      </w:r>
      <w:r>
        <w:rPr>
          <w:rFonts w:ascii="Times New Roman"/>
          <w:b w:val="false"/>
          <w:i w:val="false"/>
          <w:color w:val="000000"/>
          <w:sz w:val="28"/>
        </w:rPr>
        <w:t>
      Для усиления контроля за перемещением товаров и транспортных средств на внешней границе таможенного союза созданы региональные центры мониторинга границы, проводится подключение к системе межведомственного мониторинга железнодорожного, воздушного и морского транспорта, разрабатывается информационная система КТК, предусматривающая получение предварительной информации о товаре, о поступлениях сумм обеспечения таможенных платежей при транзите и временном хранении товаров, учет экспортных деклараций при контроле за вывозом товаров, интеграцию с базами данных «Е-лицензирование» и других контролирующих органов, информационное взаимодействие в рамках таможенного союза и др.</w:t>
      </w:r>
      <w:r>
        <w:br/>
      </w:r>
      <w:r>
        <w:rPr>
          <w:rFonts w:ascii="Times New Roman"/>
          <w:b w:val="false"/>
          <w:i w:val="false"/>
          <w:color w:val="000000"/>
          <w:sz w:val="28"/>
        </w:rPr>
        <w:t>
      В целях приведения деятельности таможенной службы в соответствие с международными стандартами и требованиями по вступлению во Всемирную торговую организацию ведется работа в рамках проекта развития таможенной службы Республики Казахстан, а также проводиться работа по улучшению позиции Республики Казахстан в международном рейтинге «Индекс глобальной конкурентоспособности» по показателю «Нагрузка таможенных процедур».</w:t>
      </w:r>
      <w:r>
        <w:br/>
      </w:r>
      <w:r>
        <w:rPr>
          <w:rFonts w:ascii="Times New Roman"/>
          <w:b w:val="false"/>
          <w:i w:val="false"/>
          <w:color w:val="000000"/>
          <w:sz w:val="28"/>
        </w:rPr>
        <w:t>
      В соответствии с ежегодным Посланием Главы государства народу Казахстана «</w:t>
      </w:r>
      <w:r>
        <w:rPr>
          <w:rFonts w:ascii="Times New Roman"/>
          <w:b w:val="false"/>
          <w:i w:val="false"/>
          <w:color w:val="000000"/>
          <w:sz w:val="28"/>
        </w:rPr>
        <w:t>Казахстан – 2050</w:t>
      </w:r>
      <w:r>
        <w:rPr>
          <w:rFonts w:ascii="Times New Roman"/>
          <w:b w:val="false"/>
          <w:i w:val="false"/>
          <w:color w:val="000000"/>
          <w:sz w:val="28"/>
        </w:rPr>
        <w:t>» Новый политический курс состоявшегося государства» будет продолжена работа по систематизации таможенного администрирования.</w:t>
      </w:r>
      <w:r>
        <w:br/>
      </w:r>
      <w:r>
        <w:rPr>
          <w:rFonts w:ascii="Times New Roman"/>
          <w:b w:val="false"/>
          <w:i w:val="false"/>
          <w:color w:val="000000"/>
          <w:sz w:val="28"/>
        </w:rPr>
        <w:t>
</w:t>
      </w:r>
      <w:r>
        <w:rPr>
          <w:rFonts w:ascii="Times New Roman"/>
          <w:b w:val="false"/>
          <w:i w:val="false"/>
          <w:color w:val="000000"/>
          <w:sz w:val="28"/>
        </w:rPr>
        <w:t>
      2. Анализ основных проблем</w:t>
      </w:r>
      <w:r>
        <w:br/>
      </w:r>
      <w:r>
        <w:rPr>
          <w:rFonts w:ascii="Times New Roman"/>
          <w:b w:val="false"/>
          <w:i w:val="false"/>
          <w:color w:val="000000"/>
          <w:sz w:val="28"/>
        </w:rPr>
        <w:t>
      </w:t>
      </w:r>
      <w:r>
        <w:rPr>
          <w:rFonts w:ascii="Times New Roman"/>
          <w:b w:val="false"/>
          <w:i w:val="false"/>
          <w:color w:val="000000"/>
          <w:sz w:val="28"/>
        </w:rPr>
        <w:t>Распоряжением</w:t>
      </w:r>
      <w:r>
        <w:rPr>
          <w:rFonts w:ascii="Times New Roman"/>
          <w:b w:val="false"/>
          <w:i w:val="false"/>
          <w:color w:val="000000"/>
          <w:sz w:val="28"/>
        </w:rPr>
        <w:t xml:space="preserve"> Премьер-Министра Республики Казахстан от 14 марта 2013 года № 47–р утвержден «План мероприятий по совершенствованию налогового и таможенного администрирования», в котором предусмотрена реализация следующих направлений:</w:t>
      </w:r>
      <w:r>
        <w:br/>
      </w:r>
      <w:r>
        <w:rPr>
          <w:rFonts w:ascii="Times New Roman"/>
          <w:b w:val="false"/>
          <w:i w:val="false"/>
          <w:color w:val="000000"/>
          <w:sz w:val="28"/>
        </w:rPr>
        <w:t>
      1) унификация ставок таможенных пошлин для товаров, имеющих схожие характеристики и относящихся к одной товарной группе;</w:t>
      </w:r>
      <w:r>
        <w:br/>
      </w:r>
      <w:r>
        <w:rPr>
          <w:rFonts w:ascii="Times New Roman"/>
          <w:b w:val="false"/>
          <w:i w:val="false"/>
          <w:color w:val="000000"/>
          <w:sz w:val="28"/>
        </w:rPr>
        <w:t>
      2) создание современной инфраструктуры таможенной службы;</w:t>
      </w:r>
      <w:r>
        <w:br/>
      </w:r>
      <w:r>
        <w:rPr>
          <w:rFonts w:ascii="Times New Roman"/>
          <w:b w:val="false"/>
          <w:i w:val="false"/>
          <w:color w:val="000000"/>
          <w:sz w:val="28"/>
        </w:rPr>
        <w:t>
      3) внедрение электронного декларирования;</w:t>
      </w:r>
      <w:r>
        <w:br/>
      </w:r>
      <w:r>
        <w:rPr>
          <w:rFonts w:ascii="Times New Roman"/>
          <w:b w:val="false"/>
          <w:i w:val="false"/>
          <w:color w:val="000000"/>
          <w:sz w:val="28"/>
        </w:rPr>
        <w:t>
      4) упорядочение ввоза физическими лицами коммерческих грузов;</w:t>
      </w:r>
      <w:r>
        <w:br/>
      </w:r>
      <w:r>
        <w:rPr>
          <w:rFonts w:ascii="Times New Roman"/>
          <w:b w:val="false"/>
          <w:i w:val="false"/>
          <w:color w:val="000000"/>
          <w:sz w:val="28"/>
        </w:rPr>
        <w:t>
      5) упрощение таможенного администрирования через максимальное сокращение документов;</w:t>
      </w:r>
      <w:r>
        <w:br/>
      </w:r>
      <w:r>
        <w:rPr>
          <w:rFonts w:ascii="Times New Roman"/>
          <w:b w:val="false"/>
          <w:i w:val="false"/>
          <w:color w:val="000000"/>
          <w:sz w:val="28"/>
        </w:rPr>
        <w:t>
      6) совершенствование института уполномоченных экономических операторов.</w:t>
      </w:r>
      <w:r>
        <w:br/>
      </w:r>
      <w:r>
        <w:rPr>
          <w:rFonts w:ascii="Times New Roman"/>
          <w:b w:val="false"/>
          <w:i w:val="false"/>
          <w:color w:val="000000"/>
          <w:sz w:val="28"/>
        </w:rPr>
        <w:t>
</w:t>
      </w:r>
      <w:r>
        <w:rPr>
          <w:rFonts w:ascii="Times New Roman"/>
          <w:b w:val="false"/>
          <w:i w:val="false"/>
          <w:color w:val="000000"/>
          <w:sz w:val="28"/>
        </w:rPr>
        <w:t>
      3. Оценка основных внешних и внутренних факторов</w:t>
      </w:r>
      <w:r>
        <w:br/>
      </w:r>
      <w:r>
        <w:rPr>
          <w:rFonts w:ascii="Times New Roman"/>
          <w:b w:val="false"/>
          <w:i w:val="false"/>
          <w:color w:val="000000"/>
          <w:sz w:val="28"/>
        </w:rPr>
        <w:t>
      Внешние факторы</w:t>
      </w:r>
      <w:r>
        <w:br/>
      </w:r>
      <w:r>
        <w:rPr>
          <w:rFonts w:ascii="Times New Roman"/>
          <w:b w:val="false"/>
          <w:i w:val="false"/>
          <w:color w:val="000000"/>
          <w:sz w:val="28"/>
        </w:rPr>
        <w:t>
      1) Кризисные явления в мировой экономике, обусловленных обострением долговых проблем стран еврозоны;</w:t>
      </w:r>
      <w:r>
        <w:br/>
      </w:r>
      <w:r>
        <w:rPr>
          <w:rFonts w:ascii="Times New Roman"/>
          <w:b w:val="false"/>
          <w:i w:val="false"/>
          <w:color w:val="000000"/>
          <w:sz w:val="28"/>
        </w:rPr>
        <w:t>
      2) вступление Казахстана в ВТО;</w:t>
      </w:r>
      <w:r>
        <w:br/>
      </w:r>
      <w:r>
        <w:rPr>
          <w:rFonts w:ascii="Times New Roman"/>
          <w:b w:val="false"/>
          <w:i w:val="false"/>
          <w:color w:val="000000"/>
          <w:sz w:val="28"/>
        </w:rPr>
        <w:t>
      3) зависимость товарооборота от спроса на мировом рынке товаров и услуг;</w:t>
      </w:r>
      <w:r>
        <w:br/>
      </w:r>
      <w:r>
        <w:rPr>
          <w:rFonts w:ascii="Times New Roman"/>
          <w:b w:val="false"/>
          <w:i w:val="false"/>
          <w:color w:val="000000"/>
          <w:sz w:val="28"/>
        </w:rPr>
        <w:t>
      4) возможное увеличение стран-членов Таможенного Союза;</w:t>
      </w:r>
      <w:r>
        <w:br/>
      </w:r>
      <w:r>
        <w:rPr>
          <w:rFonts w:ascii="Times New Roman"/>
          <w:b w:val="false"/>
          <w:i w:val="false"/>
          <w:color w:val="000000"/>
          <w:sz w:val="28"/>
        </w:rPr>
        <w:t>
      5) отсутствие автоматизации по лицензиям и разрешительным документам других государственных органов требуемых при международной торговле.</w:t>
      </w:r>
      <w:r>
        <w:br/>
      </w:r>
      <w:r>
        <w:rPr>
          <w:rFonts w:ascii="Times New Roman"/>
          <w:b w:val="false"/>
          <w:i w:val="false"/>
          <w:color w:val="000000"/>
          <w:sz w:val="28"/>
        </w:rPr>
        <w:t>
      Внутренние факторы</w:t>
      </w:r>
      <w:r>
        <w:br/>
      </w:r>
      <w:r>
        <w:rPr>
          <w:rFonts w:ascii="Times New Roman"/>
          <w:b w:val="false"/>
          <w:i w:val="false"/>
          <w:color w:val="000000"/>
          <w:sz w:val="28"/>
        </w:rPr>
        <w:t>
      1) Длительность процесса согласования разрабатываемых нормативных правовых актов, в т.ч. решений Евразийской экономической комиссией, поправок в </w:t>
      </w:r>
      <w:r>
        <w:rPr>
          <w:rFonts w:ascii="Times New Roman"/>
          <w:b w:val="false"/>
          <w:i w:val="false"/>
          <w:color w:val="000000"/>
          <w:sz w:val="28"/>
        </w:rPr>
        <w:t>Таможенный кодекс</w:t>
      </w:r>
      <w:r>
        <w:rPr>
          <w:rFonts w:ascii="Times New Roman"/>
          <w:b w:val="false"/>
          <w:i w:val="false"/>
          <w:color w:val="000000"/>
          <w:sz w:val="28"/>
        </w:rPr>
        <w:t xml:space="preserve"> Таможенного союза с бизнес сообществом, заинтересованными государственными органами и другими странами;</w:t>
      </w:r>
      <w:r>
        <w:br/>
      </w:r>
      <w:r>
        <w:rPr>
          <w:rFonts w:ascii="Times New Roman"/>
          <w:b w:val="false"/>
          <w:i w:val="false"/>
          <w:color w:val="000000"/>
          <w:sz w:val="28"/>
        </w:rPr>
        <w:t>
      2) отсутствие интеграции внутренних информационных систем;</w:t>
      </w:r>
      <w:r>
        <w:br/>
      </w:r>
      <w:r>
        <w:rPr>
          <w:rFonts w:ascii="Times New Roman"/>
          <w:b w:val="false"/>
          <w:i w:val="false"/>
          <w:color w:val="000000"/>
          <w:sz w:val="28"/>
        </w:rPr>
        <w:t>
      3) неообходимость учета рекомендации консультантов в проекты развития таможенной службы;</w:t>
      </w:r>
      <w:r>
        <w:br/>
      </w:r>
      <w:r>
        <w:rPr>
          <w:rFonts w:ascii="Times New Roman"/>
          <w:b w:val="false"/>
          <w:i w:val="false"/>
          <w:color w:val="000000"/>
          <w:sz w:val="28"/>
        </w:rPr>
        <w:t>
      4) нехватка компьютерного оборудования, квалифицированных кадров в сфере информационных технологий.</w:t>
      </w:r>
    </w:p>
    <w:bookmarkEnd w:id="16"/>
    <w:bookmarkStart w:name="z54" w:id="17"/>
    <w:p>
      <w:pPr>
        <w:spacing w:after="0"/>
        <w:ind w:left="0"/>
        <w:jc w:val="both"/>
      </w:pPr>
      <w:r>
        <w:rPr>
          <w:rFonts w:ascii="Times New Roman"/>
          <w:b w:val="false"/>
          <w:i w:val="false"/>
          <w:color w:val="000000"/>
          <w:sz w:val="28"/>
        </w:rPr>
        <w:t>
      </w:t>
      </w:r>
      <w:r>
        <w:rPr>
          <w:rFonts w:ascii="Times New Roman"/>
          <w:b/>
          <w:i w:val="false"/>
          <w:color w:val="000000"/>
          <w:sz w:val="28"/>
        </w:rPr>
        <w:t>13. Контроль за проведением процедур реабилитации и банкротства</w:t>
      </w:r>
      <w:r>
        <w:br/>
      </w:r>
      <w:r>
        <w:rPr>
          <w:rFonts w:ascii="Times New Roman"/>
          <w:b w:val="false"/>
          <w:i w:val="false"/>
          <w:color w:val="000000"/>
          <w:sz w:val="28"/>
        </w:rPr>
        <w:t>
</w:t>
      </w:r>
      <w:r>
        <w:rPr>
          <w:rFonts w:ascii="Times New Roman"/>
          <w:b w:val="false"/>
          <w:i w:val="false"/>
          <w:color w:val="000000"/>
          <w:sz w:val="28"/>
        </w:rPr>
        <w:t>
      1. Основные параметры развития</w:t>
      </w:r>
      <w:r>
        <w:br/>
      </w:r>
      <w:r>
        <w:rPr>
          <w:rFonts w:ascii="Times New Roman"/>
          <w:b w:val="false"/>
          <w:i w:val="false"/>
          <w:color w:val="000000"/>
          <w:sz w:val="28"/>
        </w:rPr>
        <w:t>
      По информации банков второго уровня, вследствие мирового финансово-экономического кризиса отдельные предприятия, являющиеся субъектами среднего и крупного предпринимательства, испытывают затруднения с погашением и обслуживанием кредитов и облигационных займов, что создает риски банкротства, неисполнения обязательств перед кредиторами, инвесторами и контрагентами, неисполнения налоговых обязательств, негативно сказывается на ссудном портфеле банков.</w:t>
      </w:r>
      <w:r>
        <w:br/>
      </w:r>
      <w:r>
        <w:rPr>
          <w:rFonts w:ascii="Times New Roman"/>
          <w:b w:val="false"/>
          <w:i w:val="false"/>
          <w:color w:val="000000"/>
          <w:sz w:val="28"/>
        </w:rPr>
        <w:t>
      В свою очередь, ухудшение качества активов банков приводит к росту объемов создаваемых провизий, убытков, давления на капитал и, как следствие, сокращению возможности кредитования реального сектора, что в итоге сдерживает рост экономики.</w:t>
      </w:r>
      <w:r>
        <w:br/>
      </w:r>
      <w:r>
        <w:rPr>
          <w:rFonts w:ascii="Times New Roman"/>
          <w:b w:val="false"/>
          <w:i w:val="false"/>
          <w:color w:val="000000"/>
          <w:sz w:val="28"/>
        </w:rPr>
        <w:t>
      В условиях кризиса государство, принимая на себя роль стабилизатора экономических процессов, оказывало существенную финансовую поддержку банкам второго уровня, субъектам малого и среднего бизнеса, компаниям строительной отрасли.</w:t>
      </w:r>
      <w:r>
        <w:br/>
      </w:r>
      <w:r>
        <w:rPr>
          <w:rFonts w:ascii="Times New Roman"/>
          <w:b w:val="false"/>
          <w:i w:val="false"/>
          <w:color w:val="000000"/>
          <w:sz w:val="28"/>
        </w:rPr>
        <w:t>
      В связи с чем, в своем выступлении на XIII съезде НДП «Нур Отан» 11 февраля 2011 года Глава государства отметил об имеющихся проблемах реального и финансового секторов, и поручил Правительству Республики Казахстан совместно с Национальным Банком Республики Казахстан и Агентством Республики Казахстан по регулированию и надзору финансового рынка и финансовых организаций разработать программу посткризисного восстановления.</w:t>
      </w:r>
      <w:r>
        <w:br/>
      </w:r>
      <w:r>
        <w:rPr>
          <w:rFonts w:ascii="Times New Roman"/>
          <w:b w:val="false"/>
          <w:i w:val="false"/>
          <w:color w:val="000000"/>
          <w:sz w:val="28"/>
        </w:rPr>
        <w:t>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4 марта 2011 года № 225 принята Программа посткризисного восстановления (оздоровление конкурентоспособных предприятий) (далее – Программа), в рамках которой будет осуществляться оздоровление конкурентоспособных предприятий, задолженность которых превышает 4,5 миллиарда тенге.</w:t>
      </w:r>
      <w:r>
        <w:br/>
      </w:r>
      <w:r>
        <w:rPr>
          <w:rFonts w:ascii="Times New Roman"/>
          <w:b w:val="false"/>
          <w:i w:val="false"/>
          <w:color w:val="000000"/>
          <w:sz w:val="28"/>
        </w:rPr>
        <w:t>
      В целях реализации Программы от 17 февраля 2012 года принят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внесении изменений и дополнений в некоторые законодательные акты Республики Казахстан по вопросам оздоровления конкурентоспособных предприятий» в части оздоровления, восстановления платежеспособности предприятий, расширивший возможности восстановления платежеспособности для субъектов бизнеса путем введения новой ускоренной реабилитационной процедуры (внесудебный способ урегулирования задолженности) и повышения эффективности действующей процедуры реабилитации, в частности предоставлено право проводить процедуру реабилитации собственнику (учредителям) должника, расширены права кредиторов (в том числе залоговых), сняты административные барьеры.</w:t>
      </w:r>
      <w:r>
        <w:br/>
      </w:r>
      <w:r>
        <w:rPr>
          <w:rFonts w:ascii="Times New Roman"/>
          <w:b w:val="false"/>
          <w:i w:val="false"/>
          <w:color w:val="000000"/>
          <w:sz w:val="28"/>
        </w:rPr>
        <w:t>
      Реабилитационная процедура выделена в самостоятельное производство отдельно от дела о банкротстве. В процедуре реабилитации введен институт собрания кредиторов, в компетенцию которого входит принятие важных решений, затрагивающих интересы кредиторов.</w:t>
      </w:r>
      <w:r>
        <w:br/>
      </w:r>
      <w:r>
        <w:rPr>
          <w:rFonts w:ascii="Times New Roman"/>
          <w:b w:val="false"/>
          <w:i w:val="false"/>
          <w:color w:val="000000"/>
          <w:sz w:val="28"/>
        </w:rPr>
        <w:t>
      Предусмотрена возможность сохранения права управления имуществом и делами за должником (при решении собрания кредиторов).</w:t>
      </w:r>
      <w:r>
        <w:br/>
      </w:r>
      <w:r>
        <w:rPr>
          <w:rFonts w:ascii="Times New Roman"/>
          <w:b w:val="false"/>
          <w:i w:val="false"/>
          <w:color w:val="000000"/>
          <w:sz w:val="28"/>
        </w:rPr>
        <w:t>
      Учитывая что функции уполномоченного органа в части согласования применения реабилитационной процедуры, плана реабилитации, заключительного отчета реабилитационного управляющего, плана продажи, административных расходов, соглашений, заключаемых кредиторами с управляющими, а также формирование комитета кредиторов и созыв его первого заседания при процедуре реабилитации являлись своего рода вмешательством государства в деятельность отдельных субъектов бизнеса, данные функции исключены из компетенции уполномоченного органа и переданы кредиторам.</w:t>
      </w:r>
      <w:r>
        <w:br/>
      </w:r>
      <w:r>
        <w:rPr>
          <w:rFonts w:ascii="Times New Roman"/>
          <w:b w:val="false"/>
          <w:i w:val="false"/>
          <w:color w:val="000000"/>
          <w:sz w:val="28"/>
        </w:rPr>
        <w:t>
      Исключение указанных функций сокращает сроки принятия процессуальных решений, что в целом влияет на ход проведения процедуры.</w:t>
      </w:r>
      <w:r>
        <w:br/>
      </w:r>
      <w:r>
        <w:rPr>
          <w:rFonts w:ascii="Times New Roman"/>
          <w:b w:val="false"/>
          <w:i w:val="false"/>
          <w:color w:val="000000"/>
          <w:sz w:val="28"/>
        </w:rPr>
        <w:t>
      Только в 2012 году с учетом принятых норм в процедуру реабилитации введено 42 организации, из них на 33 процедуру реабилитации осуществляют собственники (учредители) должников.</w:t>
      </w:r>
      <w:r>
        <w:br/>
      </w:r>
      <w:r>
        <w:rPr>
          <w:rFonts w:ascii="Times New Roman"/>
          <w:b w:val="false"/>
          <w:i w:val="false"/>
          <w:color w:val="000000"/>
          <w:sz w:val="28"/>
        </w:rPr>
        <w:t>
      Введенные нормы позволили значительно улучшить ведение бизнеса в Казахстане, в сфере кредитования.</w:t>
      </w:r>
      <w:r>
        <w:br/>
      </w:r>
      <w:r>
        <w:rPr>
          <w:rFonts w:ascii="Times New Roman"/>
          <w:b w:val="false"/>
          <w:i w:val="false"/>
          <w:color w:val="000000"/>
          <w:sz w:val="28"/>
        </w:rPr>
        <w:t>
      В рамках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внесении изменений и дополнений в некоторые законодательные акты Республики Казахстан по вопросам налогообложения» введены нормы, согласно которым органы налоговой службы по запросу упономоченного органа представляют сведения о банкротах, составляющих налоговую тайну. Сведения, полученные от налоговых органов способствуют повышению эффективности процедур банкротства и оказывают положительное влияние на степень удовлетворения требований кредиторов.</w:t>
      </w:r>
      <w:r>
        <w:br/>
      </w:r>
      <w:r>
        <w:rPr>
          <w:rFonts w:ascii="Times New Roman"/>
          <w:b w:val="false"/>
          <w:i w:val="false"/>
          <w:color w:val="000000"/>
          <w:sz w:val="28"/>
        </w:rPr>
        <w:t>
      Кроме того,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внесении изменений и дополнений в некоторые законодательные акты Республики Казахстан по вопросам совершенствования разрешительной системы» отменена лицензия на осуществление деятельности по управлению имуществом и делами должников и предусмотрена более упрощенная форма учета лиц, желающих осуществлять деятельность управляющего, в виде регистрации.</w:t>
      </w:r>
      <w:r>
        <w:br/>
      </w:r>
      <w:r>
        <w:rPr>
          <w:rFonts w:ascii="Times New Roman"/>
          <w:b w:val="false"/>
          <w:i w:val="false"/>
          <w:color w:val="000000"/>
          <w:sz w:val="28"/>
        </w:rPr>
        <w:t>
      Создан единый реестр управляющих, конкретизированы и унифицированы требования, предъявляемые для осуществления деятельности управляющих на законодательном уровне.</w:t>
      </w:r>
      <w:r>
        <w:br/>
      </w:r>
      <w:r>
        <w:rPr>
          <w:rFonts w:ascii="Times New Roman"/>
          <w:b w:val="false"/>
          <w:i w:val="false"/>
          <w:color w:val="000000"/>
          <w:sz w:val="28"/>
        </w:rPr>
        <w:t>
      Упрощен порядок назначения управляющих, с учетом исключения деления управляющих на группы, в зависимости от количества предприятий, на которые они назначены.</w:t>
      </w:r>
      <w:r>
        <w:br/>
      </w:r>
      <w:r>
        <w:rPr>
          <w:rFonts w:ascii="Times New Roman"/>
          <w:b w:val="false"/>
          <w:i w:val="false"/>
          <w:color w:val="000000"/>
          <w:sz w:val="28"/>
        </w:rPr>
        <w:t>
</w:t>
      </w:r>
      <w:r>
        <w:rPr>
          <w:rFonts w:ascii="Times New Roman"/>
          <w:b w:val="false"/>
          <w:i w:val="false"/>
          <w:color w:val="000000"/>
          <w:sz w:val="28"/>
        </w:rPr>
        <w:t>
      2. Анализ основных проблем</w:t>
      </w:r>
      <w:r>
        <w:br/>
      </w:r>
      <w:r>
        <w:rPr>
          <w:rFonts w:ascii="Times New Roman"/>
          <w:b w:val="false"/>
          <w:i w:val="false"/>
          <w:color w:val="000000"/>
          <w:sz w:val="28"/>
        </w:rPr>
        <w:t>
      В целях обеспечения максимального погашения требований кредиторов, защиты их прав и интересов, выявления не учтенных финансовых потоков банкротов должников и неправомерных действий управляющих в 4 квартале 2012 годы был внедрен камеральный контроль проведения процедур банкротства на основе данных ведомств Министерства.</w:t>
      </w:r>
      <w:r>
        <w:br/>
      </w:r>
      <w:r>
        <w:rPr>
          <w:rFonts w:ascii="Times New Roman"/>
          <w:b w:val="false"/>
          <w:i w:val="false"/>
          <w:color w:val="000000"/>
          <w:sz w:val="28"/>
        </w:rPr>
        <w:t>
      Проведенный анализ текущего состояния конкурсных производств определил наиболее характерные хозяйственные операции, которые с большей долей вероятности указывают на наличие в действиях должника признаков преднамеренного и ложного банкротства.</w:t>
      </w:r>
      <w:r>
        <w:br/>
      </w:r>
      <w:r>
        <w:rPr>
          <w:rFonts w:ascii="Times New Roman"/>
          <w:b w:val="false"/>
          <w:i w:val="false"/>
          <w:color w:val="000000"/>
          <w:sz w:val="28"/>
        </w:rPr>
        <w:t>
      В целях создания эффективной системы несостоятельности, основанной на принципах прозрачности и предсказуемости, направленной на защиту прав кредиторов, планируется создание веб-портала, на котором будет формироваться электронная система единого реестра сведений о несостоятельности с рядом автоматизированных интерактивных ресурсов и реализацией контрольных и надзорных функций уполномоченного органа с применением информационных технологий. Электронная система будет интегрирована с информационными системами других государственных органов располагающих сведениями о лицах, находящихся в процедурах несостоятельности.</w:t>
      </w:r>
      <w:r>
        <w:br/>
      </w:r>
      <w:r>
        <w:rPr>
          <w:rFonts w:ascii="Times New Roman"/>
          <w:b w:val="false"/>
          <w:i w:val="false"/>
          <w:color w:val="000000"/>
          <w:sz w:val="28"/>
        </w:rPr>
        <w:t>
      Создание интернет портала, электронного обмена и автоматизации процесса контроля обеспечит доступ всех заинтересованных участников процедур несостоятельности к сведениям о должнике и повысит эффективность процедур.</w:t>
      </w:r>
      <w:r>
        <w:br/>
      </w:r>
      <w:r>
        <w:rPr>
          <w:rFonts w:ascii="Times New Roman"/>
          <w:b w:val="false"/>
          <w:i w:val="false"/>
          <w:color w:val="000000"/>
          <w:sz w:val="28"/>
        </w:rPr>
        <w:t>
      Вместе с тем, недостаточная квалификация управляющих также негативно влияет на эффективность проведения процедур реабилитации и банкротства.</w:t>
      </w:r>
      <w:r>
        <w:br/>
      </w:r>
      <w:r>
        <w:rPr>
          <w:rFonts w:ascii="Times New Roman"/>
          <w:b w:val="false"/>
          <w:i w:val="false"/>
          <w:color w:val="000000"/>
          <w:sz w:val="28"/>
        </w:rPr>
        <w:t>
      В рамках вносимых изменений в законодательство о банкростве планируется внедрить институт повышения квалификации и переподготовки управляющих.</w:t>
      </w:r>
      <w:r>
        <w:br/>
      </w:r>
      <w:r>
        <w:rPr>
          <w:rFonts w:ascii="Times New Roman"/>
          <w:b w:val="false"/>
          <w:i w:val="false"/>
          <w:color w:val="000000"/>
          <w:sz w:val="28"/>
        </w:rPr>
        <w:t>
      Для создания действенной системы администрирования и контроля, включая применение информационных технологий из компетенции уполномоченного органа кредиторам были переданы 11 согласовательных функций в процедурах реабилитации, при банкротстве планируется передать еще 7.</w:t>
      </w:r>
      <w:r>
        <w:br/>
      </w:r>
      <w:r>
        <w:rPr>
          <w:rFonts w:ascii="Times New Roman"/>
          <w:b w:val="false"/>
          <w:i w:val="false"/>
          <w:color w:val="000000"/>
          <w:sz w:val="28"/>
        </w:rPr>
        <w:t>
      Данные меры позволят усилить контроль за своевременным выявлением, пресечением преднамеренного, ложного банкротства и неправомерных действий при банкротстве, выражающихся в уклонении от исполнения обязательств и получении теневых доходов.</w:t>
      </w:r>
      <w:r>
        <w:br/>
      </w:r>
      <w:r>
        <w:rPr>
          <w:rFonts w:ascii="Times New Roman"/>
          <w:b w:val="false"/>
          <w:i w:val="false"/>
          <w:color w:val="000000"/>
          <w:sz w:val="28"/>
        </w:rPr>
        <w:t>
</w:t>
      </w:r>
      <w:r>
        <w:rPr>
          <w:rFonts w:ascii="Times New Roman"/>
          <w:b w:val="false"/>
          <w:i w:val="false"/>
          <w:color w:val="000000"/>
          <w:sz w:val="28"/>
        </w:rPr>
        <w:t>
      3. Оценка основных внешних и внутренних факторов</w:t>
      </w:r>
      <w:r>
        <w:br/>
      </w:r>
      <w:r>
        <w:rPr>
          <w:rFonts w:ascii="Times New Roman"/>
          <w:b w:val="false"/>
          <w:i w:val="false"/>
          <w:color w:val="000000"/>
          <w:sz w:val="28"/>
        </w:rPr>
        <w:t>
      Внешние факторы</w:t>
      </w:r>
      <w:r>
        <w:br/>
      </w:r>
      <w:r>
        <w:rPr>
          <w:rFonts w:ascii="Times New Roman"/>
          <w:b w:val="false"/>
          <w:i w:val="false"/>
          <w:color w:val="000000"/>
          <w:sz w:val="28"/>
        </w:rPr>
        <w:t>
      1) Ненадлежащее исполнение реабилитационными и конкурсными управляющими требований законодательства о банкротстве.</w:t>
      </w:r>
      <w:r>
        <w:br/>
      </w:r>
      <w:r>
        <w:rPr>
          <w:rFonts w:ascii="Times New Roman"/>
          <w:b w:val="false"/>
          <w:i w:val="false"/>
          <w:color w:val="000000"/>
          <w:sz w:val="28"/>
        </w:rPr>
        <w:t>
      Внутренние факторы</w:t>
      </w:r>
      <w:r>
        <w:br/>
      </w:r>
      <w:r>
        <w:rPr>
          <w:rFonts w:ascii="Times New Roman"/>
          <w:b w:val="false"/>
          <w:i w:val="false"/>
          <w:color w:val="000000"/>
          <w:sz w:val="28"/>
        </w:rPr>
        <w:t>
      1) Отсутствие информационной системы в области банкротства и интеграции с базами данных государственных органов, владеющих сведениями о должниках.</w:t>
      </w:r>
    </w:p>
    <w:bookmarkEnd w:id="17"/>
    <w:bookmarkStart w:name="z58" w:id="18"/>
    <w:p>
      <w:pPr>
        <w:spacing w:after="0"/>
        <w:ind w:left="0"/>
        <w:jc w:val="both"/>
      </w:pPr>
      <w:r>
        <w:rPr>
          <w:rFonts w:ascii="Times New Roman"/>
          <w:b w:val="false"/>
          <w:i w:val="false"/>
          <w:color w:val="000000"/>
          <w:sz w:val="28"/>
        </w:rPr>
        <w:t>
      </w:t>
      </w:r>
      <w:r>
        <w:rPr>
          <w:rFonts w:ascii="Times New Roman"/>
          <w:b/>
          <w:i w:val="false"/>
          <w:color w:val="000000"/>
          <w:sz w:val="28"/>
        </w:rPr>
        <w:t>Стратегическое направление 2. Обеспечение качества государственных услуг и эффективности исполняемых функций</w:t>
      </w:r>
      <w:r>
        <w:br/>
      </w:r>
      <w:r>
        <w:rPr>
          <w:rFonts w:ascii="Times New Roman"/>
          <w:b w:val="false"/>
          <w:i w:val="false"/>
          <w:color w:val="000000"/>
          <w:sz w:val="28"/>
        </w:rPr>
        <w:t>
</w:t>
      </w:r>
      <w:r>
        <w:rPr>
          <w:rFonts w:ascii="Times New Roman"/>
          <w:b/>
          <w:i w:val="false"/>
          <w:color w:val="000000"/>
          <w:sz w:val="28"/>
        </w:rPr>
        <w:t>      1. Открытость исполнения бюджета</w:t>
      </w:r>
      <w:r>
        <w:br/>
      </w:r>
      <w:r>
        <w:rPr>
          <w:rFonts w:ascii="Times New Roman"/>
          <w:b w:val="false"/>
          <w:i w:val="false"/>
          <w:color w:val="000000"/>
          <w:sz w:val="28"/>
        </w:rPr>
        <w:t>
</w:t>
      </w:r>
      <w:r>
        <w:rPr>
          <w:rFonts w:ascii="Times New Roman"/>
          <w:b w:val="false"/>
          <w:i w:val="false"/>
          <w:color w:val="000000"/>
          <w:sz w:val="28"/>
        </w:rPr>
        <w:t>
      1. Основные параметры развития</w:t>
      </w:r>
      <w:r>
        <w:br/>
      </w:r>
      <w:r>
        <w:rPr>
          <w:rFonts w:ascii="Times New Roman"/>
          <w:b w:val="false"/>
          <w:i w:val="false"/>
          <w:color w:val="000000"/>
          <w:sz w:val="28"/>
        </w:rPr>
        <w:t>
      Единственным ведомством, отвечающим за сбор, обработку и распространение данных статистики государственных финансов, является Министерство финансов Республики Казахстан.</w:t>
      </w:r>
      <w:r>
        <w:br/>
      </w:r>
      <w:r>
        <w:rPr>
          <w:rFonts w:ascii="Times New Roman"/>
          <w:b w:val="false"/>
          <w:i w:val="false"/>
          <w:color w:val="000000"/>
          <w:sz w:val="28"/>
        </w:rPr>
        <w:t>
      С марта 2003 года Республика Казахстан присоединилась к Специальным стандартам распространения данных (ССРД) МВФ и начала размещать метаданные в Бюллетене стандартов на распространение данных МВФ. Казахстан соблюдает специальные стандарты МВФ, выполняя требования в отношении статистического охвата, периодичности, своевременности и распространения календарных планов выпуска статистических данных и данных по налогово-бюджетному сектору. Также в целях повышения рейтинга Казахстана на мировой арене данные по статистике государственных финансов представляются международным организациям, ЕврАзЭС, рейтинговым агентствам и т.д.</w:t>
      </w:r>
      <w:r>
        <w:br/>
      </w:r>
      <w:r>
        <w:rPr>
          <w:rFonts w:ascii="Times New Roman"/>
          <w:b w:val="false"/>
          <w:i w:val="false"/>
          <w:color w:val="000000"/>
          <w:sz w:val="28"/>
        </w:rPr>
        <w:t>
      Инициатива открытости бюджета (ИОБ), проводимая Международным партнерством по бюджету, является глобальной программой ведения обследований в целях реализации принципов прозрачности и подотчетности финансовых систем.</w:t>
      </w:r>
      <w:r>
        <w:br/>
      </w:r>
      <w:r>
        <w:rPr>
          <w:rFonts w:ascii="Times New Roman"/>
          <w:b w:val="false"/>
          <w:i w:val="false"/>
          <w:color w:val="000000"/>
          <w:sz w:val="28"/>
        </w:rPr>
        <w:t>
      Обследование проводится каждые два года при участии независимых специалистов по проведению обследований гражданского общества. В этих целях МПБ разработало индекс открытости бюджета, который содержит оценку каждой страны на основе информации о бюджетном процессе, представляемой правительством обществу.</w:t>
      </w:r>
      <w:r>
        <w:br/>
      </w:r>
      <w:r>
        <w:rPr>
          <w:rFonts w:ascii="Times New Roman"/>
          <w:b w:val="false"/>
          <w:i w:val="false"/>
          <w:color w:val="000000"/>
          <w:sz w:val="28"/>
        </w:rPr>
        <w:t>
</w:t>
      </w:r>
      <w:r>
        <w:rPr>
          <w:rFonts w:ascii="Times New Roman"/>
          <w:b w:val="false"/>
          <w:i w:val="false"/>
          <w:color w:val="000000"/>
          <w:sz w:val="28"/>
        </w:rPr>
        <w:t>
      2. Анализ основных проблем</w:t>
      </w:r>
      <w:r>
        <w:br/>
      </w:r>
      <w:r>
        <w:rPr>
          <w:rFonts w:ascii="Times New Roman"/>
          <w:b w:val="false"/>
          <w:i w:val="false"/>
          <w:color w:val="000000"/>
          <w:sz w:val="28"/>
        </w:rPr>
        <w:t>
      В исследовании используются признанные на международном уровне критерии оценки прозрачности бюджета, разработанные такими организациями как Международный валютный фонд (МВФ), Организация Экономического сотрудничества и развития (ОЭСР) и Международная организация высших органов финансового контроля (ИНТОСАИ). За базовую основу для обследования приняты восемь основных бюджетных документов. Из них в Казахстане, согласно действующему бюджетному законодательству, составляются только семь документов. Эти основные семь документов охватывают стадии бюджетного процесса и включают прогноз социально-экономического развития страны, бюджет на стадии проекта, утвержденный бюджет, гражданский бюджет, годовой отчет Правительства об исполнении бюджета, текущие отчеты об исполнении бюджета с месячной/квартальной периодичностью, а также отчет Счетного комитета по контролю за исполнением республиканского бюджета.</w:t>
      </w:r>
      <w:r>
        <w:br/>
      </w:r>
      <w:r>
        <w:rPr>
          <w:rFonts w:ascii="Times New Roman"/>
          <w:b w:val="false"/>
          <w:i w:val="false"/>
          <w:color w:val="000000"/>
          <w:sz w:val="28"/>
        </w:rPr>
        <w:t>
      Согласно </w:t>
      </w:r>
      <w:r>
        <w:rPr>
          <w:rFonts w:ascii="Times New Roman"/>
          <w:b w:val="false"/>
          <w:i w:val="false"/>
          <w:color w:val="000000"/>
          <w:sz w:val="28"/>
        </w:rPr>
        <w:t>Бюджетному кодексу</w:t>
      </w:r>
      <w:r>
        <w:rPr>
          <w:rFonts w:ascii="Times New Roman"/>
          <w:b w:val="false"/>
          <w:i w:val="false"/>
          <w:color w:val="000000"/>
          <w:sz w:val="28"/>
        </w:rPr>
        <w:t xml:space="preserve"> Республики Казахстан, они подлежат опубликованию либо размещению на официальном сайте Министерства в установленные сроки.</w:t>
      </w:r>
      <w:r>
        <w:br/>
      </w:r>
      <w:r>
        <w:rPr>
          <w:rFonts w:ascii="Times New Roman"/>
          <w:b w:val="false"/>
          <w:i w:val="false"/>
          <w:color w:val="000000"/>
          <w:sz w:val="28"/>
        </w:rPr>
        <w:t>
      В 2012 году по итогам обследования основных бюджетных документов, Казахстан превышает среднюю оценку в 43 балла по 100 исследуемым странам, однако это меньше, чем у соседних стран: России, Грузии, Украины и Монголии.</w:t>
      </w:r>
      <w:r>
        <w:br/>
      </w:r>
      <w:r>
        <w:rPr>
          <w:rFonts w:ascii="Times New Roman"/>
          <w:b w:val="false"/>
          <w:i w:val="false"/>
          <w:color w:val="000000"/>
          <w:sz w:val="28"/>
        </w:rPr>
        <w:t>
</w:t>
      </w:r>
      <w:r>
        <w:rPr>
          <w:rFonts w:ascii="Times New Roman"/>
          <w:b w:val="false"/>
          <w:i w:val="false"/>
          <w:color w:val="000000"/>
          <w:sz w:val="28"/>
        </w:rPr>
        <w:t>
      3. Оценка основных внешних и внутренних факторов</w:t>
      </w:r>
      <w:r>
        <w:br/>
      </w:r>
      <w:r>
        <w:rPr>
          <w:rFonts w:ascii="Times New Roman"/>
          <w:b w:val="false"/>
          <w:i w:val="false"/>
          <w:color w:val="000000"/>
          <w:sz w:val="28"/>
        </w:rPr>
        <w:t>
      Внешние факторы</w:t>
      </w:r>
      <w:r>
        <w:br/>
      </w:r>
      <w:r>
        <w:rPr>
          <w:rFonts w:ascii="Times New Roman"/>
          <w:b w:val="false"/>
          <w:i w:val="false"/>
          <w:color w:val="000000"/>
          <w:sz w:val="28"/>
        </w:rPr>
        <w:t>
      1) Ограниченная возможность влияния Казахстана на процесс отбора критериев и подходов к проводимой оценке открытости бюджета страны;</w:t>
      </w:r>
      <w:r>
        <w:br/>
      </w:r>
      <w:r>
        <w:rPr>
          <w:rFonts w:ascii="Times New Roman"/>
          <w:b w:val="false"/>
          <w:i w:val="false"/>
          <w:color w:val="000000"/>
          <w:sz w:val="28"/>
        </w:rPr>
        <w:t>
      2) отсутствие возможности ежегодного отслеживания уровня индекса открытости бюджета, обследование проводится раз в два года;</w:t>
      </w:r>
      <w:r>
        <w:br/>
      </w:r>
      <w:r>
        <w:rPr>
          <w:rFonts w:ascii="Times New Roman"/>
          <w:b w:val="false"/>
          <w:i w:val="false"/>
          <w:color w:val="000000"/>
          <w:sz w:val="28"/>
        </w:rPr>
        <w:t>
      3) невысокая степень охвата населенных пунктов республики сетью Интернет либо нестабильность работы сети;</w:t>
      </w:r>
      <w:r>
        <w:br/>
      </w:r>
      <w:r>
        <w:rPr>
          <w:rFonts w:ascii="Times New Roman"/>
          <w:b w:val="false"/>
          <w:i w:val="false"/>
          <w:color w:val="000000"/>
          <w:sz w:val="28"/>
        </w:rPr>
        <w:t>
      4) ограниченный доступ общественности к информации об исполнении бюджета, только посредством сети Интернет.</w:t>
      </w:r>
      <w:r>
        <w:br/>
      </w:r>
      <w:r>
        <w:rPr>
          <w:rFonts w:ascii="Times New Roman"/>
          <w:b w:val="false"/>
          <w:i w:val="false"/>
          <w:color w:val="000000"/>
          <w:sz w:val="28"/>
        </w:rPr>
        <w:t>
      Внутренние факторы</w:t>
      </w:r>
      <w:r>
        <w:br/>
      </w:r>
      <w:r>
        <w:rPr>
          <w:rFonts w:ascii="Times New Roman"/>
          <w:b w:val="false"/>
          <w:i w:val="false"/>
          <w:color w:val="000000"/>
          <w:sz w:val="28"/>
        </w:rPr>
        <w:t>
      1) Несоответствие национального бюджетного законодательства методологии Международного партнерства по бюджету;</w:t>
      </w:r>
      <w:r>
        <w:br/>
      </w:r>
      <w:r>
        <w:rPr>
          <w:rFonts w:ascii="Times New Roman"/>
          <w:b w:val="false"/>
          <w:i w:val="false"/>
          <w:color w:val="000000"/>
          <w:sz w:val="28"/>
        </w:rPr>
        <w:t>
      2) несвоевременное и не в полном объеме размещение информации уполномоченным органом по государственному планированию и Счетным комитетом по контролю за исполнением республиканского бюджета в рамках своей компетенции;</w:t>
      </w:r>
      <w:r>
        <w:br/>
      </w:r>
      <w:r>
        <w:rPr>
          <w:rFonts w:ascii="Times New Roman"/>
          <w:b w:val="false"/>
          <w:i w:val="false"/>
          <w:color w:val="000000"/>
          <w:sz w:val="28"/>
        </w:rPr>
        <w:t>
      3) низкий уровень заинтересованности общественности в получении информации об исполнении бюджета ввиду специфичности материала (однообразие форм, сложность таблиц, малая наглядность).</w:t>
      </w:r>
    </w:p>
    <w:bookmarkEnd w:id="18"/>
    <w:bookmarkStart w:name="z62" w:id="19"/>
    <w:p>
      <w:pPr>
        <w:spacing w:after="0"/>
        <w:ind w:left="0"/>
        <w:jc w:val="both"/>
      </w:pPr>
      <w:r>
        <w:rPr>
          <w:rFonts w:ascii="Times New Roman"/>
          <w:b w:val="false"/>
          <w:i w:val="false"/>
          <w:color w:val="000000"/>
          <w:sz w:val="28"/>
        </w:rPr>
        <w:t>
      </w:t>
      </w:r>
      <w:r>
        <w:rPr>
          <w:rFonts w:ascii="Times New Roman"/>
          <w:b/>
          <w:i w:val="false"/>
          <w:color w:val="000000"/>
          <w:sz w:val="28"/>
        </w:rPr>
        <w:t>2. Система казначейства</w:t>
      </w:r>
      <w:r>
        <w:br/>
      </w:r>
      <w:r>
        <w:rPr>
          <w:rFonts w:ascii="Times New Roman"/>
          <w:b w:val="false"/>
          <w:i w:val="false"/>
          <w:color w:val="000000"/>
          <w:sz w:val="28"/>
        </w:rPr>
        <w:t>
</w:t>
      </w:r>
      <w:r>
        <w:rPr>
          <w:rFonts w:ascii="Times New Roman"/>
          <w:b w:val="false"/>
          <w:i w:val="false"/>
          <w:color w:val="000000"/>
          <w:sz w:val="28"/>
        </w:rPr>
        <w:t>
      1. Основные параметры развития</w:t>
      </w:r>
      <w:r>
        <w:br/>
      </w:r>
      <w:r>
        <w:rPr>
          <w:rFonts w:ascii="Times New Roman"/>
          <w:b w:val="false"/>
          <w:i w:val="false"/>
          <w:color w:val="000000"/>
          <w:sz w:val="28"/>
        </w:rPr>
        <w:t>
      Для автоматизации функций Казначейства по приему и дальнейшей обработке в Интегрированной информационной системе казначейства финансовых документов, предоставленных Клиентом (государственные учреждения, администраторы бюджетных программ, уполномоченные государственные органы и бюджетные организации) был начат этап создания электронного документооборота с государственными учреждениями «Казначейство–клиент».</w:t>
      </w:r>
      <w:r>
        <w:br/>
      </w:r>
      <w:r>
        <w:rPr>
          <w:rFonts w:ascii="Times New Roman"/>
          <w:b w:val="false"/>
          <w:i w:val="false"/>
          <w:color w:val="000000"/>
          <w:sz w:val="28"/>
        </w:rPr>
        <w:t>
      Целью ИС «Казначейство–клиент» явилось повышение эффективности взаимодействия Казначейства с обслуживаемыми государственными учреждениями посредством предоставления современной, интегрированной и высокоэффективной информационной среды, в целом внедрение Системы ускорило процедуры предоставления услуг государственным органам.</w:t>
      </w:r>
      <w:r>
        <w:br/>
      </w:r>
      <w:r>
        <w:rPr>
          <w:rFonts w:ascii="Times New Roman"/>
          <w:b w:val="false"/>
          <w:i w:val="false"/>
          <w:color w:val="000000"/>
          <w:sz w:val="28"/>
        </w:rPr>
        <w:t>
      ИС «Казначейство-клиент» предоставляет возможность совместной работы в единой информационной среде Комитета Казначейства. В режиме самообслуживания государственные учреждения заполняют электронные формы документов. После проверки, согласования и утверждения эти документы автоматически доступны в Интегрированной информационной системе казначейства. За счет дистанционного обслуживания государственных учреждений происходит увеличение скорости обслуживания, сокращение бумажных, временных и транспортных затрат государственных учреждений, уменьшение административных барьеров, уменьшение количества возвратов за счет ошибок человеческого фактора (форматно-логический контроль при вводе документов, прямое обращение к справочникам казначейской системы).</w:t>
      </w:r>
      <w:r>
        <w:br/>
      </w:r>
      <w:r>
        <w:rPr>
          <w:rFonts w:ascii="Times New Roman"/>
          <w:b w:val="false"/>
          <w:i w:val="false"/>
          <w:color w:val="000000"/>
          <w:sz w:val="28"/>
        </w:rPr>
        <w:t>
      В настоящее время в системе Казначейства обслуживается порядка 13 тысяч государственных учреждений, 3,5 тысяч пользователей системы Казначейства в режиме реального времени осуществляют операции в информационной системе Казначейства, производя процедуры зачисления и расходования средств государственного бюджета. Ежедневно проводится в среднем 50 тысяч платежей из Казахстанского центра межбанковских расчетов, ежедневно поступают в среднем 60 тысяч поступлений. В конце месяца эти показатели увеличиваются вдвое, так как в этот период проводятся основные платежи государственными учреждениями (заработная плата, пособия, налоги и другие). Учитывая важность процедур исполнения бюджета, прямой задачей Казначейства является обеспечить, при увеличении нагрузки на производительность системы, своевременное проведение каждой финансовой операции.</w:t>
      </w:r>
      <w:r>
        <w:br/>
      </w:r>
      <w:r>
        <w:rPr>
          <w:rFonts w:ascii="Times New Roman"/>
          <w:b w:val="false"/>
          <w:i w:val="false"/>
          <w:color w:val="000000"/>
          <w:sz w:val="28"/>
        </w:rPr>
        <w:t>
</w:t>
      </w:r>
      <w:r>
        <w:rPr>
          <w:rFonts w:ascii="Times New Roman"/>
          <w:b w:val="false"/>
          <w:i w:val="false"/>
          <w:color w:val="000000"/>
          <w:sz w:val="28"/>
        </w:rPr>
        <w:t>
      2. Анализ основных проблем</w:t>
      </w:r>
      <w:r>
        <w:br/>
      </w:r>
      <w:r>
        <w:rPr>
          <w:rFonts w:ascii="Times New Roman"/>
          <w:b w:val="false"/>
          <w:i w:val="false"/>
          <w:color w:val="000000"/>
          <w:sz w:val="28"/>
        </w:rPr>
        <w:t>
      Вместе с тем, государственные учреждения на районном уровне сталкиваются с проблемой подключения к сети Интернет, несмотря на достигнутый высокий уровень оснащенности компьютерной техникой. Ввиду отсутствия необходимых технических условий АО «Казахтелеком» государственные учреждения, отдаленно расположенные от районных и городских центров, не имеют возможности подключения к Интернет-соединению по каналам связи с минимальной пропускной способностью не менее 128 Кбит/с. При этом кому удалось подключиться к Интернет соединению, отмечают нестабильную работу сети.</w:t>
      </w:r>
      <w:r>
        <w:br/>
      </w:r>
      <w:r>
        <w:rPr>
          <w:rFonts w:ascii="Times New Roman"/>
          <w:b w:val="false"/>
          <w:i w:val="false"/>
          <w:color w:val="000000"/>
          <w:sz w:val="28"/>
        </w:rPr>
        <w:t>
      Важную роль в оптимизации деятельности предприятия играют современные системы электронного документооборота. В деятельности любого налогоплательщика одним из основных документов является счет – фактура. Требования по их выписке и сроки выписки регламентированы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В условиях, когда деловая деятельность все чаще осуществляется путем электронного обмена документами, традиционные бумажные счета-фактуры становятся помехой, и при их использовании организации несут существенные дополнительные расходы, такие, например, как: трудозатраты оператора, бумага, принтер, доставка, огромные архивы, ежеквартальное представление в налоговые органы реестров счетов-фактур и др.</w:t>
      </w:r>
      <w:r>
        <w:br/>
      </w:r>
      <w:r>
        <w:rPr>
          <w:rFonts w:ascii="Times New Roman"/>
          <w:b w:val="false"/>
          <w:i w:val="false"/>
          <w:color w:val="000000"/>
          <w:sz w:val="28"/>
        </w:rPr>
        <w:t>
      Главой государства было поручено создание информационной системы «Электронные счета-фактуры», целью которой является снижение расходов и времени на документооборот между субъектами бизнеса, улучшения информационного взаимодействия субъектов бизнеса с органами казначейства и налоговыми органами, а также предупреждение и пресечение деятельности лжепредприятий.</w:t>
      </w:r>
      <w:r>
        <w:br/>
      </w:r>
      <w:r>
        <w:rPr>
          <w:rFonts w:ascii="Times New Roman"/>
          <w:b w:val="false"/>
          <w:i w:val="false"/>
          <w:color w:val="000000"/>
          <w:sz w:val="28"/>
        </w:rPr>
        <w:t>
      В настоящее время около 30 % всей корпоративной информации хранится в электронном виде. Вся остальная информация (около 70 %) хранится на бумаге, создавая немалые трудности при ее поиске, тем не менее, это соотношение постепенно меняется в пользу электронной формы хранения.</w:t>
      </w:r>
      <w:r>
        <w:br/>
      </w:r>
      <w:r>
        <w:rPr>
          <w:rFonts w:ascii="Times New Roman"/>
          <w:b w:val="false"/>
          <w:i w:val="false"/>
          <w:color w:val="000000"/>
          <w:sz w:val="28"/>
        </w:rPr>
        <w:t>
      Вопросы оптимизации документооборота и контроля за обработкой информации имеют ключевое значение. Быстро развивающийся рынок информационных технологий и продуктов позволяет уже сейчас использовать как корпоративные системы документооборота, так и системы взаимодействия бизнес структур с государством. Учитывая, что в настоящее время налоговая отчетность сдается в электронной форме, бизнес – структуры готовы к введению электронных счетов-фактур.</w:t>
      </w:r>
      <w:r>
        <w:br/>
      </w:r>
      <w:r>
        <w:rPr>
          <w:rFonts w:ascii="Times New Roman"/>
          <w:b w:val="false"/>
          <w:i w:val="false"/>
          <w:color w:val="000000"/>
          <w:sz w:val="28"/>
        </w:rPr>
        <w:t>
      При взаимодействии с государственным сектором в рамках государственных закупок используется ряд подтверждающих документов, таких как акты выполненных работ, накладные, счета-фактуры и иные документы, предусмотренные законодательством Республики Казахстан. Кроме того, для проведения платежей в пользу поставщиков государственные учреждения, помимо предоставления подтверждающих документов, обязаны формировать счета к оплате, которые являются отдельным документом – основанием.</w:t>
      </w:r>
      <w:r>
        <w:br/>
      </w:r>
      <w:r>
        <w:rPr>
          <w:rFonts w:ascii="Times New Roman"/>
          <w:b w:val="false"/>
          <w:i w:val="false"/>
          <w:color w:val="000000"/>
          <w:sz w:val="28"/>
        </w:rPr>
        <w:t>
      Перевод в электронный формат позволит налоговым органам оперативно анализировать счета-фактуры, своевременно реагировать и пресекать деятельность лжепредприятий, если выписанные ими счета-фактуры не имеют никакого обеспечения.</w:t>
      </w:r>
      <w:r>
        <w:br/>
      </w:r>
      <w:r>
        <w:rPr>
          <w:rFonts w:ascii="Times New Roman"/>
          <w:b w:val="false"/>
          <w:i w:val="false"/>
          <w:color w:val="000000"/>
          <w:sz w:val="28"/>
        </w:rPr>
        <w:t>
      Внедрение электронных счетов-фактур позволит улучшить позиции Казахстана в рейтинге «Doing Business».</w:t>
      </w:r>
      <w:r>
        <w:br/>
      </w:r>
      <w:r>
        <w:rPr>
          <w:rFonts w:ascii="Times New Roman"/>
          <w:b w:val="false"/>
          <w:i w:val="false"/>
          <w:color w:val="000000"/>
          <w:sz w:val="28"/>
        </w:rPr>
        <w:t>
      Принимая во внимание, что услуги по ведению электронных счетов-фактур (далее – ЭСФ) будут оказываться на безвозмездной основе, Министерством финансов Республики Казахстан было принято решение о закреплении реализации проекта информационной системы ЭСФ за Комитетом казначейства.</w:t>
      </w:r>
      <w:r>
        <w:br/>
      </w:r>
      <w:r>
        <w:rPr>
          <w:rFonts w:ascii="Times New Roman"/>
          <w:b w:val="false"/>
          <w:i w:val="false"/>
          <w:color w:val="000000"/>
          <w:sz w:val="28"/>
        </w:rPr>
        <w:t>
      В 2012 году Комитетом казначейства было разработано и утверждено технико-экономическое обоснование проекта «Информационная система по приему и обработке электронных счетов фактур (создание)». Определены участники пилотного проекта по внедрению электронных счетов-фактур в Республике Казахстан.</w:t>
      </w:r>
      <w:r>
        <w:br/>
      </w:r>
      <w:r>
        <w:rPr>
          <w:rFonts w:ascii="Times New Roman"/>
          <w:b w:val="false"/>
          <w:i w:val="false"/>
          <w:color w:val="000000"/>
          <w:sz w:val="28"/>
        </w:rPr>
        <w:t>
      В рамках разработанного технического задания будут проведены процедуры государственных закупок услуг по разработке информационной системы по приему и обработке электронных счетов-фактур.</w:t>
      </w:r>
      <w:r>
        <w:br/>
      </w:r>
      <w:r>
        <w:rPr>
          <w:rFonts w:ascii="Times New Roman"/>
          <w:b w:val="false"/>
          <w:i w:val="false"/>
          <w:color w:val="000000"/>
          <w:sz w:val="28"/>
        </w:rPr>
        <w:t>
</w:t>
      </w:r>
      <w:r>
        <w:rPr>
          <w:rFonts w:ascii="Times New Roman"/>
          <w:b w:val="false"/>
          <w:i w:val="false"/>
          <w:color w:val="000000"/>
          <w:sz w:val="28"/>
        </w:rPr>
        <w:t>
      3. Оценка основных внешних и внутренних факторов</w:t>
      </w:r>
      <w:r>
        <w:br/>
      </w:r>
      <w:r>
        <w:rPr>
          <w:rFonts w:ascii="Times New Roman"/>
          <w:b w:val="false"/>
          <w:i w:val="false"/>
          <w:color w:val="000000"/>
          <w:sz w:val="28"/>
        </w:rPr>
        <w:t>
      Внешние факторы</w:t>
      </w:r>
      <w:r>
        <w:br/>
      </w:r>
      <w:r>
        <w:rPr>
          <w:rFonts w:ascii="Times New Roman"/>
          <w:b w:val="false"/>
          <w:i w:val="false"/>
          <w:color w:val="000000"/>
          <w:sz w:val="28"/>
        </w:rPr>
        <w:t>
      1) Недобросовестный поставщик (в случае нереализации поставщиком принятых на себя обязательств по проекту).</w:t>
      </w:r>
      <w:r>
        <w:br/>
      </w:r>
      <w:r>
        <w:rPr>
          <w:rFonts w:ascii="Times New Roman"/>
          <w:b w:val="false"/>
          <w:i w:val="false"/>
          <w:color w:val="000000"/>
          <w:sz w:val="28"/>
        </w:rPr>
        <w:t>
      Внутренние факторы</w:t>
      </w:r>
      <w:r>
        <w:br/>
      </w:r>
      <w:r>
        <w:rPr>
          <w:rFonts w:ascii="Times New Roman"/>
          <w:b w:val="false"/>
          <w:i w:val="false"/>
          <w:color w:val="000000"/>
          <w:sz w:val="28"/>
        </w:rPr>
        <w:t>
      2) Повторное проведение процедуры государственных закупок по проекту (в случае признания объявленного конкурса несостоявшимся, что повлияет на исполнение проекта).</w:t>
      </w:r>
    </w:p>
    <w:bookmarkEnd w:id="19"/>
    <w:bookmarkStart w:name="z66" w:id="20"/>
    <w:p>
      <w:pPr>
        <w:spacing w:after="0"/>
        <w:ind w:left="0"/>
        <w:jc w:val="both"/>
      </w:pPr>
      <w:r>
        <w:rPr>
          <w:rFonts w:ascii="Times New Roman"/>
          <w:b w:val="false"/>
          <w:i w:val="false"/>
          <w:color w:val="000000"/>
          <w:sz w:val="28"/>
        </w:rPr>
        <w:t>
      </w:t>
      </w:r>
      <w:r>
        <w:rPr>
          <w:rFonts w:ascii="Times New Roman"/>
          <w:b/>
          <w:i w:val="false"/>
          <w:color w:val="000000"/>
          <w:sz w:val="28"/>
        </w:rPr>
        <w:t>3. Налоговое администрирование</w:t>
      </w:r>
      <w:r>
        <w:br/>
      </w:r>
      <w:r>
        <w:rPr>
          <w:rFonts w:ascii="Times New Roman"/>
          <w:b w:val="false"/>
          <w:i w:val="false"/>
          <w:color w:val="000000"/>
          <w:sz w:val="28"/>
        </w:rPr>
        <w:t>
</w:t>
      </w:r>
      <w:r>
        <w:rPr>
          <w:rFonts w:ascii="Times New Roman"/>
          <w:b w:val="false"/>
          <w:i w:val="false"/>
          <w:color w:val="000000"/>
          <w:sz w:val="28"/>
        </w:rPr>
        <w:t>
      1. Основные параметры развития</w:t>
      </w:r>
      <w:r>
        <w:br/>
      </w:r>
      <w:r>
        <w:rPr>
          <w:rFonts w:ascii="Times New Roman"/>
          <w:b w:val="false"/>
          <w:i w:val="false"/>
          <w:color w:val="000000"/>
          <w:sz w:val="28"/>
        </w:rPr>
        <w:t>
      Работа над повышением качества предоставления налоговых услуг проводится на постоянной основе в нескольких стратегических направлениях.</w:t>
      </w:r>
      <w:r>
        <w:br/>
      </w:r>
      <w:r>
        <w:rPr>
          <w:rFonts w:ascii="Times New Roman"/>
          <w:b w:val="false"/>
          <w:i w:val="false"/>
          <w:color w:val="000000"/>
          <w:sz w:val="28"/>
        </w:rPr>
        <w:t>
      Первое направление – улучшение условий для налогоплательщиков при получении государственных услуг:</w:t>
      </w:r>
      <w:r>
        <w:br/>
      </w:r>
      <w:r>
        <w:rPr>
          <w:rFonts w:ascii="Times New Roman"/>
          <w:b w:val="false"/>
          <w:i w:val="false"/>
          <w:color w:val="000000"/>
          <w:sz w:val="28"/>
        </w:rPr>
        <w:t>
      1) для повышения качества, предоставляемых налоговых услуг на системной основе, проводится работа по созданию новых Центров приема и обработки информации (далее – ЦПО) (за период с 2008 года был создан 31 ЦПО);</w:t>
      </w:r>
      <w:r>
        <w:br/>
      </w:r>
      <w:r>
        <w:rPr>
          <w:rFonts w:ascii="Times New Roman"/>
          <w:b w:val="false"/>
          <w:i w:val="false"/>
          <w:color w:val="000000"/>
          <w:sz w:val="28"/>
        </w:rPr>
        <w:t>
      2) внедрение с 2011 года по опыту Италии во всех крупных районах Республики «справочного» модератора при каждом ЦПО;</w:t>
      </w:r>
      <w:r>
        <w:br/>
      </w:r>
      <w:r>
        <w:rPr>
          <w:rFonts w:ascii="Times New Roman"/>
          <w:b w:val="false"/>
          <w:i w:val="false"/>
          <w:color w:val="000000"/>
          <w:sz w:val="28"/>
        </w:rPr>
        <w:t>
      3) с 2010 года внедрение совместно с акиматами Терминалов налогоплательщиков в сельских округах, где отсутствуют офисы налоговых органов: в 2012 году – внедрено в 548 сельских округах в 14 областях Республики;</w:t>
      </w:r>
      <w:r>
        <w:br/>
      </w:r>
      <w:r>
        <w:rPr>
          <w:rFonts w:ascii="Times New Roman"/>
          <w:b w:val="false"/>
          <w:i w:val="false"/>
          <w:color w:val="000000"/>
          <w:sz w:val="28"/>
        </w:rPr>
        <w:t>
      4) с 2009 года ежегодное распространение налогоплательщикам бланков налоговых заявлений на бесплатной основе;</w:t>
      </w:r>
      <w:r>
        <w:br/>
      </w:r>
      <w:r>
        <w:rPr>
          <w:rFonts w:ascii="Times New Roman"/>
          <w:b w:val="false"/>
          <w:i w:val="false"/>
          <w:color w:val="000000"/>
          <w:sz w:val="28"/>
        </w:rPr>
        <w:t>
      5) с 2010 года внедрение механизма оплаты налогов через банкоматы и иные электронные устройства совместно с банками второго уровня (Банк ТуранАлем, Народный банк Казахстана, Альянс Банк), в рамках «электронного правительства»;</w:t>
      </w:r>
      <w:r>
        <w:br/>
      </w:r>
      <w:r>
        <w:rPr>
          <w:rFonts w:ascii="Times New Roman"/>
          <w:b w:val="false"/>
          <w:i w:val="false"/>
          <w:color w:val="000000"/>
          <w:sz w:val="28"/>
        </w:rPr>
        <w:t>
      6) открытие в 2011 году в налоговых органах консультативных представительств НЭП «Атамекен». Консультанты «Атамекен» уже работают почти во всех крупных районах Республики;</w:t>
      </w:r>
      <w:r>
        <w:br/>
      </w:r>
      <w:r>
        <w:rPr>
          <w:rFonts w:ascii="Times New Roman"/>
          <w:b w:val="false"/>
          <w:i w:val="false"/>
          <w:color w:val="000000"/>
          <w:sz w:val="28"/>
        </w:rPr>
        <w:t>
      7) внедрение с 2012 года в ЦПО налоговых органов г. Алматы электронной системы управления очередностью (ЭСУО), в качестве одного из методов борьбы с очередями и в целях контроля качества оказания налоговых услуг. В 2013 году проводится работа по установке ЭСУО во всех крупных налоговых управлениях республики.</w:t>
      </w:r>
      <w:r>
        <w:br/>
      </w:r>
      <w:r>
        <w:rPr>
          <w:rFonts w:ascii="Times New Roman"/>
          <w:b w:val="false"/>
          <w:i w:val="false"/>
          <w:color w:val="000000"/>
          <w:sz w:val="28"/>
        </w:rPr>
        <w:t>
      Второе направление – расширение перечня электронных услуг и привлечение налогоплательщиков к использованию электронного обмена информацией.</w:t>
      </w:r>
      <w:r>
        <w:br/>
      </w:r>
      <w:r>
        <w:rPr>
          <w:rFonts w:ascii="Times New Roman"/>
          <w:b w:val="false"/>
          <w:i w:val="false"/>
          <w:color w:val="000000"/>
          <w:sz w:val="28"/>
        </w:rPr>
        <w:t>
</w:t>
      </w:r>
      <w:r>
        <w:rPr>
          <w:rFonts w:ascii="Times New Roman"/>
          <w:b w:val="false"/>
          <w:i w:val="false"/>
          <w:color w:val="000000"/>
          <w:sz w:val="28"/>
        </w:rPr>
        <w:t>
      2. Анализ основных проблем</w:t>
      </w:r>
      <w:r>
        <w:br/>
      </w:r>
      <w:r>
        <w:rPr>
          <w:rFonts w:ascii="Times New Roman"/>
          <w:b w:val="false"/>
          <w:i w:val="false"/>
          <w:color w:val="000000"/>
          <w:sz w:val="28"/>
        </w:rPr>
        <w:t>
      В настоящее время из 33 налоговых услуг автоматизировано полностью и частично 23 услуги. 16 услуг доступны через портал «электронного правительства» (далее – ПЭП).</w:t>
      </w:r>
      <w:r>
        <w:br/>
      </w:r>
      <w:r>
        <w:rPr>
          <w:rFonts w:ascii="Times New Roman"/>
          <w:b w:val="false"/>
          <w:i w:val="false"/>
          <w:color w:val="000000"/>
          <w:sz w:val="28"/>
        </w:rPr>
        <w:t>
      В 2013 году на ПЭП запущены социально значимые услуги, как регистрация в качестве индивидуального предпринимателя и выдача патента. Работа по выводу всех электронных услуг на портал «электронного Правительства» продолжается.</w:t>
      </w:r>
      <w:r>
        <w:br/>
      </w:r>
      <w:r>
        <w:rPr>
          <w:rFonts w:ascii="Times New Roman"/>
          <w:b w:val="false"/>
          <w:i w:val="false"/>
          <w:color w:val="000000"/>
          <w:sz w:val="28"/>
        </w:rPr>
        <w:t>
      Наблюдается сокращение продолжительности времени ожидания в очереди с 29 минут до 26 минут в среднем по Казахстану.</w:t>
      </w:r>
      <w:r>
        <w:br/>
      </w:r>
      <w:r>
        <w:rPr>
          <w:rFonts w:ascii="Times New Roman"/>
          <w:b w:val="false"/>
          <w:i w:val="false"/>
          <w:color w:val="000000"/>
          <w:sz w:val="28"/>
        </w:rPr>
        <w:t>
      Результаты опроса показывают положительную динамику роста удовлетворенности качеством оказываемых услуг налоговыми органами как бизнес – средой, так и населением.</w:t>
      </w:r>
      <w:r>
        <w:br/>
      </w:r>
      <w:r>
        <w:rPr>
          <w:rFonts w:ascii="Times New Roman"/>
          <w:b w:val="false"/>
          <w:i w:val="false"/>
          <w:color w:val="000000"/>
          <w:sz w:val="28"/>
        </w:rPr>
        <w:t>
</w:t>
      </w:r>
      <w:r>
        <w:rPr>
          <w:rFonts w:ascii="Times New Roman"/>
          <w:b w:val="false"/>
          <w:i w:val="false"/>
          <w:color w:val="000000"/>
          <w:sz w:val="28"/>
        </w:rPr>
        <w:t>
      3. Оценка основных внешних и внутренних факторов</w:t>
      </w:r>
      <w:r>
        <w:br/>
      </w:r>
      <w:r>
        <w:rPr>
          <w:rFonts w:ascii="Times New Roman"/>
          <w:b w:val="false"/>
          <w:i w:val="false"/>
          <w:color w:val="000000"/>
          <w:sz w:val="28"/>
        </w:rPr>
        <w:t>
      Внешние факторы</w:t>
      </w:r>
      <w:r>
        <w:br/>
      </w:r>
      <w:r>
        <w:rPr>
          <w:rFonts w:ascii="Times New Roman"/>
          <w:b w:val="false"/>
          <w:i w:val="false"/>
          <w:color w:val="000000"/>
          <w:sz w:val="28"/>
        </w:rPr>
        <w:t>
      1) Низкая активность налогоплательщиков в электронном обмене информацией.</w:t>
      </w:r>
      <w:r>
        <w:br/>
      </w:r>
      <w:r>
        <w:rPr>
          <w:rFonts w:ascii="Times New Roman"/>
          <w:b w:val="false"/>
          <w:i w:val="false"/>
          <w:color w:val="000000"/>
          <w:sz w:val="28"/>
        </w:rPr>
        <w:t>
      Внутренние факторы</w:t>
      </w:r>
      <w:r>
        <w:br/>
      </w:r>
      <w:r>
        <w:rPr>
          <w:rFonts w:ascii="Times New Roman"/>
          <w:b w:val="false"/>
          <w:i w:val="false"/>
          <w:color w:val="000000"/>
          <w:sz w:val="28"/>
        </w:rPr>
        <w:t>
      1) Невозможность перевода отдельных государственных услуг в электронный формат в связи с предоставлением при получении услуги налогоплательщиками оригиналов или нотариально заверенных документов, контрольно-кассовой машины и др.</w:t>
      </w:r>
    </w:p>
    <w:bookmarkEnd w:id="20"/>
    <w:bookmarkStart w:name="z70" w:id="21"/>
    <w:p>
      <w:pPr>
        <w:spacing w:after="0"/>
        <w:ind w:left="0"/>
        <w:jc w:val="both"/>
      </w:pPr>
      <w:r>
        <w:rPr>
          <w:rFonts w:ascii="Times New Roman"/>
          <w:b w:val="false"/>
          <w:i w:val="false"/>
          <w:color w:val="000000"/>
          <w:sz w:val="28"/>
        </w:rPr>
        <w:t>
      </w:t>
      </w:r>
      <w:r>
        <w:rPr>
          <w:rFonts w:ascii="Times New Roman"/>
          <w:b/>
          <w:i w:val="false"/>
          <w:color w:val="000000"/>
          <w:sz w:val="28"/>
        </w:rPr>
        <w:t>4. Таможенное администрирование</w:t>
      </w:r>
      <w:r>
        <w:br/>
      </w:r>
      <w:r>
        <w:rPr>
          <w:rFonts w:ascii="Times New Roman"/>
          <w:b w:val="false"/>
          <w:i w:val="false"/>
          <w:color w:val="000000"/>
          <w:sz w:val="28"/>
        </w:rPr>
        <w:t>
</w:t>
      </w:r>
      <w:r>
        <w:rPr>
          <w:rFonts w:ascii="Times New Roman"/>
          <w:b w:val="false"/>
          <w:i w:val="false"/>
          <w:color w:val="000000"/>
          <w:sz w:val="28"/>
        </w:rPr>
        <w:t>
      1. Основные параметры развития</w:t>
      </w:r>
      <w:r>
        <w:br/>
      </w:r>
      <w:r>
        <w:rPr>
          <w:rFonts w:ascii="Times New Roman"/>
          <w:b w:val="false"/>
          <w:i w:val="false"/>
          <w:color w:val="000000"/>
          <w:sz w:val="28"/>
        </w:rPr>
        <w:t>
      Основополагающим вектором деятельности и дальнейшего развития таможенных органов Республики Казахстан является формирование устойчивой, эффективно функционирующей таможенной системы, отвечающей международным стандартам, ориентированной на качество предоставляемых услуг.</w:t>
      </w:r>
      <w:r>
        <w:br/>
      </w:r>
      <w:r>
        <w:rPr>
          <w:rFonts w:ascii="Times New Roman"/>
          <w:b w:val="false"/>
          <w:i w:val="false"/>
          <w:color w:val="000000"/>
          <w:sz w:val="28"/>
        </w:rPr>
        <w:t>
      В соответствии с данным направлением деятельности Комитетом осуществляется проект развития таможенной службы, который охватывает все сферы деятельности таможенной службы Республики Казахстан и включает в себя анализ соответствия деятельности таможенной службы Республики Казахстан международным стандартам, разработку и внедрение новых методов и технологий в соответствии с лучшей международной практикой, модернизацию и развитие информационно-коммуникационных технологий, техническое оснащение, а также обучение должностных лиц таможенных органов.</w:t>
      </w:r>
      <w:r>
        <w:br/>
      </w:r>
      <w:r>
        <w:rPr>
          <w:rFonts w:ascii="Times New Roman"/>
          <w:b w:val="false"/>
          <w:i w:val="false"/>
          <w:color w:val="000000"/>
          <w:sz w:val="28"/>
        </w:rPr>
        <w:t>
      Особое внимание таможенными органами уделено борьбе с контрабандой товаров и незаконным оборотом наркотических средств. Пресекаются любые попытки нарушить требования закона. За 11 месяцев 2013 года возбуждено 620 уголовных дела, из них: 422 уголовных дела по статье – экономическая контрабанда, 29 уголовных дел – по уклонению от уплаты таможенных платежей и налогов, 53 уголовных дел – по контрабанде запрещенных предметов.</w:t>
      </w:r>
      <w:r>
        <w:br/>
      </w:r>
      <w:r>
        <w:rPr>
          <w:rFonts w:ascii="Times New Roman"/>
          <w:b w:val="false"/>
          <w:i w:val="false"/>
          <w:color w:val="000000"/>
          <w:sz w:val="28"/>
        </w:rPr>
        <w:t>
      Сумма товаров и валюты по возбужденным уголовным делам составила 10 млрд. 716 млн. тенге. Установленная сумма ущерба по возбужденным уголовным делам составила – 5 млрд. 562 млн. тенге.</w:t>
      </w:r>
      <w:r>
        <w:br/>
      </w:r>
      <w:r>
        <w:rPr>
          <w:rFonts w:ascii="Times New Roman"/>
          <w:b w:val="false"/>
          <w:i w:val="false"/>
          <w:color w:val="000000"/>
          <w:sz w:val="28"/>
        </w:rPr>
        <w:t>
      За 11 месяцев 2013 года возбуждено 11 787 административных дела, наложено штрафов на сумму – 628 млн. тенге, конфисковано товаров и транспортных средств на сумму 392 млн. тенге. Из незаконного оборота изъято 244, 8 кг наркотических средств.</w:t>
      </w:r>
      <w:r>
        <w:br/>
      </w:r>
      <w:r>
        <w:rPr>
          <w:rFonts w:ascii="Times New Roman"/>
          <w:b w:val="false"/>
          <w:i w:val="false"/>
          <w:color w:val="000000"/>
          <w:sz w:val="28"/>
        </w:rPr>
        <w:t>
</w:t>
      </w:r>
      <w:r>
        <w:rPr>
          <w:rFonts w:ascii="Times New Roman"/>
          <w:b w:val="false"/>
          <w:i w:val="false"/>
          <w:color w:val="000000"/>
          <w:sz w:val="28"/>
        </w:rPr>
        <w:t>
      2. Анализ основных проблем</w:t>
      </w:r>
      <w:r>
        <w:br/>
      </w:r>
      <w:r>
        <w:rPr>
          <w:rFonts w:ascii="Times New Roman"/>
          <w:b w:val="false"/>
          <w:i w:val="false"/>
          <w:color w:val="000000"/>
          <w:sz w:val="28"/>
        </w:rPr>
        <w:t>
      Проект развития таможенной службы разрабатывался на основе методологии и структуры Всемирной Таможенной Организации по наращиванию таможенного потенциала, при этом каждый раздел методологии служил основой для формирования подкомпонета проекта. Эти подкомпоненты сгруппированы в компоненты по следующим направлениям:</w:t>
      </w:r>
      <w:r>
        <w:br/>
      </w:r>
      <w:r>
        <w:rPr>
          <w:rFonts w:ascii="Times New Roman"/>
          <w:b w:val="false"/>
          <w:i w:val="false"/>
          <w:color w:val="000000"/>
          <w:sz w:val="28"/>
        </w:rPr>
        <w:t>
      I. Институциональное развитие и управление кадровыми ресурсами.</w:t>
      </w:r>
      <w:r>
        <w:br/>
      </w:r>
      <w:r>
        <w:rPr>
          <w:rFonts w:ascii="Times New Roman"/>
          <w:b w:val="false"/>
          <w:i w:val="false"/>
          <w:color w:val="000000"/>
          <w:sz w:val="28"/>
        </w:rPr>
        <w:t>
      II. Таможенные операции.</w:t>
      </w:r>
      <w:r>
        <w:br/>
      </w:r>
      <w:r>
        <w:rPr>
          <w:rFonts w:ascii="Times New Roman"/>
          <w:b w:val="false"/>
          <w:i w:val="false"/>
          <w:color w:val="000000"/>
          <w:sz w:val="28"/>
        </w:rPr>
        <w:t>
      III. Информационно-коммуникационные технологии.</w:t>
      </w:r>
      <w:r>
        <w:br/>
      </w:r>
      <w:r>
        <w:rPr>
          <w:rFonts w:ascii="Times New Roman"/>
          <w:b w:val="false"/>
          <w:i w:val="false"/>
          <w:color w:val="000000"/>
          <w:sz w:val="28"/>
        </w:rPr>
        <w:t>
      IV. Управление проектом.</w:t>
      </w:r>
      <w:r>
        <w:br/>
      </w:r>
      <w:r>
        <w:rPr>
          <w:rFonts w:ascii="Times New Roman"/>
          <w:b w:val="false"/>
          <w:i w:val="false"/>
          <w:color w:val="000000"/>
          <w:sz w:val="28"/>
        </w:rPr>
        <w:t>
      В настоящее время ведется работа по реализации консалтинговых контрактов, в результате которых будут выработаны рекомендации по совершенствованию, преобразованию и реструктуризации всех основных направлений деятельности таможенных органов и их бизнес-процессов.</w:t>
      </w:r>
      <w:r>
        <w:br/>
      </w:r>
      <w:r>
        <w:rPr>
          <w:rFonts w:ascii="Times New Roman"/>
          <w:b w:val="false"/>
          <w:i w:val="false"/>
          <w:color w:val="000000"/>
          <w:sz w:val="28"/>
        </w:rPr>
        <w:t>
      Результаты данных консалтинговых контрактов будут служить методологической основой для разработки программных продуктов и развития информационно-коммуникационных технологий (далее – ИКТ) таможенных органов, будет выстроена единая архитектура ИКТ таможенных органов, с последующей разработкой и внедрением пакета соответствующих программных обеспечений и информационных систем для полной автоматизации каждого направления деятельности таможни.</w:t>
      </w:r>
      <w:r>
        <w:br/>
      </w:r>
      <w:r>
        <w:rPr>
          <w:rFonts w:ascii="Times New Roman"/>
          <w:b w:val="false"/>
          <w:i w:val="false"/>
          <w:color w:val="000000"/>
          <w:sz w:val="28"/>
        </w:rPr>
        <w:t>
      Заключительным этапом, основанным на результатах анализа и выстроенной архитектуры ИКТ, будет осуществлено современное техническое оснащение таможенных органов (закуп программного обеспечения и технического оборудования).</w:t>
      </w:r>
      <w:r>
        <w:br/>
      </w:r>
      <w:r>
        <w:rPr>
          <w:rFonts w:ascii="Times New Roman"/>
          <w:b w:val="false"/>
          <w:i w:val="false"/>
          <w:color w:val="000000"/>
          <w:sz w:val="28"/>
        </w:rPr>
        <w:t>
      В настоящее время в рамках консалтинга проведен полный анализ и пересмотр политики, систем и практики управления людскими ресурсами, включая вопросы приема-увольнения, аттестации, оплаты труда, условий работы, стимулирования, карьерного роста, перемещения, систем удерживания сотрудников и управления производительностью, разработана будущая функциональная роль и схемы управления, детальная организационная структура и будущая стратегия управления человеческими ресурсами.</w:t>
      </w:r>
      <w:r>
        <w:br/>
      </w:r>
      <w:r>
        <w:rPr>
          <w:rFonts w:ascii="Times New Roman"/>
          <w:b w:val="false"/>
          <w:i w:val="false"/>
          <w:color w:val="000000"/>
          <w:sz w:val="28"/>
        </w:rPr>
        <w:t>
      Для повышения качества оказываемых услуг разработана система дистанционного обучения на основе информационных технологий с соответствующим программным обеспечением и учебными материалами для решения вопросов, связанных с обучением сотрудников на местах. Внедрение новых прогрессивных технологий таможенного администрирования, оптимизация таможенных процедур, повышение уровня их транспарентности, расширение практики информирования и консультирования участников ВЭД, а также развитие таможенной инфраструктуры и ее технической оснащенности, увеличение пропускной способности пунктов пропуска через государственную границу способствуют формированию благоприятных условий внешнеэкономической деятельности, повышению качества предоставления таможенных услуг юридическим и физическим лицам, снижению избыточных административных барьеров, росту благосостояния населения и оказывают позитивное влияние на темпы роста экономического развития и активности в сфере бизнеса.</w:t>
      </w:r>
      <w:r>
        <w:br/>
      </w:r>
      <w:r>
        <w:rPr>
          <w:rFonts w:ascii="Times New Roman"/>
          <w:b w:val="false"/>
          <w:i w:val="false"/>
          <w:color w:val="000000"/>
          <w:sz w:val="28"/>
        </w:rPr>
        <w:t>
</w:t>
      </w:r>
      <w:r>
        <w:rPr>
          <w:rFonts w:ascii="Times New Roman"/>
          <w:b w:val="false"/>
          <w:i w:val="false"/>
          <w:color w:val="000000"/>
          <w:sz w:val="28"/>
        </w:rPr>
        <w:t>
      3. Оценка основных внешних и внутренних факторов</w:t>
      </w:r>
      <w:r>
        <w:br/>
      </w:r>
      <w:r>
        <w:rPr>
          <w:rFonts w:ascii="Times New Roman"/>
          <w:b w:val="false"/>
          <w:i w:val="false"/>
          <w:color w:val="000000"/>
          <w:sz w:val="28"/>
        </w:rPr>
        <w:t>
      Внешние факторы</w:t>
      </w:r>
      <w:r>
        <w:br/>
      </w:r>
      <w:r>
        <w:rPr>
          <w:rFonts w:ascii="Times New Roman"/>
          <w:b w:val="false"/>
          <w:i w:val="false"/>
          <w:color w:val="000000"/>
          <w:sz w:val="28"/>
        </w:rPr>
        <w:t>
      1) Субъективность оценки деятельности таможенных органов при проведении опроса участников внешнеэкономической деятельности удовлетвроенных качеством;</w:t>
      </w:r>
      <w:r>
        <w:br/>
      </w:r>
      <w:r>
        <w:rPr>
          <w:rFonts w:ascii="Times New Roman"/>
          <w:b w:val="false"/>
          <w:i w:val="false"/>
          <w:color w:val="000000"/>
          <w:sz w:val="28"/>
        </w:rPr>
        <w:t>
      2) геополитическое положение Республики Казахстан, имеющие как негативное, так и позитивное влияние на деятельность таможенных органов (положительное: возможное увеличение транзитного потенциала государства, увеличение объема международной торговли и т. д.; негативное: удаленность от моря и как следствие низкий рейтинг по индикатору «Международная торговля»);</w:t>
      </w:r>
      <w:r>
        <w:br/>
      </w:r>
      <w:r>
        <w:rPr>
          <w:rFonts w:ascii="Times New Roman"/>
          <w:b w:val="false"/>
          <w:i w:val="false"/>
          <w:color w:val="000000"/>
          <w:sz w:val="28"/>
        </w:rPr>
        <w:t>
      3) качество транспортных и информационных технологий логистической инфраструктуры.</w:t>
      </w:r>
      <w:r>
        <w:br/>
      </w:r>
      <w:r>
        <w:rPr>
          <w:rFonts w:ascii="Times New Roman"/>
          <w:b w:val="false"/>
          <w:i w:val="false"/>
          <w:color w:val="000000"/>
          <w:sz w:val="28"/>
        </w:rPr>
        <w:t>
      Внутренние факторы</w:t>
      </w:r>
      <w:r>
        <w:br/>
      </w:r>
      <w:r>
        <w:rPr>
          <w:rFonts w:ascii="Times New Roman"/>
          <w:b w:val="false"/>
          <w:i w:val="false"/>
          <w:color w:val="000000"/>
          <w:sz w:val="28"/>
        </w:rPr>
        <w:t>
      1) Развитие и сопровождение информационных систем таможенных органов для предоставления государственных услуг в электронной форме;</w:t>
      </w:r>
      <w:r>
        <w:br/>
      </w:r>
      <w:r>
        <w:rPr>
          <w:rFonts w:ascii="Times New Roman"/>
          <w:b w:val="false"/>
          <w:i w:val="false"/>
          <w:color w:val="000000"/>
          <w:sz w:val="28"/>
        </w:rPr>
        <w:t>
      2) развитие институциональной платформы;</w:t>
      </w:r>
      <w:r>
        <w:br/>
      </w:r>
      <w:r>
        <w:rPr>
          <w:rFonts w:ascii="Times New Roman"/>
          <w:b w:val="false"/>
          <w:i w:val="false"/>
          <w:color w:val="000000"/>
          <w:sz w:val="28"/>
        </w:rPr>
        <w:t>
      3) развитие института уполномоченных экономических операторов за счет снижения административных барьеров для добросовестных УВЭД.</w:t>
      </w:r>
    </w:p>
    <w:bookmarkEnd w:id="21"/>
    <w:bookmarkStart w:name="z74" w:id="22"/>
    <w:p>
      <w:pPr>
        <w:spacing w:after="0"/>
        <w:ind w:left="0"/>
        <w:jc w:val="both"/>
      </w:pPr>
      <w:r>
        <w:rPr>
          <w:rFonts w:ascii="Times New Roman"/>
          <w:b w:val="false"/>
          <w:i w:val="false"/>
          <w:color w:val="000000"/>
          <w:sz w:val="28"/>
        </w:rPr>
        <w:t>
      </w:t>
      </w:r>
      <w:r>
        <w:rPr>
          <w:rFonts w:ascii="Times New Roman"/>
          <w:b/>
          <w:i w:val="false"/>
          <w:color w:val="000000"/>
          <w:sz w:val="28"/>
        </w:rPr>
        <w:t>5. Международное сотрудничество</w:t>
      </w:r>
      <w:r>
        <w:br/>
      </w:r>
      <w:r>
        <w:rPr>
          <w:rFonts w:ascii="Times New Roman"/>
          <w:b w:val="false"/>
          <w:i w:val="false"/>
          <w:color w:val="000000"/>
          <w:sz w:val="28"/>
        </w:rPr>
        <w:t>
</w:t>
      </w:r>
      <w:r>
        <w:rPr>
          <w:rFonts w:ascii="Times New Roman"/>
          <w:b w:val="false"/>
          <w:i w:val="false"/>
          <w:color w:val="000000"/>
          <w:sz w:val="28"/>
        </w:rPr>
        <w:t>
      1. Основные параметры развития</w:t>
      </w:r>
      <w:r>
        <w:br/>
      </w:r>
      <w:r>
        <w:rPr>
          <w:rFonts w:ascii="Times New Roman"/>
          <w:b w:val="false"/>
          <w:i w:val="false"/>
          <w:color w:val="000000"/>
          <w:sz w:val="28"/>
        </w:rPr>
        <w:t>
      Для развития Республики Казахстан в процессах принятия глобальных решений при формировании новой архитектуры международных отношений и контуров мировой торгово-финансовой системы необходимо представление Казахстана в руководящих органах ведущих международных и политических структурах, в том числе и в международных финансовых организациях (далее – МФО), которая подтверждается увеличением доли Республики Казахстан в уставном капитале данных организаций.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членстве Республики Казахстан в Международном Валютном Фонде, Международном Банке Реконструкции и Развития, Международной Финансовой Корпорации, Международной Ассоциации Развития, Многостороннем Агентстве Гарантии Инвестиций, Международном Центре по Урегулированию Инвестиционных Споров, Европейском Банке Реконструкции и Развития, Азиатском Банке Развития, Исламском Банке Развития» Правительство Республики Казахстан в лице Министерства финансов Республики Казахстан уполномочено обеспечивать выплату от имени Республики Казахстан МБРР, МФК, МАР, МАГИ, ЕБРР, АБР, ИБР сумм согласно условиям соответствующих соглашений, относящихся к членству Республики Казахстан в этих международных организациях.</w:t>
      </w:r>
      <w:r>
        <w:br/>
      </w:r>
      <w:r>
        <w:rPr>
          <w:rFonts w:ascii="Times New Roman"/>
          <w:b w:val="false"/>
          <w:i w:val="false"/>
          <w:color w:val="000000"/>
          <w:sz w:val="28"/>
        </w:rPr>
        <w:t>
      Данное право определяет доступ Казахстана к их финансовым ресурсам и право на участие в голосовании прямо пропорционально доли участия.</w:t>
      </w:r>
      <w:r>
        <w:br/>
      </w:r>
      <w:r>
        <w:rPr>
          <w:rFonts w:ascii="Times New Roman"/>
          <w:b w:val="false"/>
          <w:i w:val="false"/>
          <w:color w:val="000000"/>
          <w:sz w:val="28"/>
        </w:rPr>
        <w:t>
</w:t>
      </w:r>
      <w:r>
        <w:rPr>
          <w:rFonts w:ascii="Times New Roman"/>
          <w:b w:val="false"/>
          <w:i w:val="false"/>
          <w:color w:val="000000"/>
          <w:sz w:val="28"/>
        </w:rPr>
        <w:t>
      2. Анализ основных проблем</w:t>
      </w:r>
      <w:r>
        <w:br/>
      </w:r>
      <w:r>
        <w:rPr>
          <w:rFonts w:ascii="Times New Roman"/>
          <w:b w:val="false"/>
          <w:i w:val="false"/>
          <w:color w:val="000000"/>
          <w:sz w:val="28"/>
        </w:rPr>
        <w:t>
      Подписываясь на акции, Казахстан приобретает статус акционера МФО и тем самым берет на себя обязательства регулярно осуществлять выплаты членских взносов в их уставные капиталы.</w:t>
      </w:r>
      <w:r>
        <w:br/>
      </w:r>
      <w:r>
        <w:rPr>
          <w:rFonts w:ascii="Times New Roman"/>
          <w:b w:val="false"/>
          <w:i w:val="false"/>
          <w:color w:val="000000"/>
          <w:sz w:val="28"/>
        </w:rPr>
        <w:t>
      3. Оценка основных внешних и внутренних факторов</w:t>
      </w:r>
      <w:r>
        <w:br/>
      </w:r>
      <w:r>
        <w:rPr>
          <w:rFonts w:ascii="Times New Roman"/>
          <w:b w:val="false"/>
          <w:i w:val="false"/>
          <w:color w:val="000000"/>
          <w:sz w:val="28"/>
        </w:rPr>
        <w:t>
      Внешние факторы</w:t>
      </w:r>
      <w:r>
        <w:br/>
      </w:r>
      <w:r>
        <w:rPr>
          <w:rFonts w:ascii="Times New Roman"/>
          <w:b w:val="false"/>
          <w:i w:val="false"/>
          <w:color w:val="000000"/>
          <w:sz w:val="28"/>
        </w:rPr>
        <w:t>
      1) Кризисные явления в мировой экономике;</w:t>
      </w:r>
      <w:r>
        <w:br/>
      </w:r>
      <w:r>
        <w:rPr>
          <w:rFonts w:ascii="Times New Roman"/>
          <w:b w:val="false"/>
          <w:i w:val="false"/>
          <w:color w:val="000000"/>
          <w:sz w:val="28"/>
        </w:rPr>
        <w:t>
      2) изменение курса валют.</w:t>
      </w:r>
      <w:r>
        <w:br/>
      </w:r>
      <w:r>
        <w:rPr>
          <w:rFonts w:ascii="Times New Roman"/>
          <w:b w:val="false"/>
          <w:i w:val="false"/>
          <w:color w:val="000000"/>
          <w:sz w:val="28"/>
        </w:rPr>
        <w:t>
      Внутренние факторы</w:t>
      </w:r>
      <w:r>
        <w:br/>
      </w:r>
      <w:r>
        <w:rPr>
          <w:rFonts w:ascii="Times New Roman"/>
          <w:b w:val="false"/>
          <w:i w:val="false"/>
          <w:color w:val="000000"/>
          <w:sz w:val="28"/>
        </w:rPr>
        <w:t>
      1) Несвоевременное приведение плана финансирования в соответствие с измененным графиком исполнения международных обязательств.</w:t>
      </w:r>
    </w:p>
    <w:bookmarkEnd w:id="22"/>
    <w:bookmarkStart w:name="z77" w:id="23"/>
    <w:p>
      <w:pPr>
        <w:spacing w:after="0"/>
        <w:ind w:left="0"/>
        <w:jc w:val="both"/>
      </w:pPr>
      <w:r>
        <w:rPr>
          <w:rFonts w:ascii="Times New Roman"/>
          <w:b w:val="false"/>
          <w:i w:val="false"/>
          <w:color w:val="000000"/>
          <w:sz w:val="28"/>
        </w:rPr>
        <w:t>
      </w:t>
      </w:r>
      <w:r>
        <w:rPr>
          <w:rFonts w:ascii="Times New Roman"/>
          <w:b/>
          <w:i w:val="false"/>
          <w:color w:val="000000"/>
          <w:sz w:val="28"/>
        </w:rPr>
        <w:t>6. Финансовый мониторинг</w:t>
      </w:r>
      <w:r>
        <w:br/>
      </w:r>
      <w:r>
        <w:rPr>
          <w:rFonts w:ascii="Times New Roman"/>
          <w:b w:val="false"/>
          <w:i w:val="false"/>
          <w:color w:val="000000"/>
          <w:sz w:val="28"/>
        </w:rPr>
        <w:t>
</w:t>
      </w:r>
      <w:r>
        <w:rPr>
          <w:rFonts w:ascii="Times New Roman"/>
          <w:b w:val="false"/>
          <w:i w:val="false"/>
          <w:color w:val="000000"/>
          <w:sz w:val="28"/>
        </w:rPr>
        <w:t>
      1. Основные параметры развития</w:t>
      </w:r>
      <w:r>
        <w:br/>
      </w:r>
      <w:r>
        <w:rPr>
          <w:rFonts w:ascii="Times New Roman"/>
          <w:b w:val="false"/>
          <w:i w:val="false"/>
          <w:color w:val="000000"/>
          <w:sz w:val="28"/>
        </w:rPr>
        <w:t>
      Первым шагом в создании национальной системы финансового мониторинга является принятие </w:t>
      </w:r>
      <w:r>
        <w:rPr>
          <w:rFonts w:ascii="Times New Roman"/>
          <w:b w:val="false"/>
          <w:i w:val="false"/>
          <w:color w:val="000000"/>
          <w:sz w:val="28"/>
        </w:rPr>
        <w:t>Закона</w:t>
      </w:r>
      <w:r>
        <w:rPr>
          <w:rFonts w:ascii="Times New Roman"/>
          <w:b w:val="false"/>
          <w:i w:val="false"/>
          <w:color w:val="000000"/>
          <w:sz w:val="28"/>
        </w:rPr>
        <w:t xml:space="preserve"> о противодействии легализации (отмыванию) доходов, полученных незаконным путем, и финансированию терроризма (ПОД/ФТ), который вступил в силу относительно недавно – 9 марта 2010 года. В настоящее время законодательство нуждаeтся в совершенствовании для того, чтобы соответствовать Международным стандартам по противодействию отмыванию денег, финансированию терроризма и финансированию распространения оружия массового уничтожения (ПОД/ФТ и ОМУ) (40 рекомендаций ФАТФ) до оценки «Значительного соответствия» и «Соответствия».</w:t>
      </w:r>
      <w:r>
        <w:br/>
      </w:r>
      <w:r>
        <w:rPr>
          <w:rFonts w:ascii="Times New Roman"/>
          <w:b w:val="false"/>
          <w:i w:val="false"/>
          <w:color w:val="000000"/>
          <w:sz w:val="28"/>
        </w:rPr>
        <w:t>
      В этой связи требуется внесение изменений и дополнений в законодательные акты, в части криминализации отмывания денег и финансированию терроризма, по вопросам устанавливающим меры по ПОД/ФТ и ОМУ, обязательные для исполнения субъектами финансового мониторинга, по вопросам наделения компетентных и контролирующих органов необходимыми обязанностями, полномочиями и правом применения санкций, также требуется расширить перечень субъектов финансового мониторинга, совершенствовать меры правил внутреннего контроля и надлежащей проверки своих клиентов, субъектов финансового мониторинга, основанного на риск-ориентированном подходе.</w:t>
      </w:r>
      <w:r>
        <w:br/>
      </w:r>
      <w:r>
        <w:rPr>
          <w:rFonts w:ascii="Times New Roman"/>
          <w:b w:val="false"/>
          <w:i w:val="false"/>
          <w:color w:val="000000"/>
          <w:sz w:val="28"/>
        </w:rPr>
        <w:t>
</w:t>
      </w:r>
      <w:r>
        <w:rPr>
          <w:rFonts w:ascii="Times New Roman"/>
          <w:b w:val="false"/>
          <w:i w:val="false"/>
          <w:color w:val="000000"/>
          <w:sz w:val="28"/>
        </w:rPr>
        <w:t>
      2. Анализ основных проблем</w:t>
      </w:r>
      <w:r>
        <w:br/>
      </w:r>
      <w:r>
        <w:rPr>
          <w:rFonts w:ascii="Times New Roman"/>
          <w:b w:val="false"/>
          <w:i w:val="false"/>
          <w:color w:val="000000"/>
          <w:sz w:val="28"/>
        </w:rPr>
        <w:t>
      Не все субъекты финансового мониторинга (далее – СФМ) предоставляют сведения об операциях, подлежащих финансовому мониторингу. В связи с этим создана рабочая группа совместно с Ассоциацией финансистов Казахстана и Республиканской нотариальной палатой по пересмотру признаков критерий подозрительности с целью выявления проблем СФМ при заполнении формы ФМ – 1.</w:t>
      </w:r>
      <w:r>
        <w:br/>
      </w:r>
      <w:r>
        <w:rPr>
          <w:rFonts w:ascii="Times New Roman"/>
          <w:b w:val="false"/>
          <w:i w:val="false"/>
          <w:color w:val="000000"/>
          <w:sz w:val="28"/>
        </w:rPr>
        <w:t xml:space="preserve">
      Комитетом финансового мониторинга (далее – КФМ) планируется повышение рейтинга соответствия Казахстана рекомендациям ФАТФ </w:t>
      </w:r>
      <w:r>
        <w:br/>
      </w:r>
      <w:r>
        <w:rPr>
          <w:rFonts w:ascii="Times New Roman"/>
          <w:b w:val="false"/>
          <w:i w:val="false"/>
          <w:color w:val="000000"/>
          <w:sz w:val="28"/>
        </w:rPr>
        <w:t>
к 2018 году до 15 рекомендаций до оценки «Значительного соответствия» и «Соответствия».</w:t>
      </w:r>
      <w:r>
        <w:br/>
      </w:r>
      <w:r>
        <w:rPr>
          <w:rFonts w:ascii="Times New Roman"/>
          <w:b w:val="false"/>
          <w:i w:val="false"/>
          <w:color w:val="000000"/>
          <w:sz w:val="28"/>
        </w:rPr>
        <w:t>
      Для достижения данного показателя деятельность Комитета финансового мониторинга будет направлена по трем основным направлениям:</w:t>
      </w:r>
      <w:r>
        <w:br/>
      </w:r>
      <w:r>
        <w:rPr>
          <w:rFonts w:ascii="Times New Roman"/>
          <w:b w:val="false"/>
          <w:i w:val="false"/>
          <w:color w:val="000000"/>
          <w:sz w:val="28"/>
        </w:rPr>
        <w:t>
      1) совершенствование законодательства в сфере ПОД/ФТ;</w:t>
      </w:r>
      <w:r>
        <w:br/>
      </w:r>
      <w:r>
        <w:rPr>
          <w:rFonts w:ascii="Times New Roman"/>
          <w:b w:val="false"/>
          <w:i w:val="false"/>
          <w:color w:val="000000"/>
          <w:sz w:val="28"/>
        </w:rPr>
        <w:t>
      2) развитие институциональной среды и наращивание потенциала КФМ;</w:t>
      </w:r>
      <w:r>
        <w:br/>
      </w:r>
      <w:r>
        <w:rPr>
          <w:rFonts w:ascii="Times New Roman"/>
          <w:b w:val="false"/>
          <w:i w:val="false"/>
          <w:color w:val="000000"/>
          <w:sz w:val="28"/>
        </w:rPr>
        <w:t>
      3) обучение специалистов КФМ, государственных специальных и правоохранительных органов, субъектов финансового мониторинга, и общественных организаций.</w:t>
      </w:r>
      <w:r>
        <w:br/>
      </w:r>
      <w:r>
        <w:rPr>
          <w:rFonts w:ascii="Times New Roman"/>
          <w:b w:val="false"/>
          <w:i w:val="false"/>
          <w:color w:val="000000"/>
          <w:sz w:val="28"/>
        </w:rPr>
        <w:t>
      Одним из институциальных мер плана рекомендуемых действий по улучшению системы ПОД/ФТ является активизация взаимодействия с надзорными органами. В целях организации и координации деятельности государственных органов и иных организаций в сфере ПОД/ФТ планируется подписание совместных соглашений с государственными органами и общественными объединениями, проведение совместных семинаров.</w:t>
      </w:r>
      <w:r>
        <w:br/>
      </w:r>
      <w:r>
        <w:rPr>
          <w:rFonts w:ascii="Times New Roman"/>
          <w:b w:val="false"/>
          <w:i w:val="false"/>
          <w:color w:val="000000"/>
          <w:sz w:val="28"/>
        </w:rPr>
        <w:t>
</w:t>
      </w:r>
      <w:r>
        <w:rPr>
          <w:rFonts w:ascii="Times New Roman"/>
          <w:b w:val="false"/>
          <w:i w:val="false"/>
          <w:color w:val="000000"/>
          <w:sz w:val="28"/>
        </w:rPr>
        <w:t>
      3. Оценка основных внешних и внутренних факторов</w:t>
      </w:r>
      <w:r>
        <w:br/>
      </w:r>
      <w:r>
        <w:rPr>
          <w:rFonts w:ascii="Times New Roman"/>
          <w:b w:val="false"/>
          <w:i w:val="false"/>
          <w:color w:val="000000"/>
          <w:sz w:val="28"/>
        </w:rPr>
        <w:t>
      Внешние факторы</w:t>
      </w:r>
      <w:r>
        <w:br/>
      </w:r>
      <w:r>
        <w:rPr>
          <w:rFonts w:ascii="Times New Roman"/>
          <w:b w:val="false"/>
          <w:i w:val="false"/>
          <w:color w:val="000000"/>
          <w:sz w:val="28"/>
        </w:rPr>
        <w:t>
      Поскольку Казахстан страна с открытой экономикой, интегрированное в международные финансово-экономические отношения, качественный анализ операций невозможен без:</w:t>
      </w:r>
      <w:r>
        <w:br/>
      </w:r>
      <w:r>
        <w:rPr>
          <w:rFonts w:ascii="Times New Roman"/>
          <w:b w:val="false"/>
          <w:i w:val="false"/>
          <w:color w:val="000000"/>
          <w:sz w:val="28"/>
        </w:rPr>
        <w:t>
      1) взаимодействия с подразделениями финансовой разведки других государств;</w:t>
      </w:r>
      <w:r>
        <w:br/>
      </w:r>
      <w:r>
        <w:rPr>
          <w:rFonts w:ascii="Times New Roman"/>
          <w:b w:val="false"/>
          <w:i w:val="false"/>
          <w:color w:val="000000"/>
          <w:sz w:val="28"/>
        </w:rPr>
        <w:t>
      2) участия КФМ в рабочих группах и Пленарных заседаниях Группы «Эгмонт», Группы разработки финансовых мер по борьбе с отмыванием денег (ФАТФ) и Евразийской группы по противодействию легализации преступных доходов и финансированию терроризма (ЕАГ);</w:t>
      </w:r>
      <w:r>
        <w:br/>
      </w:r>
      <w:r>
        <w:rPr>
          <w:rFonts w:ascii="Times New Roman"/>
          <w:b w:val="false"/>
          <w:i w:val="false"/>
          <w:color w:val="000000"/>
          <w:sz w:val="28"/>
        </w:rPr>
        <w:t>
      3) развития двустороннего сотрудничества – подписание меморандумов с подразделениями финансовой разведки.</w:t>
      </w:r>
      <w:r>
        <w:br/>
      </w:r>
      <w:r>
        <w:rPr>
          <w:rFonts w:ascii="Times New Roman"/>
          <w:b w:val="false"/>
          <w:i w:val="false"/>
          <w:color w:val="000000"/>
          <w:sz w:val="28"/>
        </w:rPr>
        <w:t>
      Внутренние факторы</w:t>
      </w:r>
      <w:r>
        <w:br/>
      </w:r>
      <w:r>
        <w:rPr>
          <w:rFonts w:ascii="Times New Roman"/>
          <w:b w:val="false"/>
          <w:i w:val="false"/>
          <w:color w:val="000000"/>
          <w:sz w:val="28"/>
        </w:rPr>
        <w:t>
      1) Развитие системы ПОД/ФТ и повышение рейтинга соответствия Республики Казахстан Международным стандартам ПОД/ФТ и ОМУ зависят в целом от скоординированной работы государственных специальных и правоохранительных органов, также от уровня информационного технологического обеспечения процессов сбора и обработки сведений и информаций, предоставляемых субъектами финансового мониторинга;</w:t>
      </w:r>
      <w:r>
        <w:br/>
      </w:r>
      <w:r>
        <w:rPr>
          <w:rFonts w:ascii="Times New Roman"/>
          <w:b w:val="false"/>
          <w:i w:val="false"/>
          <w:color w:val="000000"/>
          <w:sz w:val="28"/>
        </w:rPr>
        <w:t>
      2) совершенствование формы предоставления информации, законодательное закрепление новых критериев подозрительности, взаимодействие и обмен данными с другими государственными органами требует развития Единой информационной аналитической системы КФМ.</w:t>
      </w:r>
    </w:p>
    <w:bookmarkEnd w:id="23"/>
    <w:bookmarkStart w:name="z1" w:id="24"/>
    <w:p>
      <w:pPr>
        <w:spacing w:after="0"/>
        <w:ind w:left="0"/>
        <w:jc w:val="both"/>
      </w:pPr>
      <w:r>
        <w:rPr>
          <w:rFonts w:ascii="Times New Roman"/>
          <w:b w:val="false"/>
          <w:i w:val="false"/>
          <w:color w:val="000000"/>
          <w:sz w:val="28"/>
        </w:rPr>
        <w:t>
      </w:t>
      </w:r>
      <w:r>
        <w:rPr>
          <w:rFonts w:ascii="Times New Roman"/>
          <w:b/>
          <w:i w:val="false"/>
          <w:color w:val="000000"/>
          <w:sz w:val="28"/>
        </w:rPr>
        <w:t>7. Интегрированная автоматизированная информационная система «е-Минфин»</w:t>
      </w:r>
      <w:r>
        <w:br/>
      </w:r>
      <w:r>
        <w:rPr>
          <w:rFonts w:ascii="Times New Roman"/>
          <w:b w:val="false"/>
          <w:i w:val="false"/>
          <w:color w:val="000000"/>
          <w:sz w:val="28"/>
        </w:rPr>
        <w:t>
</w:t>
      </w:r>
      <w:r>
        <w:rPr>
          <w:rFonts w:ascii="Times New Roman"/>
          <w:b w:val="false"/>
          <w:i w:val="false"/>
          <w:color w:val="000000"/>
          <w:sz w:val="28"/>
        </w:rPr>
        <w:t>
      1. Основные параметры развития</w:t>
      </w:r>
      <w:r>
        <w:br/>
      </w:r>
      <w:r>
        <w:rPr>
          <w:rFonts w:ascii="Times New Roman"/>
          <w:b w:val="false"/>
          <w:i w:val="false"/>
          <w:color w:val="000000"/>
          <w:sz w:val="28"/>
        </w:rPr>
        <w:t>
      ИАИС «е-Минифин» должна быть реализована с учетом мировой практики комплексного подхода по созданию подобных систем. Комплексный подход подразумевает реализацию компонент ИАИС «е-Минифин» на базе промышленных модулей готовых решений и централизованную архитектуру приложений.</w:t>
      </w:r>
      <w:r>
        <w:br/>
      </w:r>
      <w:r>
        <w:rPr>
          <w:rFonts w:ascii="Times New Roman"/>
          <w:b w:val="false"/>
          <w:i w:val="false"/>
          <w:color w:val="000000"/>
          <w:sz w:val="28"/>
        </w:rPr>
        <w:t>
      Основной целью создания ИАИС «е-Минифин» является обеспечение централизованного хранения, обработки информации и управления всеми бизнес-процессам МФ РК в интегрированным, безопасном и надежном информационном пространстве.</w:t>
      </w:r>
      <w:r>
        <w:br/>
      </w:r>
      <w:r>
        <w:rPr>
          <w:rFonts w:ascii="Times New Roman"/>
          <w:b w:val="false"/>
          <w:i w:val="false"/>
          <w:color w:val="000000"/>
          <w:sz w:val="28"/>
        </w:rPr>
        <w:t>
      Объектом обследования для проведения автоматизации (интеграции) являются процессы МФ РК, включая структурные подразделения и ведомства, по исполнению государственных функций и предоставлению государственных</w:t>
      </w:r>
      <w:r>
        <w:br/>
      </w:r>
      <w:r>
        <w:rPr>
          <w:rFonts w:ascii="Times New Roman"/>
          <w:b w:val="false"/>
          <w:i w:val="false"/>
          <w:color w:val="000000"/>
          <w:sz w:val="28"/>
        </w:rPr>
        <w:t>
      Анализ основных проблем</w:t>
      </w:r>
      <w:r>
        <w:br/>
      </w:r>
      <w:r>
        <w:rPr>
          <w:rFonts w:ascii="Times New Roman"/>
          <w:b w:val="false"/>
          <w:i w:val="false"/>
          <w:color w:val="000000"/>
          <w:sz w:val="28"/>
        </w:rPr>
        <w:t>
      В ходе реализации Проекта Министерство столкнулось со следующими проблемами:</w:t>
      </w:r>
      <w:r>
        <w:br/>
      </w:r>
      <w:r>
        <w:rPr>
          <w:rFonts w:ascii="Times New Roman"/>
          <w:b w:val="false"/>
          <w:i w:val="false"/>
          <w:color w:val="000000"/>
          <w:sz w:val="28"/>
        </w:rPr>
        <w:t>
      1) частая сменяемость кадров на местах – проблема, вызывающая необходимость дополнительных ресурсов на обучение вновь принятых сотрудников, влияет на оперативность ввода ежедневных данных, сведений в систему, что влечет за собой неполноценное обеспечение опытной эксплуатации;</w:t>
      </w:r>
      <w:r>
        <w:br/>
      </w:r>
      <w:r>
        <w:rPr>
          <w:rFonts w:ascii="Times New Roman"/>
          <w:b w:val="false"/>
          <w:i w:val="false"/>
          <w:color w:val="000000"/>
          <w:sz w:val="28"/>
        </w:rPr>
        <w:t>
      2) сжатые сроки реализации Проекта при значительной его масштабности;</w:t>
      </w:r>
      <w:r>
        <w:br/>
      </w:r>
      <w:r>
        <w:rPr>
          <w:rFonts w:ascii="Times New Roman"/>
          <w:b w:val="false"/>
          <w:i w:val="false"/>
          <w:color w:val="000000"/>
          <w:sz w:val="28"/>
        </w:rPr>
        <w:t>
      3) частое изменение НПА, в связи с чем возникает потребность в новых требованиях по автоматизации тех или иных задач Министерства, что также требует дополнительных затрат ресурсов (времени, труда и т.д.);</w:t>
      </w:r>
      <w:r>
        <w:br/>
      </w:r>
      <w:r>
        <w:rPr>
          <w:rFonts w:ascii="Times New Roman"/>
          <w:b w:val="false"/>
          <w:i w:val="false"/>
          <w:color w:val="000000"/>
          <w:sz w:val="28"/>
        </w:rPr>
        <w:t>
      4) длительное согласование Правил информационного взаимодействия с государственными органами, что ставит под угрозу риски связанные с правовым обеспечением интеграционных взаимодействий.</w:t>
      </w:r>
      <w:r>
        <w:br/>
      </w:r>
      <w:r>
        <w:rPr>
          <w:rFonts w:ascii="Times New Roman"/>
          <w:b w:val="false"/>
          <w:i w:val="false"/>
          <w:color w:val="000000"/>
          <w:sz w:val="28"/>
        </w:rPr>
        <w:t>
</w:t>
      </w:r>
      <w:r>
        <w:rPr>
          <w:rFonts w:ascii="Times New Roman"/>
          <w:b w:val="false"/>
          <w:i w:val="false"/>
          <w:color w:val="000000"/>
          <w:sz w:val="28"/>
        </w:rPr>
        <w:t>
      3. Оценка внутренних и внешних факторов</w:t>
      </w:r>
      <w:r>
        <w:br/>
      </w:r>
      <w:r>
        <w:rPr>
          <w:rFonts w:ascii="Times New Roman"/>
          <w:b w:val="false"/>
          <w:i w:val="false"/>
          <w:color w:val="000000"/>
          <w:sz w:val="28"/>
        </w:rPr>
        <w:t>
      Внешние факторы</w:t>
      </w:r>
      <w:r>
        <w:br/>
      </w:r>
      <w:r>
        <w:rPr>
          <w:rFonts w:ascii="Times New Roman"/>
          <w:b w:val="false"/>
          <w:i w:val="false"/>
          <w:color w:val="000000"/>
          <w:sz w:val="28"/>
        </w:rPr>
        <w:t>
      1) Технические и законодательные ограничения, не позволяющие интегрировать ИАИС «е-Минфин» с информационными системами государственных органов и других организаций.</w:t>
      </w:r>
      <w:r>
        <w:br/>
      </w:r>
      <w:r>
        <w:rPr>
          <w:rFonts w:ascii="Times New Roman"/>
          <w:b w:val="false"/>
          <w:i w:val="false"/>
          <w:color w:val="000000"/>
          <w:sz w:val="28"/>
        </w:rPr>
        <w:t>
      Внутренние факторы</w:t>
      </w:r>
      <w:r>
        <w:br/>
      </w:r>
      <w:r>
        <w:rPr>
          <w:rFonts w:ascii="Times New Roman"/>
          <w:b w:val="false"/>
          <w:i w:val="false"/>
          <w:color w:val="000000"/>
          <w:sz w:val="28"/>
        </w:rPr>
        <w:t>
      2) Возможность возникновения процедуры длительного согласования проектно-технической документации.</w:t>
      </w:r>
    </w:p>
    <w:bookmarkEnd w:id="24"/>
    <w:bookmarkStart w:name="z83" w:id="25"/>
    <w:p>
      <w:pPr>
        <w:spacing w:after="0"/>
        <w:ind w:left="0"/>
        <w:jc w:val="both"/>
      </w:pPr>
      <w:r>
        <w:rPr>
          <w:rFonts w:ascii="Times New Roman"/>
          <w:b w:val="false"/>
          <w:i w:val="false"/>
          <w:color w:val="000000"/>
          <w:sz w:val="28"/>
        </w:rPr>
        <w:t>
      </w:t>
      </w:r>
      <w:r>
        <w:rPr>
          <w:rFonts w:ascii="Times New Roman"/>
          <w:b/>
          <w:i w:val="false"/>
          <w:color w:val="000000"/>
          <w:sz w:val="28"/>
        </w:rPr>
        <w:t>8. Теневая экономика</w:t>
      </w:r>
      <w:r>
        <w:br/>
      </w:r>
      <w:r>
        <w:rPr>
          <w:rFonts w:ascii="Times New Roman"/>
          <w:b w:val="false"/>
          <w:i w:val="false"/>
          <w:color w:val="000000"/>
          <w:sz w:val="28"/>
        </w:rPr>
        <w:t>
</w:t>
      </w:r>
      <w:r>
        <w:rPr>
          <w:rFonts w:ascii="Times New Roman"/>
          <w:b w:val="false"/>
          <w:i w:val="false"/>
          <w:color w:val="000000"/>
          <w:sz w:val="28"/>
        </w:rPr>
        <w:t>
      1. Основные параметры развития</w:t>
      </w:r>
      <w:r>
        <w:br/>
      </w:r>
      <w:r>
        <w:rPr>
          <w:rFonts w:ascii="Times New Roman"/>
          <w:b w:val="false"/>
          <w:i w:val="false"/>
          <w:color w:val="000000"/>
          <w:sz w:val="28"/>
        </w:rPr>
        <w:t>
      В целях сокращения объемов теневого сектора экономики, Главой государства поручено обеспечить переход к всеобщему декларированию, что предусмотрено </w:t>
      </w:r>
      <w:r>
        <w:rPr>
          <w:rFonts w:ascii="Times New Roman"/>
          <w:b w:val="false"/>
          <w:i w:val="false"/>
          <w:color w:val="000000"/>
          <w:sz w:val="28"/>
        </w:rPr>
        <w:t>Программой</w:t>
      </w:r>
      <w:r>
        <w:rPr>
          <w:rFonts w:ascii="Times New Roman"/>
          <w:b w:val="false"/>
          <w:i w:val="false"/>
          <w:color w:val="000000"/>
          <w:sz w:val="28"/>
        </w:rPr>
        <w:t xml:space="preserve"> Правительства Республики Казахстан «Основные направления экономической политики и организационных мер по сокращению размеров теневой экономики в Республике Казахстан на 2005 – 2010 годы», утвержденной постановлением Правительства Республики Казахстан от 30 сентября 2005 года № 969.</w:t>
      </w:r>
      <w:r>
        <w:br/>
      </w:r>
      <w:r>
        <w:rPr>
          <w:rFonts w:ascii="Times New Roman"/>
          <w:b w:val="false"/>
          <w:i w:val="false"/>
          <w:color w:val="000000"/>
          <w:sz w:val="28"/>
        </w:rPr>
        <w:t>
      В реализацию указанной программы Правительством утверждена Концепция перехода к всеобщему декларированию и утвержден План мероприятий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от 23 сентября 2010 года № 975).</w:t>
      </w:r>
      <w:r>
        <w:br/>
      </w:r>
      <w:r>
        <w:rPr>
          <w:rFonts w:ascii="Times New Roman"/>
          <w:b w:val="false"/>
          <w:i w:val="false"/>
          <w:color w:val="000000"/>
          <w:sz w:val="28"/>
        </w:rPr>
        <w:t>
      Во исполнение Плана, разработан проект Закона Республики Казахстан «О внесении изменений и дополнений в некоторые законодательные акты Республики Казахстан по вопросам декларирования доходов и имущества граждан Республики Казахстан и лиц, имеющих вид на жительство» (далее – Законопроект).</w:t>
      </w:r>
      <w:r>
        <w:br/>
      </w:r>
      <w:r>
        <w:rPr>
          <w:rFonts w:ascii="Times New Roman"/>
          <w:b w:val="false"/>
          <w:i w:val="false"/>
          <w:color w:val="000000"/>
          <w:sz w:val="28"/>
        </w:rPr>
        <w:t>
      Законопроект основан на следующих основных принципах:</w:t>
      </w:r>
      <w:r>
        <w:br/>
      </w:r>
      <w:r>
        <w:rPr>
          <w:rFonts w:ascii="Times New Roman"/>
          <w:b w:val="false"/>
          <w:i w:val="false"/>
          <w:color w:val="000000"/>
          <w:sz w:val="28"/>
        </w:rPr>
        <w:t>
      введение декларирования доходов и имущества физических лиц как формы социального партнерства государства и физического лица;</w:t>
      </w:r>
      <w:r>
        <w:br/>
      </w:r>
      <w:r>
        <w:rPr>
          <w:rFonts w:ascii="Times New Roman"/>
          <w:b w:val="false"/>
          <w:i w:val="false"/>
          <w:color w:val="000000"/>
          <w:sz w:val="28"/>
        </w:rPr>
        <w:t>
      социальная поддержка через расширение налоговых вычетов;</w:t>
      </w:r>
      <w:r>
        <w:br/>
      </w:r>
      <w:r>
        <w:rPr>
          <w:rFonts w:ascii="Times New Roman"/>
          <w:b w:val="false"/>
          <w:i w:val="false"/>
          <w:color w:val="000000"/>
          <w:sz w:val="28"/>
        </w:rPr>
        <w:t>
      создание максимально удобной для населения процедуры декларирования доходов и имущества;</w:t>
      </w:r>
      <w:r>
        <w:br/>
      </w:r>
      <w:r>
        <w:rPr>
          <w:rFonts w:ascii="Times New Roman"/>
          <w:b w:val="false"/>
          <w:i w:val="false"/>
          <w:color w:val="000000"/>
          <w:sz w:val="28"/>
        </w:rPr>
        <w:t>
      единообразный подход к налогообложению физических лиц через реформирование отдельных режимов налогообложения;</w:t>
      </w:r>
      <w:r>
        <w:br/>
      </w:r>
      <w:r>
        <w:rPr>
          <w:rFonts w:ascii="Times New Roman"/>
          <w:b w:val="false"/>
          <w:i w:val="false"/>
          <w:color w:val="000000"/>
          <w:sz w:val="28"/>
        </w:rPr>
        <w:t>
      создание системы эффективного контроля соответствия доходов физических лиц.</w:t>
      </w:r>
      <w:r>
        <w:br/>
      </w:r>
      <w:r>
        <w:rPr>
          <w:rFonts w:ascii="Times New Roman"/>
          <w:b w:val="false"/>
          <w:i w:val="false"/>
          <w:color w:val="000000"/>
          <w:sz w:val="28"/>
        </w:rPr>
        <w:t>
</w:t>
      </w:r>
      <w:r>
        <w:rPr>
          <w:rFonts w:ascii="Times New Roman"/>
          <w:b w:val="false"/>
          <w:i w:val="false"/>
          <w:color w:val="000000"/>
          <w:sz w:val="28"/>
        </w:rPr>
        <w:t>
      2. Анализ основных проблем</w:t>
      </w:r>
      <w:r>
        <w:br/>
      </w:r>
      <w:r>
        <w:rPr>
          <w:rFonts w:ascii="Times New Roman"/>
          <w:b w:val="false"/>
          <w:i w:val="false"/>
          <w:color w:val="000000"/>
          <w:sz w:val="28"/>
        </w:rPr>
        <w:t>
      При наличии в Казахстане достаточно низких налоговых ставок с доходов и имущества физических лиц, масштабы уклонения от уплаты налогов остаются значительными. Анализ данных официальной статистики за 2008 год показывает, что около 50 % доходов физических лиц, проживающих в Республике Казахстан, не облагаются налогами. Развитие малого бизнеса, рынка ценных бумаг, рынка недвижимости в Республике Казахстан не дали адекватного роста поступлений в бюджет в виде индивидуального подоходного налога.</w:t>
      </w:r>
      <w:r>
        <w:br/>
      </w:r>
      <w:r>
        <w:rPr>
          <w:rFonts w:ascii="Times New Roman"/>
          <w:b w:val="false"/>
          <w:i w:val="false"/>
          <w:color w:val="000000"/>
          <w:sz w:val="28"/>
        </w:rPr>
        <w:t>
      В 2008 году основным источником доходов бюджета в Республике Казахстан остается корпоративный подоходный налог (около 43 % от доходов государственного бюджета с учетом Национального фонда), а поступления индивидуального подоходного налога составляют незначительную долю (6 % от доходов государственного бюджета с учетом Национального фонда).</w:t>
      </w:r>
      <w:r>
        <w:br/>
      </w:r>
      <w:r>
        <w:rPr>
          <w:rFonts w:ascii="Times New Roman"/>
          <w:b w:val="false"/>
          <w:i w:val="false"/>
          <w:color w:val="000000"/>
          <w:sz w:val="28"/>
        </w:rPr>
        <w:t>
      В развитых странах бюджеты в основном формируются за счет налогов с физических лиц. В частности, поступления индивидуального подоходного налога в консолидированном бюджете составляют в США - 60 %, в Великобритании, Швейцарии, Швеции - по 40 %, в странах ОЭСР, в среднем, - 30 %, а вместе с взносами на социальное страхование, взимаемыми с общей базы, что и подоходный налог - 55 %.</w:t>
      </w:r>
      <w:r>
        <w:br/>
      </w:r>
      <w:r>
        <w:rPr>
          <w:rFonts w:ascii="Times New Roman"/>
          <w:b w:val="false"/>
          <w:i w:val="false"/>
          <w:color w:val="000000"/>
          <w:sz w:val="28"/>
        </w:rPr>
        <w:t>
      Развитие рыночной экономики обуславливает увеличение объема доходов физических лиц, с которых не производится удержание налога у источника выплаты и которые по законодательству подлежат декларированию физическими лицами самостоятельно, что в свою очередь требует организации эффективного контроля со стороны государства за полнотой отражения таких доходов.</w:t>
      </w:r>
      <w:r>
        <w:br/>
      </w:r>
      <w:r>
        <w:rPr>
          <w:rFonts w:ascii="Times New Roman"/>
          <w:b w:val="false"/>
          <w:i w:val="false"/>
          <w:color w:val="000000"/>
          <w:sz w:val="28"/>
        </w:rPr>
        <w:t>
      Вместе с тем, обеспечение всеобъемлющего контроля отражения физическими лицами доходов для целей налогообложения и выявление лиц, уклоняющихся от уплаты налогов, затруднено, поскольку в настоящее время декларацию о доходах и сведения об имуществе представляет лишь незначительная часть населения республики (3,8 % от граждан Республики Казахстан).</w:t>
      </w:r>
      <w:r>
        <w:br/>
      </w:r>
      <w:r>
        <w:rPr>
          <w:rFonts w:ascii="Times New Roman"/>
          <w:b w:val="false"/>
          <w:i w:val="false"/>
          <w:color w:val="000000"/>
          <w:sz w:val="28"/>
        </w:rPr>
        <w:t>
      Как показывает международный опыт, важным условием для решения задачи полномасштабного администрирования налогообложения доходов физических лиц, в целях снижения размеров теневой экономики является всеобщее декларирование доходов и имущества населения.</w:t>
      </w:r>
      <w:r>
        <w:br/>
      </w:r>
      <w:r>
        <w:rPr>
          <w:rFonts w:ascii="Times New Roman"/>
          <w:b w:val="false"/>
          <w:i w:val="false"/>
          <w:color w:val="000000"/>
          <w:sz w:val="28"/>
        </w:rPr>
        <w:t>
      В рамках работы по снижению уровня теневой экономики, таможенными органами особое внимание уделено борьбе с контрабандой товаров и незаконным оборотом наркотических средств. Пресекаются любые попытки нарушить требования закона. За 11 месяцев 2013 года возбуждено 620 уголовных дела, из них: 422 уголовных дела по статье – экономическая контрабанда, 29 уголовных дел – по уклонению от уплаты таможенных платежей и налогов, 53 уголовных дел – по контрабанде запрещенных предметов.</w:t>
      </w:r>
      <w:r>
        <w:br/>
      </w:r>
      <w:r>
        <w:rPr>
          <w:rFonts w:ascii="Times New Roman"/>
          <w:b w:val="false"/>
          <w:i w:val="false"/>
          <w:color w:val="000000"/>
          <w:sz w:val="28"/>
        </w:rPr>
        <w:t>
      Сумма товаров и валюты по возбужденным уголовным делам составила 10 млрд. 716 млн. тенге. Установленная сумма ущерба по возбужденным уголовным делам составила – 5 млрд. 562 млн. тенге.</w:t>
      </w:r>
      <w:r>
        <w:br/>
      </w:r>
      <w:r>
        <w:rPr>
          <w:rFonts w:ascii="Times New Roman"/>
          <w:b w:val="false"/>
          <w:i w:val="false"/>
          <w:color w:val="000000"/>
          <w:sz w:val="28"/>
        </w:rPr>
        <w:t>
      За 11 месяцев 2013 года возбуждено 11 787 административных дела, наложено штрафов на сумму – 628 млн. тенге, конфисковано товаров и транспортных средств на сумму 392 млн. тенге. Из незаконного оборота изъято 244, 8 кг наркотических средств.</w:t>
      </w:r>
      <w:r>
        <w:br/>
      </w:r>
      <w:r>
        <w:rPr>
          <w:rFonts w:ascii="Times New Roman"/>
          <w:b w:val="false"/>
          <w:i w:val="false"/>
          <w:color w:val="000000"/>
          <w:sz w:val="28"/>
        </w:rPr>
        <w:t>
</w:t>
      </w:r>
      <w:r>
        <w:rPr>
          <w:rFonts w:ascii="Times New Roman"/>
          <w:b w:val="false"/>
          <w:i w:val="false"/>
          <w:color w:val="000000"/>
          <w:sz w:val="28"/>
        </w:rPr>
        <w:t>
      2. Оценка внутренних и внешних факторов</w:t>
      </w:r>
      <w:r>
        <w:br/>
      </w:r>
      <w:r>
        <w:rPr>
          <w:rFonts w:ascii="Times New Roman"/>
          <w:b w:val="false"/>
          <w:i w:val="false"/>
          <w:color w:val="000000"/>
          <w:sz w:val="28"/>
        </w:rPr>
        <w:t>
      Внешние факторы</w:t>
      </w:r>
      <w:r>
        <w:br/>
      </w:r>
      <w:r>
        <w:rPr>
          <w:rFonts w:ascii="Times New Roman"/>
          <w:b w:val="false"/>
          <w:i w:val="false"/>
          <w:color w:val="000000"/>
          <w:sz w:val="28"/>
        </w:rPr>
        <w:t>
      1) Недостаточность инфраструктуры;</w:t>
      </w:r>
      <w:r>
        <w:br/>
      </w:r>
      <w:r>
        <w:rPr>
          <w:rFonts w:ascii="Times New Roman"/>
          <w:b w:val="false"/>
          <w:i w:val="false"/>
          <w:color w:val="000000"/>
          <w:sz w:val="28"/>
        </w:rPr>
        <w:t>
      2) высокий уровень ставок налогов и различия ставок таможенных пошлин схожих товаров;</w:t>
      </w:r>
      <w:r>
        <w:br/>
      </w:r>
      <w:r>
        <w:rPr>
          <w:rFonts w:ascii="Times New Roman"/>
          <w:b w:val="false"/>
          <w:i w:val="false"/>
          <w:color w:val="000000"/>
          <w:sz w:val="28"/>
        </w:rPr>
        <w:t>
      3) импортозависимость экономики.</w:t>
      </w:r>
      <w:r>
        <w:br/>
      </w:r>
      <w:r>
        <w:rPr>
          <w:rFonts w:ascii="Times New Roman"/>
          <w:b w:val="false"/>
          <w:i w:val="false"/>
          <w:color w:val="000000"/>
          <w:sz w:val="28"/>
        </w:rPr>
        <w:t>
      Внутренние факторы</w:t>
      </w:r>
      <w:r>
        <w:br/>
      </w:r>
      <w:r>
        <w:rPr>
          <w:rFonts w:ascii="Times New Roman"/>
          <w:b w:val="false"/>
          <w:i w:val="false"/>
          <w:color w:val="000000"/>
          <w:sz w:val="28"/>
        </w:rPr>
        <w:t>
      1) Неактуальность базы данных государственных органов владельцев информации об имуществе физического лица;</w:t>
      </w:r>
      <w:r>
        <w:br/>
      </w:r>
      <w:r>
        <w:rPr>
          <w:rFonts w:ascii="Times New Roman"/>
          <w:b w:val="false"/>
          <w:i w:val="false"/>
          <w:color w:val="000000"/>
          <w:sz w:val="28"/>
        </w:rPr>
        <w:t>
      2) социально-экономическая незащищенность таможенных органов.</w:t>
      </w:r>
    </w:p>
    <w:bookmarkEnd w:id="25"/>
    <w:bookmarkStart w:name="z87" w:id="26"/>
    <w:p>
      <w:pPr>
        <w:spacing w:after="0"/>
        <w:ind w:left="0"/>
        <w:jc w:val="both"/>
      </w:pPr>
      <w:r>
        <w:rPr>
          <w:rFonts w:ascii="Times New Roman"/>
          <w:b w:val="false"/>
          <w:i w:val="false"/>
          <w:color w:val="000000"/>
          <w:sz w:val="28"/>
        </w:rPr>
        <w:t>
      </w:t>
      </w:r>
      <w:r>
        <w:rPr>
          <w:rFonts w:ascii="Times New Roman"/>
          <w:b/>
          <w:i w:val="false"/>
          <w:color w:val="000000"/>
          <w:sz w:val="28"/>
        </w:rPr>
        <w:t>9. Государственные услуги</w:t>
      </w:r>
      <w:r>
        <w:br/>
      </w:r>
      <w:r>
        <w:rPr>
          <w:rFonts w:ascii="Times New Roman"/>
          <w:b w:val="false"/>
          <w:i w:val="false"/>
          <w:color w:val="000000"/>
          <w:sz w:val="28"/>
        </w:rPr>
        <w:t>
</w:t>
      </w:r>
      <w:r>
        <w:rPr>
          <w:rFonts w:ascii="Times New Roman"/>
          <w:b w:val="false"/>
          <w:i w:val="false"/>
          <w:color w:val="000000"/>
          <w:sz w:val="28"/>
        </w:rPr>
        <w:t>
      1. Основные параметры развития</w:t>
      </w:r>
      <w:r>
        <w:br/>
      </w:r>
      <w:r>
        <w:rPr>
          <w:rFonts w:ascii="Times New Roman"/>
          <w:b w:val="false"/>
          <w:i w:val="false"/>
          <w:color w:val="000000"/>
          <w:sz w:val="28"/>
        </w:rPr>
        <w:t>
      Главой государства в своем Послании народу Казахстана 14 декабря 2012 года отмечено о необходимости акцентироваться на повышение качества государственных услуг. Задача – отойти от односторонне – властных подходов во взаимоотношениях государственного аппарата с населением к эффективному и оперативному оказанию государственных услуг гражданам.</w:t>
      </w:r>
      <w:r>
        <w:br/>
      </w:r>
      <w:r>
        <w:rPr>
          <w:rFonts w:ascii="Times New Roman"/>
          <w:b w:val="false"/>
          <w:i w:val="false"/>
          <w:color w:val="000000"/>
          <w:sz w:val="28"/>
        </w:rPr>
        <w:t>
      Кроме того, Глава государства, говоря о второй волне широкомасштабной приватизации, отметил, что частный бизнес всегда и повсюду действует эффективнее государства. Поэтому необходимо передать в частные руки предприятия и услуги нестратегического характера. Это принципиально важный шаг для укрепления отечественного предпринимательства.</w:t>
      </w:r>
      <w:r>
        <w:br/>
      </w:r>
      <w:r>
        <w:rPr>
          <w:rFonts w:ascii="Times New Roman"/>
          <w:b w:val="false"/>
          <w:i w:val="false"/>
          <w:color w:val="000000"/>
          <w:sz w:val="28"/>
        </w:rPr>
        <w:t>
      В соответствии с Методикой определения стоимости государственной услуги, рассчитывается экономическая эффективность оказания государственных услуг услугодателем. В случае, неэффективности государственной услуги анализируется структура расходов услугодателя для принятия управленческих решений по оптимизации расходов на оказание государственных услуг.</w:t>
      </w:r>
      <w:r>
        <w:br/>
      </w:r>
      <w:r>
        <w:rPr>
          <w:rFonts w:ascii="Times New Roman"/>
          <w:b w:val="false"/>
          <w:i w:val="false"/>
          <w:color w:val="000000"/>
          <w:sz w:val="28"/>
        </w:rPr>
        <w:t>
      После такого анализа можно сделать и выводы по передаче услуг в конкурентную среду во исполнение </w:t>
      </w:r>
      <w:r>
        <w:rPr>
          <w:rFonts w:ascii="Times New Roman"/>
          <w:b w:val="false"/>
          <w:i w:val="false"/>
          <w:color w:val="000000"/>
          <w:sz w:val="28"/>
        </w:rPr>
        <w:t>Стратегии Казахстана – 2050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Анализ основных проблем</w:t>
      </w:r>
      <w:r>
        <w:br/>
      </w:r>
      <w:r>
        <w:rPr>
          <w:rFonts w:ascii="Times New Roman"/>
          <w:b w:val="false"/>
          <w:i w:val="false"/>
          <w:color w:val="000000"/>
          <w:sz w:val="28"/>
        </w:rPr>
        <w:t>
      В связи с частыми организационными изменениями аппарата государственного управления, неопределенно точное количество оказываемых министерством государственных услуг, а также эффективность их оказания.</w:t>
      </w:r>
      <w:r>
        <w:br/>
      </w:r>
      <w:r>
        <w:rPr>
          <w:rFonts w:ascii="Times New Roman"/>
          <w:b w:val="false"/>
          <w:i w:val="false"/>
          <w:color w:val="000000"/>
          <w:sz w:val="28"/>
        </w:rPr>
        <w:t>
      Для принятия управленческих решений о передаче части услуг частному бизнесу необходим полноценный мониторинг эффективности их осуществления.</w:t>
      </w:r>
      <w:r>
        <w:br/>
      </w:r>
      <w:r>
        <w:rPr>
          <w:rFonts w:ascii="Times New Roman"/>
          <w:b w:val="false"/>
          <w:i w:val="false"/>
          <w:color w:val="000000"/>
          <w:sz w:val="28"/>
        </w:rPr>
        <w:t>
</w:t>
      </w:r>
      <w:r>
        <w:rPr>
          <w:rFonts w:ascii="Times New Roman"/>
          <w:b w:val="false"/>
          <w:i w:val="false"/>
          <w:color w:val="000000"/>
          <w:sz w:val="28"/>
        </w:rPr>
        <w:t>
      3. Оценка внутренних и внешних факторов</w:t>
      </w:r>
      <w:r>
        <w:br/>
      </w:r>
      <w:r>
        <w:rPr>
          <w:rFonts w:ascii="Times New Roman"/>
          <w:b w:val="false"/>
          <w:i w:val="false"/>
          <w:color w:val="000000"/>
          <w:sz w:val="28"/>
        </w:rPr>
        <w:t>
      Внешние факторы</w:t>
      </w:r>
      <w:r>
        <w:br/>
      </w:r>
      <w:r>
        <w:rPr>
          <w:rFonts w:ascii="Times New Roman"/>
          <w:b w:val="false"/>
          <w:i w:val="false"/>
          <w:color w:val="000000"/>
          <w:sz w:val="28"/>
        </w:rPr>
        <w:t>
      1) Принятие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государственных услугах», Послания Главы государства, принятие концепций новой бюджетной политики и совершенствования Системы государственного планирования, ориентированной на результаты;</w:t>
      </w:r>
      <w:r>
        <w:br/>
      </w:r>
      <w:r>
        <w:rPr>
          <w:rFonts w:ascii="Times New Roman"/>
          <w:b w:val="false"/>
          <w:i w:val="false"/>
          <w:color w:val="000000"/>
          <w:sz w:val="28"/>
        </w:rPr>
        <w:t>
      2) отсутствие интеграции информационных систем государственных органов, чья деятельность влияет на предоставление качественных государственных услуг предоставляемых Министерством.</w:t>
      </w:r>
      <w:r>
        <w:br/>
      </w:r>
      <w:r>
        <w:rPr>
          <w:rFonts w:ascii="Times New Roman"/>
          <w:b w:val="false"/>
          <w:i w:val="false"/>
          <w:color w:val="000000"/>
          <w:sz w:val="28"/>
        </w:rPr>
        <w:t>
      Внутренние факторы</w:t>
      </w:r>
      <w:r>
        <w:br/>
      </w:r>
      <w:r>
        <w:rPr>
          <w:rFonts w:ascii="Times New Roman"/>
          <w:b w:val="false"/>
          <w:i w:val="false"/>
          <w:color w:val="000000"/>
          <w:sz w:val="28"/>
        </w:rPr>
        <w:t>
      1) Высокий уровень коррупции;</w:t>
      </w:r>
      <w:r>
        <w:br/>
      </w:r>
      <w:r>
        <w:rPr>
          <w:rFonts w:ascii="Times New Roman"/>
          <w:b w:val="false"/>
          <w:i w:val="false"/>
          <w:color w:val="000000"/>
          <w:sz w:val="28"/>
        </w:rPr>
        <w:t>
      2) слабый профессиональный уровень в связи с текучестью кадров;</w:t>
      </w:r>
      <w:r>
        <w:br/>
      </w:r>
      <w:r>
        <w:rPr>
          <w:rFonts w:ascii="Times New Roman"/>
          <w:b w:val="false"/>
          <w:i w:val="false"/>
          <w:color w:val="000000"/>
          <w:sz w:val="28"/>
        </w:rPr>
        <w:t>
      3) сбои в работе информационных систем, посредством которых Министерством предоставляется государственные услуги.</w:t>
      </w:r>
    </w:p>
    <w:bookmarkEnd w:id="26"/>
    <w:bookmarkStart w:name="z91" w:id="27"/>
    <w:p>
      <w:pPr>
        <w:spacing w:after="0"/>
        <w:ind w:left="0"/>
        <w:jc w:val="both"/>
      </w:pPr>
      <w:r>
        <w:rPr>
          <w:rFonts w:ascii="Times New Roman"/>
          <w:b w:val="false"/>
          <w:i w:val="false"/>
          <w:color w:val="000000"/>
          <w:sz w:val="28"/>
        </w:rPr>
        <w:t>
</w:t>
      </w:r>
      <w:r>
        <w:rPr>
          <w:rFonts w:ascii="Times New Roman"/>
          <w:b/>
          <w:i w:val="false"/>
          <w:color w:val="000000"/>
          <w:sz w:val="28"/>
        </w:rPr>
        <w:t>      3. Стратегические направления, цели, задачи, целевые</w:t>
      </w:r>
      <w:r>
        <w:br/>
      </w:r>
      <w:r>
        <w:rPr>
          <w:rFonts w:ascii="Times New Roman"/>
          <w:b w:val="false"/>
          <w:i w:val="false"/>
          <w:color w:val="000000"/>
          <w:sz w:val="28"/>
        </w:rPr>
        <w:t>
</w:t>
      </w:r>
      <w:r>
        <w:rPr>
          <w:rFonts w:ascii="Times New Roman"/>
          <w:b/>
          <w:i w:val="false"/>
          <w:color w:val="000000"/>
          <w:sz w:val="28"/>
        </w:rPr>
        <w:t>индикаторы, мероприятия и показатели результатов</w:t>
      </w:r>
      <w:r>
        <w:br/>
      </w:r>
      <w:r>
        <w:rPr>
          <w:rFonts w:ascii="Times New Roman"/>
          <w:b w:val="false"/>
          <w:i w:val="false"/>
          <w:color w:val="000000"/>
          <w:sz w:val="28"/>
        </w:rPr>
        <w:t>
</w:t>
      </w:r>
      <w:r>
        <w:rPr>
          <w:rFonts w:ascii="Times New Roman"/>
          <w:b/>
          <w:i w:val="false"/>
          <w:color w:val="000000"/>
          <w:sz w:val="28"/>
        </w:rPr>
        <w:t>      3.1. Стратегические направления, цели, задачи, целевые</w:t>
      </w:r>
      <w:r>
        <w:br/>
      </w:r>
      <w:r>
        <w:rPr>
          <w:rFonts w:ascii="Times New Roman"/>
          <w:b w:val="false"/>
          <w:i w:val="false"/>
          <w:color w:val="000000"/>
          <w:sz w:val="28"/>
        </w:rPr>
        <w:t>
</w:t>
      </w:r>
      <w:r>
        <w:rPr>
          <w:rFonts w:ascii="Times New Roman"/>
          <w:b/>
          <w:i w:val="false"/>
          <w:color w:val="000000"/>
          <w:sz w:val="28"/>
        </w:rPr>
        <w:t>индикаторы, мероприятия и показатели результатов</w:t>
      </w:r>
      <w:r>
        <w:br/>
      </w:r>
      <w:r>
        <w:rPr>
          <w:rFonts w:ascii="Times New Roman"/>
          <w:b w:val="false"/>
          <w:i w:val="false"/>
          <w:color w:val="000000"/>
          <w:sz w:val="28"/>
        </w:rPr>
        <w:t>
</w:t>
      </w:r>
      <w:r>
        <w:rPr>
          <w:rFonts w:ascii="Times New Roman"/>
          <w:b/>
          <w:i w:val="false"/>
          <w:color w:val="000000"/>
          <w:sz w:val="28"/>
        </w:rPr>
        <w:t>      Стратегическое направление 1. Содействие в обеспечении финансовой безопасности</w:t>
      </w:r>
      <w:r>
        <w:br/>
      </w:r>
      <w:r>
        <w:rPr>
          <w:rFonts w:ascii="Times New Roman"/>
          <w:b w:val="false"/>
          <w:i w:val="false"/>
          <w:color w:val="000000"/>
          <w:sz w:val="28"/>
        </w:rPr>
        <w:t>
</w:t>
      </w:r>
      <w:r>
        <w:rPr>
          <w:rFonts w:ascii="Times New Roman"/>
          <w:b/>
          <w:i w:val="false"/>
          <w:color w:val="000000"/>
          <w:sz w:val="28"/>
        </w:rPr>
        <w:t>      Цель 1.1. Обеспечение полноты и своевременности поступлений в бюджет</w:t>
      </w:r>
      <w:r>
        <w:br/>
      </w:r>
      <w:r>
        <w:rPr>
          <w:rFonts w:ascii="Times New Roman"/>
          <w:b w:val="false"/>
          <w:i w:val="false"/>
          <w:color w:val="000000"/>
          <w:sz w:val="28"/>
        </w:rPr>
        <w:t>
</w:t>
      </w:r>
      <w:r>
        <w:rPr>
          <w:rFonts w:ascii="Times New Roman"/>
          <w:b/>
          <w:i w:val="false"/>
          <w:color w:val="000000"/>
          <w:sz w:val="28"/>
        </w:rPr>
        <w:t>      Коды бюджетных программ, направленных на достижение данной цели _001, 014, 016, 027, 072</w:t>
      </w:r>
      <w:r>
        <w:br/>
      </w:r>
      <w:r>
        <w:rPr>
          <w:rFonts w:ascii="Times New Roman"/>
          <w:b w:val="false"/>
          <w:i w:val="false"/>
          <w:color w:val="000000"/>
          <w:sz w:val="28"/>
        </w:rPr>
        <w:t>
</w:t>
      </w:r>
      <w:r>
        <w:rPr>
          <w:rFonts w:ascii="Times New Roman"/>
          <w:b w:val="false"/>
          <w:i w:val="false"/>
          <w:color w:val="ff0000"/>
          <w:sz w:val="28"/>
        </w:rPr>
        <w:t xml:space="preserve">      Сноска. Стратегическое направление 1 с изменениями, внесенными постановлением Правительства РК от 04.05.2014 </w:t>
      </w:r>
      <w:r>
        <w:rPr>
          <w:rFonts w:ascii="Times New Roman"/>
          <w:b w:val="false"/>
          <w:i w:val="false"/>
          <w:color w:val="000000"/>
          <w:sz w:val="28"/>
        </w:rPr>
        <w:t>№ 444</w:t>
      </w:r>
      <w:r>
        <w:rPr>
          <w:rFonts w:ascii="Times New Roman"/>
          <w:b w:val="false"/>
          <w:i w:val="false"/>
          <w:color w:val="ff0000"/>
          <w:sz w:val="28"/>
        </w:rPr>
        <w:t>.</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9"/>
        <w:gridCol w:w="2021"/>
        <w:gridCol w:w="909"/>
        <w:gridCol w:w="1127"/>
        <w:gridCol w:w="1103"/>
        <w:gridCol w:w="982"/>
        <w:gridCol w:w="934"/>
        <w:gridCol w:w="1007"/>
        <w:gridCol w:w="983"/>
        <w:gridCol w:w="1105"/>
      </w:tblGrid>
      <w:tr>
        <w:trPr>
          <w:trHeight w:val="30" w:hRule="atLeast"/>
        </w:trPr>
        <w:tc>
          <w:tcPr>
            <w:tcW w:w="3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Целевой индикатор</w:t>
            </w:r>
          </w:p>
        </w:tc>
        <w:tc>
          <w:tcPr>
            <w:tcW w:w="2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(отчет)</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(план)</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Увеличение доходов республиканского и местных бюджетов</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 МФ РК</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95" w:hRule="atLeast"/>
        </w:trPr>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Снижение доли убыточных организаций с государственным участием</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 финхоз деятельности организаций с гос. Участием</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58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Пути, средства и методы достижения целевого индикатора:</w:t>
            </w:r>
            <w:r>
              <w:br/>
            </w:r>
            <w:r>
              <w:rPr>
                <w:rFonts w:ascii="Times New Roman"/>
                <w:b w:val="false"/>
                <w:i w:val="false"/>
                <w:color w:val="000000"/>
                <w:sz w:val="20"/>
              </w:rPr>
              <w:t>
</w:t>
            </w:r>
            <w:r>
              <w:rPr>
                <w:rFonts w:ascii="Times New Roman"/>
                <w:b/>
                <w:i w:val="false"/>
                <w:color w:val="000000"/>
                <w:sz w:val="20"/>
              </w:rPr>
              <w:t>Задача 1.1.1. Повышение эффективности сбора налогов</w:t>
            </w:r>
          </w:p>
        </w:tc>
      </w:tr>
      <w:tr>
        <w:trPr>
          <w:trHeight w:val="870" w:hRule="atLeast"/>
        </w:trPr>
        <w:tc>
          <w:tcPr>
            <w:tcW w:w="3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2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10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(отчет)</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(план)</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Исполнение прогноза по доходам республиканского и местных бюджетов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Отчетные данные МФ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Исполнение прогноза по поступлениям в Национальный фонд</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Отчетные данные МФ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Доля недоимки (за исключением безнадежной к взысканию) в доходах консолидированного бюджета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 ИН ИС (ЭКНА)</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Удельный вес взыскания до начисленных сумм, за исключением безнадежной к взысканию</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 ИНИС (ЭКНА)</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9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w:t>
            </w:r>
          </w:p>
        </w:tc>
      </w:tr>
      <w:tr>
        <w:trPr>
          <w:trHeight w:val="720" w:hRule="atLeast"/>
        </w:trPr>
        <w:tc>
          <w:tcPr>
            <w:tcW w:w="0" w:type="auto"/>
            <w:gridSpan w:val="5"/>
            <w:vMerge/>
            <w:tcBorders>
              <w:top w:val="nil"/>
              <w:left w:val="single" w:color="cfcfcf" w:sz="5"/>
              <w:bottom w:val="single" w:color="cfcfcf" w:sz="5"/>
              <w:right w:val="single" w:color="cfcfcf" w:sz="5"/>
            </w:tcBorders>
          </w:tc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Проведение налоговых проверок в крупных компаниях нефтегазового сектора с целью расширения налогооблагаемой базы, увеличения поступления налогов в доходную часть бюджета</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Реинжиниринг бизнес-процессов</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Составление ежегодного отчета о формировании и использовании Национального фонда Республики Казахстан и разработка проекта правового акта по его утверждению</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Оценка исполнения плана по доходам (без учета поступлений трансфертов)</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Проведение комплекса работ по переходу на режим электронной отчетности.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Пути, средства и методы достижения целевого индикатора:</w:t>
            </w:r>
            <w:r>
              <w:br/>
            </w:r>
            <w:r>
              <w:rPr>
                <w:rFonts w:ascii="Times New Roman"/>
                <w:b w:val="false"/>
                <w:i w:val="false"/>
                <w:color w:val="000000"/>
                <w:sz w:val="20"/>
              </w:rPr>
              <w:t>
</w:t>
            </w:r>
            <w:r>
              <w:rPr>
                <w:rFonts w:ascii="Times New Roman"/>
                <w:b/>
                <w:i w:val="false"/>
                <w:color w:val="000000"/>
                <w:sz w:val="20"/>
              </w:rPr>
              <w:t>Задача 1.1.2. Обеспечение полноты и своевременности уплаты таможенных платежей</w:t>
            </w:r>
          </w:p>
        </w:tc>
      </w:tr>
      <w:tr>
        <w:trPr>
          <w:trHeight w:val="585" w:hRule="atLeast"/>
        </w:trPr>
        <w:tc>
          <w:tcPr>
            <w:tcW w:w="3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2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(отчет)</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(план)</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Исполнение прогноза по доходам республиканского бюджета</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w:t>
            </w:r>
            <w:r>
              <w:br/>
            </w:r>
            <w:r>
              <w:rPr>
                <w:rFonts w:ascii="Times New Roman"/>
                <w:b w:val="false"/>
                <w:i w:val="false"/>
                <w:color w:val="000000"/>
                <w:sz w:val="20"/>
              </w:rPr>
              <w:t>
</w:t>
            </w: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Казначейства</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Увеличение доли взыскания задолженности по таможенным платежам, налогам и пеням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 КТК</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Контроль предоставления зачетов, отсрочек льгот по НДС по уплате таможенных платежей и налогов</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6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Контроль и мониторинг поступления таможенных платежей и налогов</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Контроль правильности определения таможенной стоимости</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Контроль правильности применения классификации товаров</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Пути, средства и методы достижения целевого индикатора:</w:t>
            </w:r>
            <w:r>
              <w:br/>
            </w:r>
            <w:r>
              <w:rPr>
                <w:rFonts w:ascii="Times New Roman"/>
                <w:b w:val="false"/>
                <w:i w:val="false"/>
                <w:color w:val="000000"/>
                <w:sz w:val="20"/>
              </w:rPr>
              <w:t>
</w:t>
            </w:r>
            <w:r>
              <w:rPr>
                <w:rFonts w:ascii="Times New Roman"/>
                <w:b/>
                <w:i w:val="false"/>
                <w:color w:val="000000"/>
                <w:sz w:val="20"/>
              </w:rPr>
              <w:t>Задача 1.1.3. Обеспечение своевременного погашения бюджетных кредитов</w:t>
            </w:r>
          </w:p>
        </w:tc>
      </w:tr>
      <w:tr>
        <w:trPr>
          <w:trHeight w:val="30" w:hRule="atLeast"/>
        </w:trPr>
        <w:tc>
          <w:tcPr>
            <w:tcW w:w="3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2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(отчет)</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(план)</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30" w:hRule="atLeast"/>
        </w:trPr>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Доля погашенных бюджетных кредитов</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 «Мониторинг бюджетного процесса»</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9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w:t>
            </w:r>
          </w:p>
        </w:tc>
      </w:tr>
      <w:tr>
        <w:trPr>
          <w:trHeight w:val="585" w:hRule="atLeast"/>
        </w:trPr>
        <w:tc>
          <w:tcPr>
            <w:tcW w:w="0" w:type="auto"/>
            <w:gridSpan w:val="5"/>
            <w:vMerge/>
            <w:tcBorders>
              <w:top w:val="nil"/>
              <w:left w:val="single" w:color="cfcfcf" w:sz="5"/>
              <w:bottom w:val="single" w:color="cfcfcf" w:sz="5"/>
              <w:right w:val="single" w:color="cfcfcf" w:sz="5"/>
            </w:tcBorders>
          </w:tc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Контроль и мониторинг за исполнением заемщиком обязательств по кредитным договорам</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Принятие мер реагирования в случае неисполнения заемщиком обязательств по бюджетным кредитам</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Пути, средства и методы достижения целевого индикатора:</w:t>
            </w:r>
            <w:r>
              <w:br/>
            </w:r>
            <w:r>
              <w:rPr>
                <w:rFonts w:ascii="Times New Roman"/>
                <w:b w:val="false"/>
                <w:i w:val="false"/>
                <w:color w:val="000000"/>
                <w:sz w:val="20"/>
              </w:rPr>
              <w:t>
</w:t>
            </w:r>
            <w:r>
              <w:rPr>
                <w:rFonts w:ascii="Times New Roman"/>
                <w:b/>
                <w:i w:val="false"/>
                <w:color w:val="000000"/>
                <w:sz w:val="20"/>
              </w:rPr>
              <w:t>Задача 1.1.4. Обеспечение эффективного регулирования государственной собственностью</w:t>
            </w:r>
          </w:p>
        </w:tc>
      </w:tr>
      <w:tr>
        <w:trPr>
          <w:trHeight w:val="1110" w:hRule="atLeast"/>
        </w:trPr>
        <w:tc>
          <w:tcPr>
            <w:tcW w:w="3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2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11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(отчет)</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(план)</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30" w:hRule="atLeast"/>
        </w:trPr>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Доля рекомендаций, принятых государственными органами и объектами мониторинга эффективности управления государственным имуществом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Отчеты независимых консалтинговых фирм, осуществляющих обследования</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Доля рекомендаций, принятых государственными органами и объектами государственного мониторинга собственности в отраслях экономики, имеющих стратегическое значение</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Отчеты консалтинговых фирм по результатам проведенного мониторинга</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Формирование перечня объектов мониторинга эффективности управления государственным имуществом, в том числе государственными предприятиями и юридическими лицами с участием государства</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Формирование перечня объектов государственного мониторинга собственности в отраслях экономики, имеющих стратегическое значение на текущий период</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Проведение мониторинга эффективности управления государственным имуществом, в том числе государственными предприятиями и юридическими лицами с участием государства</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Проведение государственного мониторинга собственности в отраслях экономики, имеющих стратегическое значение</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Выработка рекомендаций объектам мониторинга по повышению эффективности управления государственными предприятиями и юридическими лицами с участием государства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Выработка рекомендаций объектам мониторинга, направленных на повышение эффективности деятельности объектов государственного мониторинга собственности в отраслях экономики, имеющих стратегическое значение</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Отслеживание исполненных рекомендаций, направленных объектам мониторинга</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Формирование и включение в электронную базу отчетов о результатах обследования объектов мониторинга с государственным участием и объектов в отраслях экономики, имеющих стратегическое значение</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Обеспечение взаимодействия реестра государственного имущества с существующими информационными системами государственных органов по объектам учета реестра государственного имущества, определенным Правилами ведения реестра государственного имущества</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Своевременность проведения корпоративных процедур АО и ТОО с государственным участием по утверждению годовой финансовой отчетности, распределению чистого дохода предшествующего года и выплате дивидендов (части чистого дохода) по итогам финансового года</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Сбор и анализ информации о поступлениях в республиканский бюджет части чистого дохода республиканских государственных предприятий, а также прогнозных данных об отчислениях части чистого дохода республиканских государственных предприятий на предстоящий период</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Принятие мер о ликвидации бездействующих государственных предприятий и юридических лиц с государственным участием</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Пути, средства и методы достижения целевого индикатора:</w:t>
            </w:r>
            <w:r>
              <w:br/>
            </w:r>
            <w:r>
              <w:rPr>
                <w:rFonts w:ascii="Times New Roman"/>
                <w:b w:val="false"/>
                <w:i w:val="false"/>
                <w:color w:val="000000"/>
                <w:sz w:val="20"/>
              </w:rPr>
              <w:t>
</w:t>
            </w:r>
            <w:r>
              <w:rPr>
                <w:rFonts w:ascii="Times New Roman"/>
                <w:b/>
                <w:i w:val="false"/>
                <w:color w:val="000000"/>
                <w:sz w:val="20"/>
              </w:rPr>
              <w:t>Задача 1.1.5. Эффективное использование имущества, закрепленного за республиканскими государственными юридическими лицами</w:t>
            </w:r>
          </w:p>
        </w:tc>
      </w:tr>
      <w:tr>
        <w:trPr>
          <w:trHeight w:val="30" w:hRule="atLeast"/>
        </w:trPr>
        <w:tc>
          <w:tcPr>
            <w:tcW w:w="3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2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(отчет)</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(план)</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30" w:hRule="atLeast"/>
        </w:trPr>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Доля согласованного и изъятого имущества республиканских государственных юридических лиц</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 МФ РК</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Доля электронных аукционов в общем объеме проводимых аукционов по продаже объектов республиканской собственности</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реестра государственного имущества</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w:t>
            </w:r>
          </w:p>
        </w:tc>
      </w:tr>
      <w:tr>
        <w:trPr>
          <w:trHeight w:val="540" w:hRule="atLeast"/>
        </w:trPr>
        <w:tc>
          <w:tcPr>
            <w:tcW w:w="0" w:type="auto"/>
            <w:gridSpan w:val="5"/>
            <w:vMerge/>
            <w:tcBorders>
              <w:top w:val="nil"/>
              <w:left w:val="single" w:color="cfcfcf" w:sz="5"/>
              <w:bottom w:val="single" w:color="cfcfcf" w:sz="5"/>
              <w:right w:val="single" w:color="cfcfcf" w:sz="5"/>
            </w:tcBorders>
          </w:tc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Рассмотрение обращений государственных органов и местных исполнительных органов по распоряжению имущества республиканских государственных юридических лиц или мотивированный отказ</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Предоставление в аренду имущества республиканской государственной собственности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Контроль целевого использования имущества, закрепленного за республиканскими государственными юридическими лицами в соответствии с утвержденным перечнем республиканских государственных юридических лиц</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Формирование графика контроля целевого использования имущества республиканских государственных юридических лиц, проведение территориальными органами КГИП контроля, согласование государственными органами по дальнейшему использованию излишнего, неиспользуемого либо используемого не по назначению имущества и изъятие излишнего имущества, в том числе в судебном порядке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Внедрение в Реестр государственного имущества дополнительных категорий объектов учета Реестра государственного имущества, определенных Правилами ведения Реестра государственного имущества</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Проведение оценки стоимости объектов республиканской собственности, подлежащих приватизации</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Выставление на торги объектов республиканской собственности, подлежащих приватизации</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Цель 1.2. Управление и мониторинг рисков государственного и гарантированного государственного долга, долга по поручительствам государства и долга квазигосударственного сектора</w:t>
            </w:r>
            <w:r>
              <w:br/>
            </w:r>
            <w:r>
              <w:rPr>
                <w:rFonts w:ascii="Times New Roman"/>
                <w:b w:val="false"/>
                <w:i w:val="false"/>
                <w:color w:val="000000"/>
                <w:sz w:val="20"/>
              </w:rPr>
              <w:t>
</w:t>
            </w:r>
            <w:r>
              <w:rPr>
                <w:rFonts w:ascii="Times New Roman"/>
                <w:b/>
                <w:i w:val="false"/>
                <w:color w:val="000000"/>
                <w:sz w:val="20"/>
              </w:rPr>
              <w:t>Код бюджетной программы направленной на достижение данной цели _001, 002, 011, 013</w:t>
            </w:r>
          </w:p>
        </w:tc>
      </w:tr>
      <w:tr>
        <w:trPr>
          <w:trHeight w:val="30" w:hRule="atLeast"/>
        </w:trPr>
        <w:tc>
          <w:tcPr>
            <w:tcW w:w="3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Целевой индикатор</w:t>
            </w:r>
          </w:p>
        </w:tc>
        <w:tc>
          <w:tcPr>
            <w:tcW w:w="2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(отчет)</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(план)</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30" w:hRule="atLeast"/>
        </w:trPr>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Долговая нагрузка на республиканский бюджет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r>
      <w:tr>
        <w:trPr>
          <w:trHeight w:val="30" w:hRule="atLeast"/>
        </w:trPr>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Индикатор Глобального индекса конкурентоспособности «Кредитный рейтинг страны»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ГИК ВЭФ</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Позиция</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Пути, средства и методы достижения целевого индикатора:</w:t>
            </w:r>
            <w:r>
              <w:br/>
            </w:r>
            <w:r>
              <w:rPr>
                <w:rFonts w:ascii="Times New Roman"/>
                <w:b w:val="false"/>
                <w:i w:val="false"/>
                <w:color w:val="000000"/>
                <w:sz w:val="20"/>
              </w:rPr>
              <w:t>
</w:t>
            </w:r>
            <w:r>
              <w:rPr>
                <w:rFonts w:ascii="Times New Roman"/>
                <w:b/>
                <w:i w:val="false"/>
                <w:color w:val="000000"/>
                <w:sz w:val="20"/>
              </w:rPr>
              <w:t>Задача 1.2.1. Обеспечение финансирования дефицита бюджета</w:t>
            </w:r>
          </w:p>
        </w:tc>
      </w:tr>
      <w:tr>
        <w:trPr>
          <w:trHeight w:val="30" w:hRule="atLeast"/>
        </w:trPr>
        <w:tc>
          <w:tcPr>
            <w:tcW w:w="3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2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(отчет)</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(план)</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30" w:hRule="atLeast"/>
        </w:trPr>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Объем финансирования дефицита республиканского бюджета в соответствии с потребностью бюджета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ЗРК «О республиканском бюджете»</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Доля аудируемых инвестиционных проектов в соответствии с условиями Соглашений о займе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приема-передачи оказанных услуг</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Привлечение займов от имени Правительства РК по каждому отдельному договору займа</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Выпуск государственных ценных бумаг на регулярной основе в целях построения кривой доходности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Финансирование дефицита республиканского бюджета в рамках установленных параметров правительственного долга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Проведение конкурса по найму аудитора для проведения аудита инвестиционных проектов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Пути, средства и методы достижения целевого индикатора:</w:t>
            </w:r>
            <w:r>
              <w:br/>
            </w:r>
            <w:r>
              <w:rPr>
                <w:rFonts w:ascii="Times New Roman"/>
                <w:b w:val="false"/>
                <w:i w:val="false"/>
                <w:color w:val="000000"/>
                <w:sz w:val="20"/>
              </w:rPr>
              <w:t>
</w:t>
            </w:r>
            <w:r>
              <w:rPr>
                <w:rFonts w:ascii="Times New Roman"/>
                <w:b/>
                <w:i w:val="false"/>
                <w:color w:val="000000"/>
                <w:sz w:val="20"/>
              </w:rPr>
              <w:t>Задача 1.2.2. Выполнение обязательств по погашению и обслуживанию правительственного долга перед заимодателями</w:t>
            </w:r>
          </w:p>
        </w:tc>
      </w:tr>
      <w:tr>
        <w:trPr>
          <w:trHeight w:val="30" w:hRule="atLeast"/>
        </w:trPr>
        <w:tc>
          <w:tcPr>
            <w:tcW w:w="3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2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(отчет)</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(план)</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30" w:hRule="atLeast"/>
        </w:trPr>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Своевременное осуществление платежей по погашению основного долга, выплате вознаграждений и прочих платежей, вытекающих из условий заимствования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 МФ</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Определение объемов погашения и обслуживания правительственного долга</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Обеспечение выплат согласно графика по погашению и обслуживанию правительственного долга из средств республиканского бюджета на предстоящий месяц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Проведение ежегодной оценки текущего состояния и прогноза на предстоящий плановый период государственного и гарантированного государством долга, долга по поручительствам государства</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Осуществление мониторинга государственного и гарантированного государством долга, долга по поручительствам государства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Пути, средства и методы достижения целевого индикатора:</w:t>
            </w:r>
            <w:r>
              <w:br/>
            </w:r>
            <w:r>
              <w:rPr>
                <w:rFonts w:ascii="Times New Roman"/>
                <w:b w:val="false"/>
                <w:i w:val="false"/>
                <w:color w:val="000000"/>
                <w:sz w:val="20"/>
              </w:rPr>
              <w:t>
</w:t>
            </w:r>
            <w:r>
              <w:rPr>
                <w:rFonts w:ascii="Times New Roman"/>
                <w:b/>
                <w:i w:val="false"/>
                <w:color w:val="000000"/>
                <w:sz w:val="20"/>
              </w:rPr>
              <w:t>Задача 1.2.3. Мониторинг соблюдения субъектами квазигосударственного сектора установленного размера внутреннего долга, с целью поддержания макроэкономической стабильности</w:t>
            </w:r>
          </w:p>
        </w:tc>
      </w:tr>
      <w:tr>
        <w:trPr>
          <w:trHeight w:val="30" w:hRule="atLeast"/>
        </w:trPr>
        <w:tc>
          <w:tcPr>
            <w:tcW w:w="3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2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(отчет)</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(план)</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30" w:hRule="atLeast"/>
        </w:trPr>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Оценка состояния совокупного внутреннего долга субъектов квазигосударственного сектора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Ежегодный статистический сборник РК</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ВВП</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Формирование и обеспечение представления субъектами квазигосударственного сектора информации по внутренним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Анализ информации представленной субъектами квазигосударственного сектора по внутренним займам</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Пути, средства и методы достижения целевого индикатора:</w:t>
            </w:r>
            <w:r>
              <w:br/>
            </w:r>
            <w:r>
              <w:rPr>
                <w:rFonts w:ascii="Times New Roman"/>
                <w:b w:val="false"/>
                <w:i w:val="false"/>
                <w:color w:val="000000"/>
                <w:sz w:val="20"/>
              </w:rPr>
              <w:t>
</w:t>
            </w:r>
            <w:r>
              <w:rPr>
                <w:rFonts w:ascii="Times New Roman"/>
                <w:b/>
                <w:i w:val="false"/>
                <w:color w:val="000000"/>
                <w:sz w:val="20"/>
              </w:rPr>
              <w:t>Задача 1.2.4. Своевременное исполнение обязательств по государственным гарантиям</w:t>
            </w:r>
          </w:p>
        </w:tc>
      </w:tr>
      <w:tr>
        <w:trPr>
          <w:trHeight w:val="1005" w:hRule="atLeast"/>
        </w:trPr>
        <w:tc>
          <w:tcPr>
            <w:tcW w:w="3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2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10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(отчет)</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(план)</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30" w:hRule="atLeast"/>
        </w:trPr>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Доля исполненных обязательств по государственным гарантиям</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Кредитные соглашения</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Планирование объемов погашения и обслуживания гарантированных государством займов</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Разработка и утверждение перечня заемщиков по негосударственным займам, обеспеченным государственными гарантиями, погашение и обслуживание которых предусмотрено в республиканском бюджете на соответствующий финансовый год</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Погашение и обслуживание гарантированных государством займов</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Цель 1.3. Создание условий для эффективного исполнения бюджета и обеспечения финансовой дисциплины </w:t>
            </w:r>
            <w:r>
              <w:br/>
            </w:r>
            <w:r>
              <w:rPr>
                <w:rFonts w:ascii="Times New Roman"/>
                <w:b w:val="false"/>
                <w:i w:val="false"/>
                <w:color w:val="000000"/>
                <w:sz w:val="20"/>
              </w:rPr>
              <w:t>
</w:t>
            </w:r>
            <w:r>
              <w:rPr>
                <w:rFonts w:ascii="Times New Roman"/>
                <w:b/>
                <w:i w:val="false"/>
                <w:color w:val="000000"/>
                <w:sz w:val="20"/>
              </w:rPr>
              <w:t>Коды бюджетных программ направленных на достижение данной цели_001, 061</w:t>
            </w:r>
          </w:p>
        </w:tc>
      </w:tr>
      <w:tr>
        <w:trPr>
          <w:trHeight w:val="30" w:hRule="atLeast"/>
        </w:trPr>
        <w:tc>
          <w:tcPr>
            <w:tcW w:w="3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Целевой индикатор</w:t>
            </w:r>
          </w:p>
        </w:tc>
        <w:tc>
          <w:tcPr>
            <w:tcW w:w="2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(отчет)</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(план)</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30" w:hRule="atLeast"/>
        </w:trPr>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Удельный вес АБП с исполнением расходов не ниже среднереспубликанского значения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 «Мониторинг  бюджетного  процесса»</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30" w:hRule="atLeast"/>
        </w:trPr>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Охват финансовым контролем объектов, рекомендованных СУР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w:t>
            </w:r>
            <w:r>
              <w:br/>
            </w:r>
            <w:r>
              <w:rPr>
                <w:rFonts w:ascii="Times New Roman"/>
                <w:b w:val="false"/>
                <w:i w:val="false"/>
                <w:color w:val="000000"/>
                <w:sz w:val="20"/>
              </w:rPr>
              <w:t>
</w:t>
            </w:r>
            <w:r>
              <w:rPr>
                <w:rFonts w:ascii="Times New Roman"/>
                <w:b w:val="false"/>
                <w:i w:val="false"/>
                <w:color w:val="000000"/>
                <w:sz w:val="20"/>
              </w:rPr>
              <w:t>данные подсистемы «Финансовый контроль»</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Пути, средства и методы достижения целевого индикатора:</w:t>
            </w:r>
            <w:r>
              <w:br/>
            </w:r>
            <w:r>
              <w:rPr>
                <w:rFonts w:ascii="Times New Roman"/>
                <w:b w:val="false"/>
                <w:i w:val="false"/>
                <w:color w:val="000000"/>
                <w:sz w:val="20"/>
              </w:rPr>
              <w:t>
</w:t>
            </w:r>
            <w:r>
              <w:rPr>
                <w:rFonts w:ascii="Times New Roman"/>
                <w:b/>
                <w:i w:val="false"/>
                <w:color w:val="000000"/>
                <w:sz w:val="20"/>
              </w:rPr>
              <w:t>Задача 1.3.1 Повышение качества бюджетного мониторинга</w:t>
            </w:r>
          </w:p>
        </w:tc>
      </w:tr>
      <w:tr>
        <w:trPr>
          <w:trHeight w:val="30" w:hRule="atLeast"/>
        </w:trPr>
        <w:tc>
          <w:tcPr>
            <w:tcW w:w="3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2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(отчет)</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(план)</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30" w:hRule="atLeast"/>
        </w:trPr>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Полнота охвата бюджетным мониторингом бюджетных программ АБП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 «Мониторинг бюджетного процесса»</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Повышение качества проверок служб внутреннего контроля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 КФК</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Уровень исполнения представлений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 КФК</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Анализ исполнения поступлений республиканского бюджета</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Анализ исполнения расходов республиканского бюджета и освоения регионами целевых трансфертов выделенных из республиканского бюджета</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Формирование ежемесячных аналитических отчетов о реализации целевых трансфертов, выделенных из республиканского бюджета</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Прогнозирование ожидаемого исполнения расходной части республиканского бюджета, а также бюджетных программ, реализуемых МИО за счет целевых трансфертов, начиная с итогов девяти месяцев текущего финансового года</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Рассмотрение ходатайств государственных органов о выделении средств из резервов Правительства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Оказания методической помощи службам внутреннего контроля, по проведенным контрольным мероприятиям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Принятие мер по устранению выявленных нарушений.</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Пути, средства и методы достижения целевого индикатора:</w:t>
            </w:r>
            <w:r>
              <w:br/>
            </w:r>
            <w:r>
              <w:rPr>
                <w:rFonts w:ascii="Times New Roman"/>
                <w:b w:val="false"/>
                <w:i w:val="false"/>
                <w:color w:val="000000"/>
                <w:sz w:val="20"/>
              </w:rPr>
              <w:t>
</w:t>
            </w:r>
            <w:r>
              <w:rPr>
                <w:rFonts w:ascii="Times New Roman"/>
                <w:b/>
                <w:i w:val="false"/>
                <w:color w:val="000000"/>
                <w:sz w:val="20"/>
              </w:rPr>
              <w:t>Задача 1.3.2 Совершенствование бухгалтерского и бюджетного учета и отчетности</w:t>
            </w:r>
          </w:p>
        </w:tc>
      </w:tr>
      <w:tr>
        <w:trPr>
          <w:trHeight w:val="30" w:hRule="atLeast"/>
        </w:trPr>
        <w:tc>
          <w:tcPr>
            <w:tcW w:w="3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2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(отчет)</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(план)</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30" w:hRule="atLeast"/>
        </w:trPr>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1.Консолидированная финансовая отчетность для представления в Правительство РК</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отчетность АБП</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Обеспечение перевода МСФООС на государственном и/или русском языках в соответствии с последней версией, в том числе оплата лицензионного сбора за использование защищенных авторским правом материалов по стандартам МСФООС</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Разработка методологии по формированию консолидированной финансовой отчетности</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Разработка Единого плана счетов в целях гармонизации бюджетной и финансовой отчетности и получение заключения международных экспертов</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Разъяснения и публикации по вопросам бухгалтерского и бюджетного учета, отчетности и исполнения бюджета</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Цель. 1.4. Оказание мер государственной и социальной поддержки</w:t>
            </w:r>
            <w:r>
              <w:br/>
            </w:r>
            <w:r>
              <w:rPr>
                <w:rFonts w:ascii="Times New Roman"/>
                <w:b w:val="false"/>
                <w:i w:val="false"/>
                <w:color w:val="000000"/>
                <w:sz w:val="20"/>
              </w:rPr>
              <w:t>
</w:t>
            </w:r>
            <w:r>
              <w:rPr>
                <w:rFonts w:ascii="Times New Roman"/>
                <w:b/>
                <w:i w:val="false"/>
                <w:color w:val="000000"/>
                <w:sz w:val="20"/>
              </w:rPr>
              <w:t>Коды бюджетных программ, направленных на достижение данной цели</w:t>
            </w:r>
            <w:r>
              <w:br/>
            </w:r>
            <w:r>
              <w:rPr>
                <w:rFonts w:ascii="Times New Roman"/>
                <w:b w:val="false"/>
                <w:i w:val="false"/>
                <w:color w:val="000000"/>
                <w:sz w:val="20"/>
              </w:rPr>
              <w:t>
</w:t>
            </w:r>
            <w:r>
              <w:rPr>
                <w:rFonts w:ascii="Times New Roman"/>
                <w:b/>
                <w:i w:val="false"/>
                <w:color w:val="000000"/>
                <w:sz w:val="20"/>
              </w:rPr>
              <w:t>003, 019, 038, 046</w:t>
            </w:r>
          </w:p>
        </w:tc>
      </w:tr>
      <w:tr>
        <w:trPr>
          <w:trHeight w:val="30" w:hRule="atLeast"/>
        </w:trPr>
        <w:tc>
          <w:tcPr>
            <w:tcW w:w="3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Целевой индикатор</w:t>
            </w:r>
          </w:p>
        </w:tc>
        <w:tc>
          <w:tcPr>
            <w:tcW w:w="2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(отчет)</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(план)</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1410" w:hRule="atLeast"/>
        </w:trPr>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Количество участников</w:t>
            </w:r>
            <w:r>
              <w:br/>
            </w:r>
            <w:r>
              <w:rPr>
                <w:rFonts w:ascii="Times New Roman"/>
                <w:b w:val="false"/>
                <w:i w:val="false"/>
                <w:color w:val="000000"/>
                <w:sz w:val="20"/>
              </w:rPr>
              <w:t>
</w:t>
            </w:r>
            <w:r>
              <w:rPr>
                <w:rFonts w:ascii="Times New Roman"/>
                <w:b w:val="false"/>
                <w:i w:val="false"/>
                <w:color w:val="000000"/>
                <w:sz w:val="20"/>
              </w:rPr>
              <w:t>Программы</w:t>
            </w:r>
            <w:r>
              <w:br/>
            </w:r>
            <w:r>
              <w:rPr>
                <w:rFonts w:ascii="Times New Roman"/>
                <w:b w:val="false"/>
                <w:i w:val="false"/>
                <w:color w:val="000000"/>
                <w:sz w:val="20"/>
              </w:rPr>
              <w:t>
</w:t>
            </w:r>
            <w:r>
              <w:rPr>
                <w:rFonts w:ascii="Times New Roman"/>
                <w:b w:val="false"/>
                <w:i w:val="false"/>
                <w:color w:val="000000"/>
                <w:sz w:val="20"/>
              </w:rPr>
              <w:t>посткризисного</w:t>
            </w:r>
            <w:r>
              <w:br/>
            </w:r>
            <w:r>
              <w:rPr>
                <w:rFonts w:ascii="Times New Roman"/>
                <w:b w:val="false"/>
                <w:i w:val="false"/>
                <w:color w:val="000000"/>
                <w:sz w:val="20"/>
              </w:rPr>
              <w:t>
</w:t>
            </w:r>
            <w:r>
              <w:rPr>
                <w:rFonts w:ascii="Times New Roman"/>
                <w:b w:val="false"/>
                <w:i w:val="false"/>
                <w:color w:val="000000"/>
                <w:sz w:val="20"/>
              </w:rPr>
              <w:t>восстановления, находящихся в процессе оздоровления</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Планы оздоровлений</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Предприятие</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30" w:hRule="atLeast"/>
        </w:trPr>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Государственная поддержка граждан, получивших льготные жилищные кредиты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«Банк ЦентрКредит»</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Индикатор «Разрешение неплатежеспособности» рейтинга Всемирного банка «Doing Business»</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Всемирного</w:t>
            </w:r>
            <w:r>
              <w:br/>
            </w:r>
            <w:r>
              <w:rPr>
                <w:rFonts w:ascii="Times New Roman"/>
                <w:b w:val="false"/>
                <w:i w:val="false"/>
                <w:color w:val="000000"/>
                <w:sz w:val="20"/>
              </w:rPr>
              <w:t>
</w:t>
            </w:r>
            <w:r>
              <w:rPr>
                <w:rFonts w:ascii="Times New Roman"/>
                <w:b w:val="false"/>
                <w:i w:val="false"/>
                <w:color w:val="000000"/>
                <w:sz w:val="20"/>
              </w:rPr>
              <w:t>банка</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Позиция</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Коэффициент погашения требований кредиторов по должникам, завершившим процедуры реабилитации и банкротства (без учета должников, не имеющих активов)</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Отчеты ТПК</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Пути, средства и методы достижения целевого индикатора:</w:t>
            </w:r>
            <w:r>
              <w:br/>
            </w:r>
            <w:r>
              <w:rPr>
                <w:rFonts w:ascii="Times New Roman"/>
                <w:b w:val="false"/>
                <w:i w:val="false"/>
                <w:color w:val="000000"/>
                <w:sz w:val="20"/>
              </w:rPr>
              <w:t>
</w:t>
            </w:r>
            <w:r>
              <w:rPr>
                <w:rFonts w:ascii="Times New Roman"/>
                <w:b/>
                <w:i w:val="false"/>
                <w:color w:val="000000"/>
                <w:sz w:val="20"/>
              </w:rPr>
              <w:t>Задача 1.4.1. Оказание мер государственной поддержки</w:t>
            </w:r>
          </w:p>
        </w:tc>
      </w:tr>
      <w:tr>
        <w:trPr>
          <w:trHeight w:val="30" w:hRule="atLeast"/>
        </w:trPr>
        <w:tc>
          <w:tcPr>
            <w:tcW w:w="3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2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(отчет)</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(план)</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30" w:hRule="atLeast"/>
        </w:trPr>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Доля участников Программы, в отношении которых обеспечено субсидирование процентной ставки вознаграждения, к общему количеству участников Программы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w:t>
            </w:r>
            <w:r>
              <w:br/>
            </w:r>
            <w:r>
              <w:rPr>
                <w:rFonts w:ascii="Times New Roman"/>
                <w:b w:val="false"/>
                <w:i w:val="false"/>
                <w:color w:val="000000"/>
                <w:sz w:val="20"/>
              </w:rPr>
              <w:t>
</w:t>
            </w: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оператора</w:t>
            </w:r>
            <w:r>
              <w:br/>
            </w:r>
            <w:r>
              <w:rPr>
                <w:rFonts w:ascii="Times New Roman"/>
                <w:b w:val="false"/>
                <w:i w:val="false"/>
                <w:color w:val="000000"/>
                <w:sz w:val="20"/>
              </w:rPr>
              <w:t>
</w:t>
            </w:r>
            <w:r>
              <w:rPr>
                <w:rFonts w:ascii="Times New Roman"/>
                <w:b w:val="false"/>
                <w:i w:val="false"/>
                <w:color w:val="000000"/>
                <w:sz w:val="20"/>
              </w:rPr>
              <w:t>по субсидированию</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Доля участников Программы, планы реабилитации (оздоровления) которых охвачены мониторингом их реализации, к общему количеству участников Программы, планы реабилитации (оздоровления) которых подлежат мониторингу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Отчеты консалтинговых компаний</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75"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w:t>
            </w:r>
          </w:p>
        </w:tc>
      </w:tr>
      <w:tr>
        <w:trPr>
          <w:trHeight w:val="720" w:hRule="atLeast"/>
        </w:trPr>
        <w:tc>
          <w:tcPr>
            <w:tcW w:w="0" w:type="auto"/>
            <w:gridSpan w:val="5"/>
            <w:vMerge/>
            <w:tcBorders>
              <w:top w:val="nil"/>
              <w:left w:val="single" w:color="cfcfcf" w:sz="5"/>
              <w:bottom w:val="single" w:color="cfcfcf" w:sz="5"/>
              <w:right w:val="single" w:color="cfcfcf" w:sz="5"/>
            </w:tcBorders>
          </w:tc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Субсидирование процентной ставки по уже имеющимся займам (кредитам) и/или лизинговым операциям, купона по облигациям</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Заключение договоров субсидирования процентной ставки вознаграждения в рамках Программы</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Проведение мониторинга реализации планов реабилитации (оздоровлений) участников Программы</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Пути, средства и методы достижения целевого индикатора:</w:t>
            </w:r>
            <w:r>
              <w:br/>
            </w:r>
            <w:r>
              <w:rPr>
                <w:rFonts w:ascii="Times New Roman"/>
                <w:b w:val="false"/>
                <w:i w:val="false"/>
                <w:color w:val="000000"/>
                <w:sz w:val="20"/>
              </w:rPr>
              <w:t>
</w:t>
            </w:r>
            <w:r>
              <w:rPr>
                <w:rFonts w:ascii="Times New Roman"/>
                <w:b/>
                <w:i w:val="false"/>
                <w:color w:val="000000"/>
                <w:sz w:val="20"/>
              </w:rPr>
              <w:t>Задача 1.4.2. Социально-финансовая поддержка граждан</w:t>
            </w:r>
          </w:p>
        </w:tc>
      </w:tr>
      <w:tr>
        <w:trPr>
          <w:trHeight w:val="30" w:hRule="atLeast"/>
        </w:trPr>
        <w:tc>
          <w:tcPr>
            <w:tcW w:w="3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2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(отчет)</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(план)</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30" w:hRule="atLeast"/>
        </w:trPr>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Доля своевременно выплаченной курсовой разницы по льготным жилищным кредитам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«Банк Центр Кредит»</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Взаимодействие с АО «Банк Центр Кредит» по формированию бюджетной заявки для обеспечения государственной поддержки граждан, получивших льготные жилищные кредиты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Пути, средства и методы достижения целевого индикатора:</w:t>
            </w:r>
            <w:r>
              <w:br/>
            </w:r>
            <w:r>
              <w:rPr>
                <w:rFonts w:ascii="Times New Roman"/>
                <w:b w:val="false"/>
                <w:i w:val="false"/>
                <w:color w:val="000000"/>
                <w:sz w:val="20"/>
              </w:rPr>
              <w:t>
</w:t>
            </w:r>
            <w:r>
              <w:rPr>
                <w:rFonts w:ascii="Times New Roman"/>
                <w:b/>
                <w:i w:val="false"/>
                <w:color w:val="000000"/>
                <w:sz w:val="20"/>
              </w:rPr>
              <w:t>Задача 1.4.3. Повышение эффективности государственного контроля в сфере банкротства</w:t>
            </w:r>
          </w:p>
        </w:tc>
      </w:tr>
      <w:tr>
        <w:trPr>
          <w:trHeight w:val="1005" w:hRule="atLeast"/>
        </w:trPr>
        <w:tc>
          <w:tcPr>
            <w:tcW w:w="3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2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10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(отчет)</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(план)</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30" w:hRule="atLeast"/>
        </w:trPr>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Снижение стоимости затрат на ликвидацию должников банкротов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Отчеты ТПК</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Увеличение доли реабилитируемых организаций к общему количеству должников, вовлеченных в процедуры реабилитации и банкротства</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Отчеты ТПК</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Ликвидация должников - банкротов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Отчеты ТПК</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Совершенствование законодательства в области реабилитации и банкротства</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Осуществление камерального контроля за деятельностью конкурсных и реабилитационных управляющих, включая должников, вовлеченных в процедуры реабилитации и банкротства</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Реализация имущества (активов) должников банкротов через электронный аукцион</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Проведение семинар-совещаний, круглых столов, публикации в СМИ, интернет-конференции, разработка брошюр, видео-роликов и др. по пропаганде законодательства по вопросам реабилитации и банкротства</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92" w:id="28"/>
    <w:p>
      <w:pPr>
        <w:spacing w:after="0"/>
        <w:ind w:left="0"/>
        <w:jc w:val="both"/>
      </w:pPr>
      <w:r>
        <w:rPr>
          <w:rFonts w:ascii="Times New Roman"/>
          <w:b w:val="false"/>
          <w:i w:val="false"/>
          <w:color w:val="000000"/>
          <w:sz w:val="28"/>
        </w:rPr>
        <w:t>
</w:t>
      </w:r>
      <w:r>
        <w:rPr>
          <w:rFonts w:ascii="Times New Roman"/>
          <w:b/>
          <w:i w:val="false"/>
          <w:color w:val="000000"/>
          <w:sz w:val="28"/>
        </w:rPr>
        <w:t>      Стратегическое направление 2. Обеспечение качества государственных услуг и эффективности исполняемых функций</w:t>
      </w:r>
      <w:r>
        <w:br/>
      </w:r>
      <w:r>
        <w:rPr>
          <w:rFonts w:ascii="Times New Roman"/>
          <w:b w:val="false"/>
          <w:i w:val="false"/>
          <w:color w:val="000000"/>
          <w:sz w:val="28"/>
        </w:rPr>
        <w:t>
</w:t>
      </w:r>
      <w:r>
        <w:rPr>
          <w:rFonts w:ascii="Times New Roman"/>
          <w:b/>
          <w:i w:val="false"/>
          <w:color w:val="000000"/>
          <w:sz w:val="28"/>
        </w:rPr>
        <w:t>      Цель 2.1. Обеспечение эффективности оказания государственных услуг</w:t>
      </w:r>
      <w:r>
        <w:br/>
      </w:r>
      <w:r>
        <w:rPr>
          <w:rFonts w:ascii="Times New Roman"/>
          <w:b w:val="false"/>
          <w:i w:val="false"/>
          <w:color w:val="000000"/>
          <w:sz w:val="28"/>
        </w:rPr>
        <w:t>
</w:t>
      </w:r>
      <w:r>
        <w:rPr>
          <w:rFonts w:ascii="Times New Roman"/>
          <w:b/>
          <w:i w:val="false"/>
          <w:color w:val="000000"/>
          <w:sz w:val="28"/>
        </w:rPr>
        <w:t>      Коды бюджетных программ, направленных на достижение данной цели_001, 014, 021, 026, 040, 072</w:t>
      </w:r>
      <w:r>
        <w:br/>
      </w:r>
      <w:r>
        <w:rPr>
          <w:rFonts w:ascii="Times New Roman"/>
          <w:b w:val="false"/>
          <w:i w:val="false"/>
          <w:color w:val="000000"/>
          <w:sz w:val="28"/>
        </w:rPr>
        <w:t>
</w:t>
      </w:r>
      <w:r>
        <w:rPr>
          <w:rFonts w:ascii="Times New Roman"/>
          <w:b w:val="false"/>
          <w:i w:val="false"/>
          <w:color w:val="ff0000"/>
          <w:sz w:val="28"/>
        </w:rPr>
        <w:t xml:space="preserve">      Сноска. Стратегическое направление 2 с изменениями, внесенными постановлением Правительства РК от 04.05.2014 </w:t>
      </w:r>
      <w:r>
        <w:rPr>
          <w:rFonts w:ascii="Times New Roman"/>
          <w:b w:val="false"/>
          <w:i w:val="false"/>
          <w:color w:val="000000"/>
          <w:sz w:val="28"/>
        </w:rPr>
        <w:t>№ 444</w:t>
      </w:r>
      <w:r>
        <w:rPr>
          <w:rFonts w:ascii="Times New Roman"/>
          <w:b w:val="false"/>
          <w:i w:val="false"/>
          <w:color w:val="ff0000"/>
          <w:sz w:val="28"/>
        </w:rPr>
        <w:t>.</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9"/>
        <w:gridCol w:w="2175"/>
        <w:gridCol w:w="994"/>
        <w:gridCol w:w="1306"/>
        <w:gridCol w:w="1151"/>
        <w:gridCol w:w="883"/>
        <w:gridCol w:w="928"/>
        <w:gridCol w:w="950"/>
        <w:gridCol w:w="1018"/>
        <w:gridCol w:w="996"/>
      </w:tblGrid>
      <w:tr>
        <w:trPr>
          <w:trHeight w:val="30" w:hRule="atLeast"/>
        </w:trPr>
        <w:tc>
          <w:tcPr>
            <w:tcW w:w="3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Целевой индикатор</w:t>
            </w:r>
          </w:p>
        </w:tc>
        <w:tc>
          <w:tcPr>
            <w:tcW w:w="2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(отчет)</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(план)</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Экономическая эффективность государственных услуг</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 МФ</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Доля услугополучателей удовлетворенных качеством оказываемых услуг</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МФ</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r>
      <w:tr>
        <w:trPr>
          <w:trHeight w:val="3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Снижение операционных</w:t>
            </w:r>
            <w:r>
              <w:br/>
            </w:r>
            <w:r>
              <w:rPr>
                <w:rFonts w:ascii="Times New Roman"/>
                <w:b w:val="false"/>
                <w:i w:val="false"/>
                <w:color w:val="000000"/>
                <w:sz w:val="20"/>
              </w:rPr>
              <w:t>
</w:t>
            </w:r>
            <w:r>
              <w:rPr>
                <w:rFonts w:ascii="Times New Roman"/>
                <w:b w:val="false"/>
                <w:i w:val="false"/>
                <w:color w:val="000000"/>
                <w:sz w:val="20"/>
              </w:rPr>
              <w:t>издержек, связанных с регистрацией и</w:t>
            </w:r>
            <w:r>
              <w:br/>
            </w:r>
            <w:r>
              <w:rPr>
                <w:rFonts w:ascii="Times New Roman"/>
                <w:b w:val="false"/>
                <w:i w:val="false"/>
                <w:color w:val="000000"/>
                <w:sz w:val="20"/>
              </w:rPr>
              <w:t>
</w:t>
            </w:r>
            <w:r>
              <w:rPr>
                <w:rFonts w:ascii="Times New Roman"/>
                <w:b w:val="false"/>
                <w:i w:val="false"/>
                <w:color w:val="000000"/>
                <w:sz w:val="20"/>
              </w:rPr>
              <w:t>ведением бизнеса</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w:t>
            </w:r>
            <w:r>
              <w:br/>
            </w:r>
            <w:r>
              <w:rPr>
                <w:rFonts w:ascii="Times New Roman"/>
                <w:b w:val="false"/>
                <w:i w:val="false"/>
                <w:color w:val="000000"/>
                <w:sz w:val="20"/>
              </w:rPr>
              <w:t>
</w:t>
            </w: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МФ</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Индикатор «Налогообложение» рейтинга Всемирного банка «Doing</w:t>
            </w:r>
            <w:r>
              <w:br/>
            </w:r>
            <w:r>
              <w:rPr>
                <w:rFonts w:ascii="Times New Roman"/>
                <w:b w:val="false"/>
                <w:i w:val="false"/>
                <w:color w:val="000000"/>
                <w:sz w:val="20"/>
              </w:rPr>
              <w:t>
</w:t>
            </w:r>
            <w:r>
              <w:rPr>
                <w:rFonts w:ascii="Times New Roman"/>
                <w:b w:val="false"/>
                <w:i w:val="false"/>
                <w:color w:val="000000"/>
                <w:sz w:val="20"/>
              </w:rPr>
              <w:t>Business»</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Всемирного</w:t>
            </w:r>
            <w:r>
              <w:br/>
            </w:r>
            <w:r>
              <w:rPr>
                <w:rFonts w:ascii="Times New Roman"/>
                <w:b w:val="false"/>
                <w:i w:val="false"/>
                <w:color w:val="000000"/>
                <w:sz w:val="20"/>
              </w:rPr>
              <w:t>
</w:t>
            </w:r>
            <w:r>
              <w:rPr>
                <w:rFonts w:ascii="Times New Roman"/>
                <w:b w:val="false"/>
                <w:i w:val="false"/>
                <w:color w:val="000000"/>
                <w:sz w:val="20"/>
              </w:rPr>
              <w:t>банка</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Позиция</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Индикатор</w:t>
            </w:r>
            <w:r>
              <w:br/>
            </w:r>
            <w:r>
              <w:rPr>
                <w:rFonts w:ascii="Times New Roman"/>
                <w:b w:val="false"/>
                <w:i w:val="false"/>
                <w:color w:val="000000"/>
                <w:sz w:val="20"/>
              </w:rPr>
              <w:t>
</w:t>
            </w:r>
            <w:r>
              <w:rPr>
                <w:rFonts w:ascii="Times New Roman"/>
                <w:b w:val="false"/>
                <w:i w:val="false"/>
                <w:color w:val="000000"/>
                <w:sz w:val="20"/>
              </w:rPr>
              <w:t>Глобального индекса конкурентоспособности «Нагрузка таможенных</w:t>
            </w:r>
            <w:r>
              <w:br/>
            </w:r>
            <w:r>
              <w:rPr>
                <w:rFonts w:ascii="Times New Roman"/>
                <w:b w:val="false"/>
                <w:i w:val="false"/>
                <w:color w:val="000000"/>
                <w:sz w:val="20"/>
              </w:rPr>
              <w:t>
</w:t>
            </w:r>
            <w:r>
              <w:rPr>
                <w:rFonts w:ascii="Times New Roman"/>
                <w:b w:val="false"/>
                <w:i w:val="false"/>
                <w:color w:val="000000"/>
                <w:sz w:val="20"/>
              </w:rPr>
              <w:t>процедур»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ГИК ВЭФ</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Позиция</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Пути, средства и методы достижения целевого индикатора:</w:t>
            </w:r>
            <w:r>
              <w:br/>
            </w:r>
            <w:r>
              <w:rPr>
                <w:rFonts w:ascii="Times New Roman"/>
                <w:b w:val="false"/>
                <w:i w:val="false"/>
                <w:color w:val="000000"/>
                <w:sz w:val="20"/>
              </w:rPr>
              <w:t>
</w:t>
            </w:r>
            <w:r>
              <w:rPr>
                <w:rFonts w:ascii="Times New Roman"/>
                <w:b/>
                <w:i w:val="false"/>
                <w:color w:val="000000"/>
                <w:sz w:val="20"/>
              </w:rPr>
              <w:t>Задача 2.1.1. Оптимизация затрат на оказание государственных услуг</w:t>
            </w:r>
          </w:p>
        </w:tc>
      </w:tr>
      <w:tr>
        <w:trPr>
          <w:trHeight w:val="1005"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(отчет)</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(план)</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Доля переведенных в электронный формат государственных услуг</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 МФ</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Оптимизация бизнес процессов государственных услуг путем автоматизации</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Принятие мер по улучшению качества предоставляемых государственных услуг</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Сокращение документов, подаваемых в бумажном виде (для автоматизированного применения сведений, имеющихся в базе данных гос. органов)</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Пути, средства и методы достижения целевого индикатора:</w:t>
            </w:r>
            <w:r>
              <w:br/>
            </w:r>
            <w:r>
              <w:rPr>
                <w:rFonts w:ascii="Times New Roman"/>
                <w:b w:val="false"/>
                <w:i w:val="false"/>
                <w:color w:val="000000"/>
                <w:sz w:val="20"/>
              </w:rPr>
              <w:t>
</w:t>
            </w:r>
            <w:r>
              <w:rPr>
                <w:rFonts w:ascii="Times New Roman"/>
                <w:b/>
                <w:i w:val="false"/>
                <w:color w:val="000000"/>
                <w:sz w:val="20"/>
              </w:rPr>
              <w:t>Задача 2.1.2. Повышение качества предоставляемых налоговых услуг</w:t>
            </w:r>
          </w:p>
        </w:tc>
      </w:tr>
      <w:tr>
        <w:trPr>
          <w:trHeight w:val="30" w:hRule="atLeast"/>
        </w:trPr>
        <w:tc>
          <w:tcPr>
            <w:tcW w:w="3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2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(отчет)</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(план)</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Сокращение среднего времени ожидания в очереди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Независимый социологический опрос/ электронная очередь</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Доля налогоплательщиков, удовлетворенных качеством процесса предоставления услуги для:</w:t>
            </w:r>
            <w:r>
              <w:br/>
            </w:r>
            <w:r>
              <w:rPr>
                <w:rFonts w:ascii="Times New Roman"/>
                <w:b w:val="false"/>
                <w:i w:val="false"/>
                <w:color w:val="000000"/>
                <w:sz w:val="20"/>
              </w:rPr>
              <w:t>
</w:t>
            </w:r>
            <w:r>
              <w:rPr>
                <w:rFonts w:ascii="Times New Roman"/>
                <w:b w:val="false"/>
                <w:i w:val="false"/>
                <w:color w:val="000000"/>
                <w:sz w:val="20"/>
              </w:rPr>
              <w:t>- субъектов бизнеса</w:t>
            </w:r>
          </w:p>
        </w:tc>
        <w:tc>
          <w:tcPr>
            <w:tcW w:w="2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Независимый социологческий опрос</w:t>
            </w:r>
          </w:p>
        </w:tc>
        <w:tc>
          <w:tcPr>
            <w:tcW w:w="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r>
      <w:tr>
        <w:trPr>
          <w:trHeight w:val="3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Строительство и сдача в эксплуатацию центров приема и обработки информации налоговых органов (ЦОД)</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Проведение круглых столов с участием неправительственных организации</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Внедрение в крупных налоговых управлениях электронной системы управления очередями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Поддержание доли автоматизированных услуг на уровне не менее 60%</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Задача 2.1.3. Повышение качества предоставляемых таможенных услуг</w:t>
            </w:r>
          </w:p>
        </w:tc>
      </w:tr>
      <w:tr>
        <w:trPr>
          <w:trHeight w:val="30" w:hRule="atLeast"/>
        </w:trPr>
        <w:tc>
          <w:tcPr>
            <w:tcW w:w="3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прямого результата</w:t>
            </w:r>
          </w:p>
        </w:tc>
        <w:tc>
          <w:tcPr>
            <w:tcW w:w="2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(отчет)</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(план)</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p>
            <w:pPr>
              <w:spacing w:after="20"/>
              <w:ind w:left="20"/>
              <w:jc w:val="both"/>
            </w:pPr>
            <w:r>
              <w:rPr>
                <w:rFonts w:ascii="Times New Roman"/>
                <w:b w:val="false"/>
                <w:i w:val="false"/>
                <w:color w:val="000000"/>
                <w:sz w:val="20"/>
              </w:rPr>
              <w:t>год</w:t>
            </w:r>
          </w:p>
        </w:tc>
      </w:tr>
      <w:tr>
        <w:trPr>
          <w:trHeight w:val="3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Сокращение времени таможенной очистки товаров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 ППО «ТАИС-2»</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Сокращение времени прохождения таможенных операций в пунктах пропуска через таможенную границу, с круглосуточным режимом работы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ИТС ЦОУ</w:t>
            </w:r>
            <w:r>
              <w:br/>
            </w:r>
            <w:r>
              <w:rPr>
                <w:rFonts w:ascii="Times New Roman"/>
                <w:b w:val="false"/>
                <w:i w:val="false"/>
                <w:color w:val="000000"/>
                <w:sz w:val="20"/>
              </w:rPr>
              <w:t>
</w:t>
            </w:r>
            <w:r>
              <w:rPr>
                <w:rFonts w:ascii="Times New Roman"/>
                <w:b w:val="false"/>
                <w:i w:val="false"/>
                <w:color w:val="000000"/>
                <w:sz w:val="20"/>
              </w:rPr>
              <w:t>КТК</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Доля участников ВЭД, удовлетворенных качеством таможенных услуг</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Центр </w:t>
            </w:r>
            <w:r>
              <w:br/>
            </w:r>
            <w:r>
              <w:rPr>
                <w:rFonts w:ascii="Times New Roman"/>
                <w:b w:val="false"/>
                <w:i w:val="false"/>
                <w:color w:val="000000"/>
                <w:sz w:val="20"/>
              </w:rPr>
              <w:t>
</w:t>
            </w:r>
            <w:r>
              <w:rPr>
                <w:rFonts w:ascii="Times New Roman"/>
                <w:b w:val="false"/>
                <w:i w:val="false"/>
                <w:color w:val="000000"/>
                <w:sz w:val="20"/>
              </w:rPr>
              <w:t>исследований САН</w:t>
            </w:r>
            <w:r>
              <w:br/>
            </w:r>
            <w:r>
              <w:rPr>
                <w:rFonts w:ascii="Times New Roman"/>
                <w:b w:val="false"/>
                <w:i w:val="false"/>
                <w:color w:val="000000"/>
                <w:sz w:val="20"/>
              </w:rPr>
              <w:t>
</w:t>
            </w:r>
            <w:r>
              <w:rPr>
                <w:rFonts w:ascii="Times New Roman"/>
                <w:b w:val="false"/>
                <w:i w:val="false"/>
                <w:color w:val="000000"/>
                <w:sz w:val="20"/>
              </w:rPr>
              <w:t>ДЖ»</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r>
      <w:tr>
        <w:trPr>
          <w:trHeight w:val="3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Обеспечение повышения результативности применения системы управления рисками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w:t>
            </w:r>
            <w:r>
              <w:br/>
            </w:r>
            <w:r>
              <w:rPr>
                <w:rFonts w:ascii="Times New Roman"/>
                <w:b w:val="false"/>
                <w:i w:val="false"/>
                <w:color w:val="000000"/>
                <w:sz w:val="20"/>
              </w:rPr>
              <w:t>
</w:t>
            </w:r>
            <w:r>
              <w:rPr>
                <w:rFonts w:ascii="Times New Roman"/>
                <w:b w:val="false"/>
                <w:i w:val="false"/>
                <w:color w:val="000000"/>
                <w:sz w:val="20"/>
              </w:rPr>
              <w:t>КТК</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r>
      <w:tr>
        <w:trPr>
          <w:trHeight w:val="2025"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Увеличение доли таможенных деклараций, подаваемых в электронной форме от общего числа таможенных деклараций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w:t>
            </w:r>
            <w:r>
              <w:br/>
            </w:r>
            <w:r>
              <w:rPr>
                <w:rFonts w:ascii="Times New Roman"/>
                <w:b w:val="false"/>
                <w:i w:val="false"/>
                <w:color w:val="000000"/>
                <w:sz w:val="20"/>
              </w:rPr>
              <w:t>
</w:t>
            </w:r>
            <w:r>
              <w:rPr>
                <w:rFonts w:ascii="Times New Roman"/>
                <w:b w:val="false"/>
                <w:i w:val="false"/>
                <w:color w:val="000000"/>
                <w:sz w:val="20"/>
              </w:rPr>
              <w:t>КТК</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175"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Доля автомобильных пунктов пропуска оснащенных в соответствии с требованиями Таможенного союза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Ведомственная отчетность КТК</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Обеспечение создания интеграционной информационной системы «Единое окно по экспортно-импортным операциям», в том числе поэтапное внедрение системы электронного декларирования</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Охват системой управления рисками всех видов контроля при осуществлении таможенных операций</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Совершенствование информационных систем таможенных органов, в т.ч. в рамках проекта развития таможенной службы</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Сокращение документов, подаваемых в бумажном виде (для автоматизированного применения сведений, имеющихся в базе данных гос. органов)</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Создание благоприятных условий для участников ВЭД и населения путем строительства и реконструкции инфраструктуры таможенных органов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Обеспечение поэтапной передачи части контрольных мер с этапа «декларирования» на этап «после выпуска товаров»</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Обновление программно-аппаратных средств, компьютерной и офисной техники таможенных органов</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Оснащение и обустройство автомобильных пунктов пропуска через внешнюю границу в соответствии с требованиями </w:t>
            </w:r>
            <w:r>
              <w:rPr>
                <w:rFonts w:ascii="Times New Roman"/>
                <w:b w:val="false"/>
                <w:i w:val="false"/>
                <w:color w:val="000000"/>
                <w:sz w:val="20"/>
                <w:u w:val="single"/>
              </w:rPr>
              <w:t>Решения</w:t>
            </w:r>
            <w:r>
              <w:rPr>
                <w:rFonts w:ascii="Times New Roman"/>
                <w:b w:val="false"/>
                <w:i w:val="false"/>
                <w:color w:val="000000"/>
                <w:sz w:val="20"/>
              </w:rPr>
              <w:t xml:space="preserve"> Комиссии Таможенного Союза № 688 от 22 июня 2011 года</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Цель 2.2. Обеспечение результативности и эффективности осуществления функций</w:t>
            </w:r>
            <w:r>
              <w:br/>
            </w:r>
            <w:r>
              <w:rPr>
                <w:rFonts w:ascii="Times New Roman"/>
                <w:b w:val="false"/>
                <w:i w:val="false"/>
                <w:color w:val="000000"/>
                <w:sz w:val="20"/>
              </w:rPr>
              <w:t>
</w:t>
            </w:r>
            <w:r>
              <w:rPr>
                <w:rFonts w:ascii="Times New Roman"/>
                <w:b/>
                <w:i w:val="false"/>
                <w:color w:val="000000"/>
                <w:sz w:val="20"/>
              </w:rPr>
              <w:t>Коды бюджетных программ, направленных на достижение данной цели 001, 033, 073</w:t>
            </w:r>
          </w:p>
        </w:tc>
      </w:tr>
      <w:tr>
        <w:trPr>
          <w:trHeight w:val="30" w:hRule="atLeast"/>
        </w:trPr>
        <w:tc>
          <w:tcPr>
            <w:tcW w:w="3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Целевой индикатор</w:t>
            </w:r>
          </w:p>
        </w:tc>
        <w:tc>
          <w:tcPr>
            <w:tcW w:w="2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(отчет)</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(план)</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Индикатор</w:t>
            </w:r>
            <w:r>
              <w:br/>
            </w:r>
            <w:r>
              <w:rPr>
                <w:rFonts w:ascii="Times New Roman"/>
                <w:b w:val="false"/>
                <w:i w:val="false"/>
                <w:color w:val="000000"/>
                <w:sz w:val="20"/>
              </w:rPr>
              <w:t>
</w:t>
            </w:r>
            <w:r>
              <w:rPr>
                <w:rFonts w:ascii="Times New Roman"/>
                <w:b w:val="false"/>
                <w:i w:val="false"/>
                <w:color w:val="000000"/>
                <w:sz w:val="20"/>
              </w:rPr>
              <w:t>Глобального индекса конкурентоспособности «Фаворитизм в решениях государственных служащих»</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Всемирного</w:t>
            </w:r>
            <w:r>
              <w:br/>
            </w:r>
            <w:r>
              <w:rPr>
                <w:rFonts w:ascii="Times New Roman"/>
                <w:b w:val="false"/>
                <w:i w:val="false"/>
                <w:color w:val="000000"/>
                <w:sz w:val="20"/>
              </w:rPr>
              <w:t>
</w:t>
            </w:r>
            <w:r>
              <w:rPr>
                <w:rFonts w:ascii="Times New Roman"/>
                <w:b w:val="false"/>
                <w:i w:val="false"/>
                <w:color w:val="000000"/>
                <w:sz w:val="20"/>
              </w:rPr>
              <w:t>банка</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Позиция</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r>
      <w:tr>
        <w:trPr>
          <w:trHeight w:val="3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Индикатор</w:t>
            </w:r>
            <w:r>
              <w:br/>
            </w:r>
            <w:r>
              <w:rPr>
                <w:rFonts w:ascii="Times New Roman"/>
                <w:b w:val="false"/>
                <w:i w:val="false"/>
                <w:color w:val="000000"/>
                <w:sz w:val="20"/>
              </w:rPr>
              <w:t>
</w:t>
            </w:r>
            <w:r>
              <w:rPr>
                <w:rFonts w:ascii="Times New Roman"/>
                <w:b w:val="false"/>
                <w:i w:val="false"/>
                <w:color w:val="000000"/>
                <w:sz w:val="20"/>
              </w:rPr>
              <w:t>Глобального</w:t>
            </w:r>
            <w:r>
              <w:br/>
            </w:r>
            <w:r>
              <w:rPr>
                <w:rFonts w:ascii="Times New Roman"/>
                <w:b w:val="false"/>
                <w:i w:val="false"/>
                <w:color w:val="000000"/>
                <w:sz w:val="20"/>
              </w:rPr>
              <w:t>
</w:t>
            </w:r>
            <w:r>
              <w:rPr>
                <w:rFonts w:ascii="Times New Roman"/>
                <w:b w:val="false"/>
                <w:i w:val="false"/>
                <w:color w:val="000000"/>
                <w:sz w:val="20"/>
              </w:rPr>
              <w:t>индекса</w:t>
            </w:r>
            <w:r>
              <w:br/>
            </w:r>
            <w:r>
              <w:rPr>
                <w:rFonts w:ascii="Times New Roman"/>
                <w:b w:val="false"/>
                <w:i w:val="false"/>
                <w:color w:val="000000"/>
                <w:sz w:val="20"/>
              </w:rPr>
              <w:t>
</w:t>
            </w:r>
            <w:r>
              <w:rPr>
                <w:rFonts w:ascii="Times New Roman"/>
                <w:b w:val="false"/>
                <w:i w:val="false"/>
                <w:color w:val="000000"/>
                <w:sz w:val="20"/>
              </w:rPr>
              <w:t xml:space="preserve">конкурентоспособности «Совершенство стандартов аудита и отчетности»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ГИК ВЭФ</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Позиция</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Доля организации публичного интереса удовлетворенных стандартами аудита и финансовой отчетности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ДФО</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Доля государственных учреждений, имеющих техническую оснащенность, перешедших на ИС «Казначейство –клиент»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 ТПК</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Доля пользователей,</w:t>
            </w:r>
            <w:r>
              <w:br/>
            </w:r>
            <w:r>
              <w:rPr>
                <w:rFonts w:ascii="Times New Roman"/>
                <w:b w:val="false"/>
                <w:i w:val="false"/>
                <w:color w:val="000000"/>
                <w:sz w:val="20"/>
              </w:rPr>
              <w:t>
</w:t>
            </w:r>
            <w:r>
              <w:rPr>
                <w:rFonts w:ascii="Times New Roman"/>
                <w:b w:val="false"/>
                <w:i w:val="false"/>
                <w:color w:val="000000"/>
                <w:sz w:val="20"/>
              </w:rPr>
              <w:t>удовлетворенных работой системы электронных государственных закупок</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Веб-портал </w:t>
            </w:r>
            <w:r>
              <w:br/>
            </w:r>
            <w:r>
              <w:rPr>
                <w:rFonts w:ascii="Times New Roman"/>
                <w:b w:val="false"/>
                <w:i w:val="false"/>
                <w:color w:val="000000"/>
                <w:sz w:val="20"/>
              </w:rPr>
              <w:t>
</w:t>
            </w:r>
            <w:r>
              <w:rPr>
                <w:rFonts w:ascii="Times New Roman"/>
                <w:b w:val="false"/>
                <w:i w:val="false"/>
                <w:color w:val="000000"/>
                <w:sz w:val="20"/>
              </w:rPr>
              <w:t>гос. закупок</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92,49</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Пути, средства и методы достижения целевого индикатора:</w:t>
            </w:r>
            <w:r>
              <w:br/>
            </w:r>
            <w:r>
              <w:rPr>
                <w:rFonts w:ascii="Times New Roman"/>
                <w:b w:val="false"/>
                <w:i w:val="false"/>
                <w:color w:val="000000"/>
                <w:sz w:val="20"/>
              </w:rPr>
              <w:t>
</w:t>
            </w:r>
            <w:r>
              <w:rPr>
                <w:rFonts w:ascii="Times New Roman"/>
                <w:b/>
                <w:i w:val="false"/>
                <w:color w:val="000000"/>
                <w:sz w:val="20"/>
              </w:rPr>
              <w:t>Задача 2.2.1. Эффективное управление бюджетными средствами</w:t>
            </w:r>
          </w:p>
        </w:tc>
      </w:tr>
      <w:tr>
        <w:trPr>
          <w:trHeight w:val="1005" w:hRule="atLeast"/>
        </w:trPr>
        <w:tc>
          <w:tcPr>
            <w:tcW w:w="3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2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10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(отчет)</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(план)</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Достижение прямых результатов бюджетной программы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по Стратегическому плану МФ</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p>
            <w:pPr>
              <w:spacing w:after="20"/>
              <w:ind w:left="20"/>
              <w:jc w:val="both"/>
            </w:pPr>
            <w:r>
              <w:rPr>
                <w:rFonts w:ascii="Times New Roman"/>
                <w:b w:val="false"/>
                <w:i w:val="false"/>
                <w:color w:val="000000"/>
                <w:sz w:val="20"/>
              </w:rPr>
              <w:t>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Мониторинг дебиторской задолженности</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Мониторинг кредиторской задолженности</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Мониторинг инвестиционных проектов</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Улучшение мер по исполнению пунктов плана государственных закупок к общему количеству пунктов плана государственных закупок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Принятие мер по освоению бюджетных средств</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81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Пути, средства и методы достижения целевого индикатора:</w:t>
            </w:r>
            <w:r>
              <w:br/>
            </w:r>
            <w:r>
              <w:rPr>
                <w:rFonts w:ascii="Times New Roman"/>
                <w:b w:val="false"/>
                <w:i w:val="false"/>
                <w:color w:val="000000"/>
                <w:sz w:val="20"/>
              </w:rPr>
              <w:t>
</w:t>
            </w:r>
            <w:r>
              <w:rPr>
                <w:rFonts w:ascii="Times New Roman"/>
                <w:b/>
                <w:i w:val="false"/>
                <w:color w:val="000000"/>
                <w:sz w:val="20"/>
              </w:rPr>
              <w:t>Задача 2.2.2. Повышение эффективности деятельности внутреннего контроля</w:t>
            </w:r>
          </w:p>
        </w:tc>
      </w:tr>
      <w:tr>
        <w:trPr>
          <w:trHeight w:val="510" w:hRule="atLeast"/>
        </w:trPr>
        <w:tc>
          <w:tcPr>
            <w:tcW w:w="3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2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(отчет)</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(план)</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p>
            <w:pPr>
              <w:spacing w:after="20"/>
              <w:ind w:left="20"/>
              <w:jc w:val="both"/>
            </w:pPr>
            <w:r>
              <w:rPr>
                <w:rFonts w:ascii="Times New Roman"/>
                <w:b w:val="false"/>
                <w:i w:val="false"/>
                <w:color w:val="000000"/>
                <w:sz w:val="20"/>
              </w:rPr>
              <w:t>год</w:t>
            </w:r>
          </w:p>
        </w:tc>
      </w:tr>
      <w:tr>
        <w:trPr>
          <w:trHeight w:val="3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Охват контролем рисковых объектов</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операционного плана МФ</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p>
            <w:pPr>
              <w:spacing w:after="20"/>
              <w:ind w:left="20"/>
              <w:jc w:val="both"/>
            </w:pPr>
            <w:r>
              <w:rPr>
                <w:rFonts w:ascii="Times New Roman"/>
                <w:b w:val="false"/>
                <w:i w:val="false"/>
                <w:color w:val="000000"/>
                <w:sz w:val="20"/>
              </w:rPr>
              <w:t>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Обеспечение охвата функций СВК планом контрольных мероприятий</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Применение системы управления рисками в деятельности СВК</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Обеспечение исполнение представлений по результатам проверок СВК</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Доля бюджетных средств, охваченных контролем СВК от общего объема бюджетных средств государственного органа</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81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Пути, средства и методы достижения целевого индикатора:</w:t>
            </w:r>
            <w:r>
              <w:br/>
            </w:r>
            <w:r>
              <w:rPr>
                <w:rFonts w:ascii="Times New Roman"/>
                <w:b w:val="false"/>
                <w:i w:val="false"/>
                <w:color w:val="000000"/>
                <w:sz w:val="20"/>
              </w:rPr>
              <w:t>
</w:t>
            </w:r>
            <w:r>
              <w:rPr>
                <w:rFonts w:ascii="Times New Roman"/>
                <w:b/>
                <w:i w:val="false"/>
                <w:color w:val="000000"/>
                <w:sz w:val="20"/>
              </w:rPr>
              <w:t>Задача 2.2.3. Повышение конкурентоспособности в сферах бухгалтерского учета и аудита</w:t>
            </w:r>
          </w:p>
        </w:tc>
      </w:tr>
      <w:tr>
        <w:trPr>
          <w:trHeight w:val="510" w:hRule="atLeast"/>
        </w:trPr>
        <w:tc>
          <w:tcPr>
            <w:tcW w:w="3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2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(отчет)</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(план)</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p>
            <w:pPr>
              <w:spacing w:after="20"/>
              <w:ind w:left="20"/>
              <w:jc w:val="both"/>
            </w:pPr>
            <w:r>
              <w:rPr>
                <w:rFonts w:ascii="Times New Roman"/>
                <w:b w:val="false"/>
                <w:i w:val="false"/>
                <w:color w:val="000000"/>
                <w:sz w:val="20"/>
              </w:rPr>
              <w:t>год</w:t>
            </w:r>
          </w:p>
        </w:tc>
      </w:tr>
      <w:tr>
        <w:trPr>
          <w:trHeight w:val="3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Удовлетворенность пользователей депозитарием финансовой отчетности</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ДФО</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p>
            <w:pPr>
              <w:spacing w:after="20"/>
              <w:ind w:left="20"/>
              <w:jc w:val="both"/>
            </w:pPr>
            <w:r>
              <w:rPr>
                <w:rFonts w:ascii="Times New Roman"/>
                <w:b w:val="false"/>
                <w:i w:val="false"/>
                <w:color w:val="000000"/>
                <w:sz w:val="20"/>
              </w:rPr>
              <w:t>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Создание и поддержание системы по опросу пользователей степенью удовлетворенностью стандартами бухгалтерского учета и (или) аудита, а также функционированием ДФО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Обеспечение повышения квалификации профессиональных бухгалтеров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Организация официального перевода МСФО и МСА, представленных международными организациями, а также оплата сбора за использование защищенных авторским правом материалов международных организаций</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Совершенствование законодательства по бухгалтерскому учету и (или) аудиту по результатам проведенной международной оценки инфраструктуры корпоративной отчетности Конференции Организаций Объединенных Наций (ЮНКТАД при ООН)</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Пути, средства и методы достижения целевого индикатора:</w:t>
            </w:r>
            <w:r>
              <w:br/>
            </w:r>
            <w:r>
              <w:rPr>
                <w:rFonts w:ascii="Times New Roman"/>
                <w:b w:val="false"/>
                <w:i w:val="false"/>
                <w:color w:val="000000"/>
                <w:sz w:val="20"/>
              </w:rPr>
              <w:t>
</w:t>
            </w:r>
            <w:r>
              <w:rPr>
                <w:rFonts w:ascii="Times New Roman"/>
                <w:b/>
                <w:i w:val="false"/>
                <w:color w:val="000000"/>
                <w:sz w:val="20"/>
              </w:rPr>
              <w:t>Задача 2.2.4. Повышения качества казначейского обслуживания</w:t>
            </w:r>
          </w:p>
        </w:tc>
      </w:tr>
      <w:tr>
        <w:trPr>
          <w:trHeight w:val="30" w:hRule="atLeast"/>
        </w:trPr>
        <w:tc>
          <w:tcPr>
            <w:tcW w:w="3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2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(отчет)</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(план)</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p>
            <w:pPr>
              <w:spacing w:after="20"/>
              <w:ind w:left="20"/>
              <w:jc w:val="both"/>
            </w:pPr>
            <w:r>
              <w:rPr>
                <w:rFonts w:ascii="Times New Roman"/>
                <w:b w:val="false"/>
                <w:i w:val="false"/>
                <w:color w:val="000000"/>
                <w:sz w:val="20"/>
              </w:rPr>
              <w:t>год</w:t>
            </w:r>
          </w:p>
        </w:tc>
      </w:tr>
      <w:tr>
        <w:trPr>
          <w:trHeight w:val="3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Сокращение времени обработки счетов к оплате через ИС «Казначейство – клиент»</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w:t>
            </w:r>
            <w:r>
              <w:br/>
            </w:r>
            <w:r>
              <w:rPr>
                <w:rFonts w:ascii="Times New Roman"/>
                <w:b w:val="false"/>
                <w:i w:val="false"/>
                <w:color w:val="000000"/>
                <w:sz w:val="20"/>
              </w:rPr>
              <w:t>
</w:t>
            </w:r>
            <w:r>
              <w:rPr>
                <w:rFonts w:ascii="Times New Roman"/>
                <w:b w:val="false"/>
                <w:i w:val="false"/>
                <w:color w:val="000000"/>
                <w:sz w:val="20"/>
              </w:rPr>
              <w:t>данные ТПК</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 часы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Сокращение времени казначейского обслуживания обработки заявок на регистрацию ГПС через ИС «Казначейство – клиент»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 ТПК</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 часы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Проведение семинаров с государственными учреждениями по вопросам взаимодействия казначейства с клиентом</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Проведение работ с акиматами областей по повышению технического оснащения государственных учреждений для работы в ИС «Казначейство-клиент»</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Подключение государственных учреждений к ИС «Казначейство-клиент», имеющих необходимый уровень технического оснащения в Пилотной зоне</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Переход на обслуживание в ИС «Казначейство-клиент» государственных учреждений, подключенных к системе «Казначейство-клиент» в Пилотной зоне</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Пути, средства и методы достижения целевого индикатора:</w:t>
            </w:r>
            <w:r>
              <w:br/>
            </w:r>
            <w:r>
              <w:rPr>
                <w:rFonts w:ascii="Times New Roman"/>
                <w:b w:val="false"/>
                <w:i w:val="false"/>
                <w:color w:val="000000"/>
                <w:sz w:val="20"/>
              </w:rPr>
              <w:t>
</w:t>
            </w:r>
            <w:r>
              <w:rPr>
                <w:rFonts w:ascii="Times New Roman"/>
                <w:b/>
                <w:i w:val="false"/>
                <w:color w:val="000000"/>
                <w:sz w:val="20"/>
              </w:rPr>
              <w:t>Задача 2.2.5. Повышение эффективности процесса государственных закупок</w:t>
            </w:r>
          </w:p>
        </w:tc>
      </w:tr>
      <w:tr>
        <w:trPr>
          <w:trHeight w:val="855" w:hRule="atLeast"/>
        </w:trPr>
        <w:tc>
          <w:tcPr>
            <w:tcW w:w="3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2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8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(отчет)</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(план)</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Обеспеченность времени отклика Системы в течение 5 секунд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 МФ</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Обеспеченность технической возможности хранения архивной информации о проведенных государственных закупках объемом не менее 115 ТВ</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 МФ</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Автоматизация бизнес-процессов, подлежащих автоматизаций в процессе государственных закупок</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 МФ</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Увеличение доли электронных государственных закупок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Веб-портал государственных закупок</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Модернизация автоматизированной интегрированной информационной системы «Электронные государственные закупки», в связи с изменением законодательства</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Проведение работ по совершенствованию системы электронных государственных закупок</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Совершенствование законодательства о государственных закупках, в целях обеспечения повышения эффективности и прозрачности системы государственных закупок</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Цель 2.3. Содействие в укреплении международного сотрудничества</w:t>
            </w:r>
            <w:r>
              <w:br/>
            </w:r>
            <w:r>
              <w:rPr>
                <w:rFonts w:ascii="Times New Roman"/>
                <w:b w:val="false"/>
                <w:i w:val="false"/>
                <w:color w:val="000000"/>
                <w:sz w:val="20"/>
              </w:rPr>
              <w:t>
</w:t>
            </w:r>
            <w:r>
              <w:rPr>
                <w:rFonts w:ascii="Times New Roman"/>
                <w:b/>
                <w:i w:val="false"/>
                <w:color w:val="000000"/>
                <w:sz w:val="20"/>
              </w:rPr>
              <w:t>Код бюджетной программы направленной на достижение данной цели_006, 044, 045</w:t>
            </w:r>
          </w:p>
        </w:tc>
      </w:tr>
      <w:tr>
        <w:trPr>
          <w:trHeight w:val="450" w:hRule="atLeast"/>
        </w:trPr>
        <w:tc>
          <w:tcPr>
            <w:tcW w:w="3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Целевой индикатор</w:t>
            </w:r>
          </w:p>
        </w:tc>
        <w:tc>
          <w:tcPr>
            <w:tcW w:w="2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(отчет)</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(план)</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p>
            <w:pPr>
              <w:spacing w:after="20"/>
              <w:ind w:left="20"/>
              <w:jc w:val="both"/>
            </w:pPr>
            <w:r>
              <w:rPr>
                <w:rFonts w:ascii="Times New Roman"/>
                <w:b w:val="false"/>
                <w:i w:val="false"/>
                <w:color w:val="000000"/>
                <w:sz w:val="20"/>
              </w:rPr>
              <w:t>год</w:t>
            </w:r>
          </w:p>
        </w:tc>
      </w:tr>
      <w:tr>
        <w:trPr>
          <w:trHeight w:val="3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Доля своевременно исполненных международных финансовых обязательств</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НПА, международные соглашения</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Пути, средства и методы достижения целевого индикатора:</w:t>
            </w:r>
            <w:r>
              <w:br/>
            </w:r>
            <w:r>
              <w:rPr>
                <w:rFonts w:ascii="Times New Roman"/>
                <w:b w:val="false"/>
                <w:i w:val="false"/>
                <w:color w:val="000000"/>
                <w:sz w:val="20"/>
              </w:rPr>
              <w:t>
</w:t>
            </w:r>
            <w:r>
              <w:rPr>
                <w:rFonts w:ascii="Times New Roman"/>
                <w:b/>
                <w:i w:val="false"/>
                <w:color w:val="000000"/>
                <w:sz w:val="20"/>
              </w:rPr>
              <w:t>Задача 2.3.1. Выполнение обязательств по Соглашениям с международными финансовыми организациями и интеграционными объединениями</w:t>
            </w:r>
          </w:p>
        </w:tc>
      </w:tr>
      <w:tr>
        <w:trPr>
          <w:trHeight w:val="1200" w:hRule="atLeast"/>
        </w:trPr>
        <w:tc>
          <w:tcPr>
            <w:tcW w:w="3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2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12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(отчет)</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(план)</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Доля своевременно выплаченных сумм, согласно условиям соответствующих соглашений, относящихся к членству Республики Казахстан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НПА, международные соглашения, информация МФО</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Доля своевременно погашенных простых векселей, выпущенных Министерством финансов Республики Казахстан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Международные соглашения</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p>
            <w:pPr>
              <w:spacing w:after="20"/>
              <w:ind w:left="20"/>
              <w:jc w:val="both"/>
            </w:pPr>
            <w:r>
              <w:rPr>
                <w:rFonts w:ascii="Times New Roman"/>
                <w:b w:val="false"/>
                <w:i w:val="false"/>
                <w:color w:val="000000"/>
                <w:sz w:val="20"/>
              </w:rPr>
              <w:t>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Выработка соответствующих решений международных финансовых организаций по их уставным капиталам</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Выпуск и погашение простых векселей Министерства финансов Республики Казахстан</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Обеспечение доли участия Республики Казахстан в уставном капитале международных финансовых организаций</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Цель. 2.4. Обеспечение институционального развития и модернизации системы исполнения бюджета</w:t>
            </w:r>
            <w:r>
              <w:br/>
            </w:r>
            <w:r>
              <w:rPr>
                <w:rFonts w:ascii="Times New Roman"/>
                <w:b w:val="false"/>
                <w:i w:val="false"/>
                <w:color w:val="000000"/>
                <w:sz w:val="20"/>
              </w:rPr>
              <w:t>
</w:t>
            </w:r>
            <w:r>
              <w:rPr>
                <w:rFonts w:ascii="Times New Roman"/>
                <w:b/>
                <w:i w:val="false"/>
                <w:color w:val="000000"/>
                <w:sz w:val="20"/>
              </w:rPr>
              <w:t>Коды бюджетных программ направленных на достижение данной цели_001, 009, 021, 023, 025, 061, 064, 072</w:t>
            </w:r>
          </w:p>
        </w:tc>
      </w:tr>
      <w:tr>
        <w:trPr>
          <w:trHeight w:val="30" w:hRule="atLeast"/>
        </w:trPr>
        <w:tc>
          <w:tcPr>
            <w:tcW w:w="3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Целевой индикатор</w:t>
            </w:r>
          </w:p>
        </w:tc>
        <w:tc>
          <w:tcPr>
            <w:tcW w:w="2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(отчет)</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(план)</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Индикатор</w:t>
            </w:r>
            <w:r>
              <w:br/>
            </w:r>
            <w:r>
              <w:rPr>
                <w:rFonts w:ascii="Times New Roman"/>
                <w:b w:val="false"/>
                <w:i w:val="false"/>
                <w:color w:val="000000"/>
                <w:sz w:val="20"/>
              </w:rPr>
              <w:t>
</w:t>
            </w:r>
            <w:r>
              <w:rPr>
                <w:rFonts w:ascii="Times New Roman"/>
                <w:b w:val="false"/>
                <w:i w:val="false"/>
                <w:color w:val="000000"/>
                <w:sz w:val="20"/>
              </w:rPr>
              <w:t>Глобального индекса</w:t>
            </w:r>
            <w:r>
              <w:br/>
            </w:r>
            <w:r>
              <w:rPr>
                <w:rFonts w:ascii="Times New Roman"/>
                <w:b w:val="false"/>
                <w:i w:val="false"/>
                <w:color w:val="000000"/>
                <w:sz w:val="20"/>
              </w:rPr>
              <w:t>
</w:t>
            </w:r>
            <w:r>
              <w:rPr>
                <w:rFonts w:ascii="Times New Roman"/>
                <w:b w:val="false"/>
                <w:i w:val="false"/>
                <w:color w:val="000000"/>
                <w:sz w:val="20"/>
              </w:rPr>
              <w:t>конкурентоспособности «Прозрачность</w:t>
            </w:r>
            <w:r>
              <w:br/>
            </w:r>
            <w:r>
              <w:rPr>
                <w:rFonts w:ascii="Times New Roman"/>
                <w:b w:val="false"/>
                <w:i w:val="false"/>
                <w:color w:val="000000"/>
                <w:sz w:val="20"/>
              </w:rPr>
              <w:t>
</w:t>
            </w:r>
            <w:r>
              <w:rPr>
                <w:rFonts w:ascii="Times New Roman"/>
                <w:b w:val="false"/>
                <w:i w:val="false"/>
                <w:color w:val="000000"/>
                <w:sz w:val="20"/>
              </w:rPr>
              <w:t>принимаемых</w:t>
            </w:r>
            <w:r>
              <w:br/>
            </w:r>
            <w:r>
              <w:rPr>
                <w:rFonts w:ascii="Times New Roman"/>
                <w:b w:val="false"/>
                <w:i w:val="false"/>
                <w:color w:val="000000"/>
                <w:sz w:val="20"/>
              </w:rPr>
              <w:t>
</w:t>
            </w:r>
            <w:r>
              <w:rPr>
                <w:rFonts w:ascii="Times New Roman"/>
                <w:b w:val="false"/>
                <w:i w:val="false"/>
                <w:color w:val="000000"/>
                <w:sz w:val="20"/>
              </w:rPr>
              <w:t>решений»</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ГИК ВЭФ</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Позиция</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Индекс открытости бюджета</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Международного бюджетного партнерства</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3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Индикатор</w:t>
            </w:r>
            <w:r>
              <w:br/>
            </w:r>
            <w:r>
              <w:rPr>
                <w:rFonts w:ascii="Times New Roman"/>
                <w:b w:val="false"/>
                <w:i w:val="false"/>
                <w:color w:val="000000"/>
                <w:sz w:val="20"/>
              </w:rPr>
              <w:t>
</w:t>
            </w:r>
            <w:r>
              <w:rPr>
                <w:rFonts w:ascii="Times New Roman"/>
                <w:b w:val="false"/>
                <w:i w:val="false"/>
                <w:color w:val="000000"/>
                <w:sz w:val="20"/>
              </w:rPr>
              <w:t>Глобального индекса конкурентоспособности «Общественное доверие политикам»</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Всемирного</w:t>
            </w:r>
            <w:r>
              <w:br/>
            </w:r>
            <w:r>
              <w:rPr>
                <w:rFonts w:ascii="Times New Roman"/>
                <w:b w:val="false"/>
                <w:i w:val="false"/>
                <w:color w:val="000000"/>
                <w:sz w:val="20"/>
              </w:rPr>
              <w:t>
</w:t>
            </w:r>
            <w:r>
              <w:rPr>
                <w:rFonts w:ascii="Times New Roman"/>
                <w:b w:val="false"/>
                <w:i w:val="false"/>
                <w:color w:val="000000"/>
                <w:sz w:val="20"/>
              </w:rPr>
              <w:t>банка</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Позиция</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Доля автоматизированных бизнес-процессов</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 МФ</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Доля обеспеченности рекомендациями субъектов финансового мониторинга</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 КФМ</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Пути, средства и методы достижения целевого индикатора:</w:t>
            </w:r>
            <w:r>
              <w:br/>
            </w:r>
            <w:r>
              <w:rPr>
                <w:rFonts w:ascii="Times New Roman"/>
                <w:b w:val="false"/>
                <w:i w:val="false"/>
                <w:color w:val="000000"/>
                <w:sz w:val="20"/>
              </w:rPr>
              <w:t>
</w:t>
            </w:r>
            <w:r>
              <w:rPr>
                <w:rFonts w:ascii="Times New Roman"/>
                <w:b/>
                <w:i w:val="false"/>
                <w:color w:val="000000"/>
                <w:sz w:val="20"/>
              </w:rPr>
              <w:t>Задача 2.4.1. Обеспечение эффективности государственного управления</w:t>
            </w:r>
          </w:p>
        </w:tc>
      </w:tr>
      <w:tr>
        <w:trPr>
          <w:trHeight w:val="30" w:hRule="atLeast"/>
        </w:trPr>
        <w:tc>
          <w:tcPr>
            <w:tcW w:w="3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2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(отчет)</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(план)</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3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Методологическая база государственного аудита</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МФ</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НПА</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Разработка нормативных правовых актов в области государственного аудита</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Организация обучения специалистов по государственному аудиту</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Совершенствование бюджетного законодательства в области исполнения бюджета</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Модернизация налогового и таможенного администрирования</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Пути, средства и методы достижения целевого индикатора:</w:t>
            </w:r>
            <w:r>
              <w:br/>
            </w:r>
            <w:r>
              <w:rPr>
                <w:rFonts w:ascii="Times New Roman"/>
                <w:b w:val="false"/>
                <w:i w:val="false"/>
                <w:color w:val="000000"/>
                <w:sz w:val="20"/>
              </w:rPr>
              <w:t>
</w:t>
            </w:r>
            <w:r>
              <w:rPr>
                <w:rFonts w:ascii="Times New Roman"/>
                <w:b/>
                <w:i w:val="false"/>
                <w:color w:val="000000"/>
                <w:sz w:val="20"/>
              </w:rPr>
              <w:t>Задача 2.4.2. Обеспечение открытости исполнения бюджетов</w:t>
            </w:r>
          </w:p>
        </w:tc>
      </w:tr>
      <w:tr>
        <w:trPr>
          <w:trHeight w:val="30" w:hRule="atLeast"/>
        </w:trPr>
        <w:tc>
          <w:tcPr>
            <w:tcW w:w="3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2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(отчет)</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(план)</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p>
            <w:pPr>
              <w:spacing w:after="20"/>
              <w:ind w:left="20"/>
              <w:jc w:val="both"/>
            </w:pPr>
            <w:r>
              <w:rPr>
                <w:rFonts w:ascii="Times New Roman"/>
                <w:b w:val="false"/>
                <w:i w:val="false"/>
                <w:color w:val="000000"/>
                <w:sz w:val="20"/>
              </w:rPr>
              <w:t>год</w:t>
            </w:r>
          </w:p>
        </w:tc>
      </w:tr>
      <w:tr>
        <w:trPr>
          <w:trHeight w:val="345"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Обеспечение прозрачности и доступности для общественности информации об исполнении бюджетов</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сайт МФ</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Размещение аналитических отчетов, отчетности об исполнении государственного, республиканского, местных бюджетов, докладов Министра и слайдов к ним на WEB-сайте Министерства финансов Республики Казахстан</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Размещение информации о поступлениях и использовании Национального фонда Республики Казахстан на WEB-сайте Министерства финансов Республики Казахстан</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Размещение годового и полугодового отчета об исполнении гражданского бюджета на WEB-сайте Министерства финансов Республики Казахстан</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Мониторинг посещений пользователями раздела исполнения бюджетов WEB-сайта Министерства финансов Республики Казахстан</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Формирование Годового отчета об исполнении республиканского бюджета</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Пути, средства и методы достижения целевого индикатора:</w:t>
            </w:r>
            <w:r>
              <w:br/>
            </w:r>
            <w:r>
              <w:rPr>
                <w:rFonts w:ascii="Times New Roman"/>
                <w:b w:val="false"/>
                <w:i w:val="false"/>
                <w:color w:val="000000"/>
                <w:sz w:val="20"/>
              </w:rPr>
              <w:t>
</w:t>
            </w:r>
            <w:r>
              <w:rPr>
                <w:rFonts w:ascii="Times New Roman"/>
                <w:b/>
                <w:i w:val="false"/>
                <w:color w:val="000000"/>
                <w:sz w:val="20"/>
              </w:rPr>
              <w:t>Задача 2.4.3. Обеспечение эффективности роста и развития ресурсов</w:t>
            </w:r>
          </w:p>
        </w:tc>
      </w:tr>
      <w:tr>
        <w:trPr>
          <w:trHeight w:val="1125" w:hRule="atLeast"/>
        </w:trPr>
        <w:tc>
          <w:tcPr>
            <w:tcW w:w="3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2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 </w:t>
            </w:r>
          </w:p>
        </w:tc>
        <w:tc>
          <w:tcPr>
            <w:tcW w:w="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11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(отчет)</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(план)</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3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Удовлетворенность слушателей АО «Финансовая академия» учебными программами</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Опросные листы</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Увеличение доли сотрудников таможенных органов, прошедших обучение, переподготовку и повышение квалификации на базе УМЦ</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 УМЦ</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Осуществление взаимодействия с государственными органами в целях совершенствования разработки учебных программ и обеспечения практической помощи</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Разработка и совершенствование учебных программ</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Совершенствование методов и методик преподавания учебных дисциплин</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Обеспечение международного взаимодействия с профильными учебными заведениями</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Обеспечение конкурентоспособности выпускаемых специалистов на международном рынке труда в рамках Соглашения о создании инновационно-образовательного консорциума вузов на основе международной интеграции</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Создание единой информационной системы и базы данных ресурсного обеспечения учебного и научного процессов</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Разработка государственного образовательного стандарта по специальности «Бухгалтерский учет и аудит»</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Совершенствование учебного процесса за счет внедрения мультимедийных средств обучения, учебно-тренировочных тренажеров и современных ресурсов и пособий</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Организация обучения сотрудников таможенных органов вновь принятых на работу, а также переподготовка и повышение квалификации должностных лиц таможенных органов</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Пути, средства и методы достижения целевого индикатора:</w:t>
            </w:r>
            <w:r>
              <w:br/>
            </w:r>
            <w:r>
              <w:rPr>
                <w:rFonts w:ascii="Times New Roman"/>
                <w:b w:val="false"/>
                <w:i w:val="false"/>
                <w:color w:val="000000"/>
                <w:sz w:val="20"/>
              </w:rPr>
              <w:t>
</w:t>
            </w:r>
            <w:r>
              <w:rPr>
                <w:rFonts w:ascii="Times New Roman"/>
                <w:b/>
                <w:i w:val="false"/>
                <w:color w:val="000000"/>
                <w:sz w:val="20"/>
              </w:rPr>
              <w:t>Задача 2.4.4. Повышение результативности превентивных мер для уменьшения коррупционных проявлений</w:t>
            </w:r>
          </w:p>
        </w:tc>
      </w:tr>
      <w:tr>
        <w:trPr>
          <w:trHeight w:val="1170" w:hRule="atLeast"/>
        </w:trPr>
        <w:tc>
          <w:tcPr>
            <w:tcW w:w="3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2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11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(отчет)</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(план)</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3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Количество государственных услуг подверженных коррупционным проявлениям, переведенных полностью в электронный формат</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МФ</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Снижение уровня коррумпированности</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ГП</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Осуществление превентивных мер по предотвращению коррупционных правонарушений</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Контроль качества предоставления государственных услуг</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Обеспечение применения системы управления рисками при осуществлении государственных услуг</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Ведение учета коррупционных преступлений и правонарушений, совершенных сотрудниками Министерства, а также лиц уволенных по отрицательным мотивам</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Пути, средства и методы достижения целевого индикатора:</w:t>
            </w:r>
            <w:r>
              <w:br/>
            </w:r>
            <w:r>
              <w:rPr>
                <w:rFonts w:ascii="Times New Roman"/>
                <w:b w:val="false"/>
                <w:i w:val="false"/>
                <w:color w:val="000000"/>
                <w:sz w:val="20"/>
              </w:rPr>
              <w:t>
</w:t>
            </w:r>
            <w:r>
              <w:rPr>
                <w:rFonts w:ascii="Times New Roman"/>
                <w:b/>
                <w:i w:val="false"/>
                <w:color w:val="000000"/>
                <w:sz w:val="20"/>
              </w:rPr>
              <w:t>Задача 2.4.5. Сокращение уровня теневой экономики</w:t>
            </w:r>
          </w:p>
        </w:tc>
      </w:tr>
      <w:tr>
        <w:trPr>
          <w:trHeight w:val="1155" w:hRule="atLeast"/>
        </w:trPr>
        <w:tc>
          <w:tcPr>
            <w:tcW w:w="3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прямого результата</w:t>
            </w:r>
          </w:p>
        </w:tc>
        <w:tc>
          <w:tcPr>
            <w:tcW w:w="2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11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(отчет)</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(план)</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p>
            <w:pPr>
              <w:spacing w:after="20"/>
              <w:ind w:left="20"/>
              <w:jc w:val="both"/>
            </w:pPr>
            <w:r>
              <w:rPr>
                <w:rFonts w:ascii="Times New Roman"/>
                <w:b w:val="false"/>
                <w:i w:val="false"/>
                <w:color w:val="000000"/>
                <w:sz w:val="20"/>
              </w:rPr>
              <w:t>год</w:t>
            </w:r>
          </w:p>
        </w:tc>
      </w:tr>
      <w:tr>
        <w:trPr>
          <w:trHeight w:val="3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Введение всеобщего декларирования доходов и имущества населения</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чел</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1749</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11152</w:t>
            </w:r>
          </w:p>
        </w:tc>
      </w:tr>
      <w:tr>
        <w:trPr>
          <w:trHeight w:val="3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Доля выявленных нарушений таможенного законодательства</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ЦТЛ КТК</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405"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w:t>
            </w:r>
          </w:p>
        </w:tc>
      </w:tr>
      <w:tr>
        <w:trPr>
          <w:trHeight w:val="405" w:hRule="atLeast"/>
        </w:trPr>
        <w:tc>
          <w:tcPr>
            <w:tcW w:w="0" w:type="auto"/>
            <w:gridSpan w:val="5"/>
            <w:vMerge/>
            <w:tcBorders>
              <w:top w:val="nil"/>
              <w:left w:val="single" w:color="cfcfcf" w:sz="5"/>
              <w:bottom w:val="single" w:color="cfcfcf" w:sz="5"/>
              <w:right w:val="single" w:color="cfcfcf" w:sz="5"/>
            </w:tcBorders>
          </w:tcP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p>
            <w:pPr>
              <w:spacing w:after="20"/>
              <w:ind w:left="20"/>
              <w:jc w:val="both"/>
            </w:pPr>
            <w:r>
              <w:rPr>
                <w:rFonts w:ascii="Times New Roman"/>
                <w:b w:val="false"/>
                <w:i w:val="false"/>
                <w:color w:val="000000"/>
                <w:sz w:val="20"/>
              </w:rPr>
              <w:t>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Разработка методологических основ введения всеобщего декларирования и их законодательное обеспечение</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Техническое оснащение госорганов к приему, обработке и анализу деклараций физических лиц</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Широкомасштабное информирование населения по вопросам перехода к всеобщему декларированию. Оказание методической помощи населению со стороны государства по составлению и представлению декларации</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Изучение международного опыта, и внедрение наилучших практик по информационному (электронному) обеспечению процесса всеобщего декларирования</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Мониторинг результатов проведенных таможенных экспертиз с целью актуализации профилей риска, рекомендованных СУР</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Модернизация материально-технической базы и расширение исследовательских возможностей экспертной службы ЦТЛ Республики Казахстан</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Приведение таможенного законодательства в соответствии с требованиями и стандартами ВТО</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Прием и обработка электронных счетов-фактур в пилотной зоне ИС ЭСФ</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Пути, средства и методы достижения целевого индикатора:</w:t>
            </w:r>
            <w:r>
              <w:br/>
            </w:r>
            <w:r>
              <w:rPr>
                <w:rFonts w:ascii="Times New Roman"/>
                <w:b w:val="false"/>
                <w:i w:val="false"/>
                <w:color w:val="000000"/>
                <w:sz w:val="20"/>
              </w:rPr>
              <w:t>
</w:t>
            </w:r>
            <w:r>
              <w:rPr>
                <w:rFonts w:ascii="Times New Roman"/>
                <w:b/>
                <w:i w:val="false"/>
                <w:color w:val="000000"/>
                <w:sz w:val="20"/>
              </w:rPr>
              <w:t>Задача 2.4.6. Защита жизни и здоровья населения</w:t>
            </w:r>
          </w:p>
        </w:tc>
      </w:tr>
      <w:tr>
        <w:trPr>
          <w:trHeight w:val="885"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прямого результата</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(отчет)</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(план)</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3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Доля выявленных наркотических, взрывчатых средств, валюты служебно-розыскными собаками посредством инспекционно-досмотровых комплексов</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ТПК</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3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w:t>
            </w:r>
          </w:p>
        </w:tc>
      </w:tr>
      <w:tr>
        <w:trPr>
          <w:trHeight w:val="330" w:hRule="atLeast"/>
        </w:trPr>
        <w:tc>
          <w:tcPr>
            <w:tcW w:w="0" w:type="auto"/>
            <w:gridSpan w:val="5"/>
            <w:vMerge/>
            <w:tcBorders>
              <w:top w:val="nil"/>
              <w:left w:val="single" w:color="cfcfcf" w:sz="5"/>
              <w:bottom w:val="single" w:color="cfcfcf" w:sz="5"/>
              <w:right w:val="single" w:color="cfcfcf" w:sz="5"/>
            </w:tcBorders>
          </w:tcP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Выращивание и подготовка служебно-розыскных собак</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Обучение и повышение квалификации кинологов</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Пути, средства и методы достижения целевого индикатора:</w:t>
            </w:r>
            <w:r>
              <w:br/>
            </w:r>
            <w:r>
              <w:rPr>
                <w:rFonts w:ascii="Times New Roman"/>
                <w:b w:val="false"/>
                <w:i w:val="false"/>
                <w:color w:val="000000"/>
                <w:sz w:val="20"/>
              </w:rPr>
              <w:t>
</w:t>
            </w:r>
            <w:r>
              <w:rPr>
                <w:rFonts w:ascii="Times New Roman"/>
                <w:b/>
                <w:i w:val="false"/>
                <w:color w:val="000000"/>
                <w:sz w:val="20"/>
              </w:rPr>
              <w:t>Задача 2.4.7. Автоматизация бизнес-процессов государственных функций и услуг</w:t>
            </w:r>
          </w:p>
        </w:tc>
      </w:tr>
      <w:tr>
        <w:trPr>
          <w:trHeight w:val="30" w:hRule="atLeast"/>
        </w:trPr>
        <w:tc>
          <w:tcPr>
            <w:tcW w:w="3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2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(отчет)</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(план)</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p>
            <w:pPr>
              <w:spacing w:after="20"/>
              <w:ind w:left="20"/>
              <w:jc w:val="both"/>
            </w:pPr>
            <w:r>
              <w:rPr>
                <w:rFonts w:ascii="Times New Roman"/>
                <w:b w:val="false"/>
                <w:i w:val="false"/>
                <w:color w:val="000000"/>
                <w:sz w:val="20"/>
              </w:rPr>
              <w:t>год</w:t>
            </w:r>
          </w:p>
        </w:tc>
      </w:tr>
      <w:tr>
        <w:trPr>
          <w:trHeight w:val="3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Количество функциональных подсистем ИС </w:t>
            </w:r>
            <w:r>
              <w:br/>
            </w:r>
            <w:r>
              <w:rPr>
                <w:rFonts w:ascii="Times New Roman"/>
                <w:b w:val="false"/>
                <w:i w:val="false"/>
                <w:color w:val="000000"/>
                <w:sz w:val="20"/>
              </w:rPr>
              <w:t>
</w:t>
            </w:r>
            <w:r>
              <w:rPr>
                <w:rFonts w:ascii="Times New Roman"/>
                <w:b w:val="false"/>
                <w:i w:val="false"/>
                <w:color w:val="000000"/>
                <w:sz w:val="20"/>
              </w:rPr>
              <w:t>«е-Минфин» введенных в опытную эксплуатацию</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 МФ</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95"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w:t>
            </w:r>
          </w:p>
        </w:tc>
      </w:tr>
      <w:tr>
        <w:trPr>
          <w:trHeight w:val="495" w:hRule="atLeast"/>
        </w:trPr>
        <w:tc>
          <w:tcPr>
            <w:tcW w:w="0" w:type="auto"/>
            <w:gridSpan w:val="5"/>
            <w:vMerge/>
            <w:tcBorders>
              <w:top w:val="nil"/>
              <w:left w:val="single" w:color="cfcfcf" w:sz="5"/>
              <w:bottom w:val="single" w:color="cfcfcf" w:sz="5"/>
              <w:right w:val="single" w:color="cfcfcf" w:sz="5"/>
            </w:tcBorders>
          </w:tcP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Развитие и расширение функциональности ИАИС «е-Минфин» в соответствии с программами опытной эксплуатации</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Обучение пользователей в рамках мероприятий по опытной эксплуатации</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Организация работ по технической поддержке пользователей подсистем «е-Минфин» (Сall center)</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Пути, средства и методы достижения целевого индикатора:</w:t>
            </w:r>
            <w:r>
              <w:br/>
            </w:r>
            <w:r>
              <w:rPr>
                <w:rFonts w:ascii="Times New Roman"/>
                <w:b w:val="false"/>
                <w:i w:val="false"/>
                <w:color w:val="000000"/>
                <w:sz w:val="20"/>
              </w:rPr>
              <w:t>
</w:t>
            </w:r>
            <w:r>
              <w:rPr>
                <w:rFonts w:ascii="Times New Roman"/>
                <w:b/>
                <w:i w:val="false"/>
                <w:color w:val="000000"/>
                <w:sz w:val="20"/>
              </w:rPr>
              <w:t>Задача 2.4.8. Повышение эффективности системы финансового мониторинга</w:t>
            </w:r>
          </w:p>
        </w:tc>
      </w:tr>
      <w:tr>
        <w:trPr>
          <w:trHeight w:val="1860" w:hRule="atLeast"/>
        </w:trPr>
        <w:tc>
          <w:tcPr>
            <w:tcW w:w="3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прямого результата</w:t>
            </w:r>
          </w:p>
        </w:tc>
        <w:tc>
          <w:tcPr>
            <w:tcW w:w="2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18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(отчет)</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(план)</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p>
            <w:pPr>
              <w:spacing w:after="20"/>
              <w:ind w:left="20"/>
              <w:jc w:val="both"/>
            </w:pPr>
            <w:r>
              <w:rPr>
                <w:rFonts w:ascii="Times New Roman"/>
                <w:b w:val="false"/>
                <w:i w:val="false"/>
                <w:color w:val="000000"/>
                <w:sz w:val="20"/>
              </w:rPr>
              <w:t>год</w:t>
            </w:r>
          </w:p>
        </w:tc>
      </w:tr>
      <w:tr>
        <w:trPr>
          <w:trHeight w:val="3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Повышение рейтинга</w:t>
            </w:r>
            <w:r>
              <w:br/>
            </w:r>
            <w:r>
              <w:rPr>
                <w:rFonts w:ascii="Times New Roman"/>
                <w:b w:val="false"/>
                <w:i w:val="false"/>
                <w:color w:val="000000"/>
                <w:sz w:val="20"/>
              </w:rPr>
              <w:t>
</w:t>
            </w:r>
            <w:r>
              <w:rPr>
                <w:rFonts w:ascii="Times New Roman"/>
                <w:b w:val="false"/>
                <w:i w:val="false"/>
                <w:color w:val="000000"/>
                <w:sz w:val="20"/>
              </w:rPr>
              <w:t>соответствия Республики Казахстан рекомендациям</w:t>
            </w:r>
            <w:r>
              <w:br/>
            </w:r>
            <w:r>
              <w:rPr>
                <w:rFonts w:ascii="Times New Roman"/>
                <w:b w:val="false"/>
                <w:i w:val="false"/>
                <w:color w:val="000000"/>
                <w:sz w:val="20"/>
              </w:rPr>
              <w:t>
</w:t>
            </w:r>
            <w:r>
              <w:rPr>
                <w:rFonts w:ascii="Times New Roman"/>
                <w:b w:val="false"/>
                <w:i w:val="false"/>
                <w:color w:val="000000"/>
                <w:sz w:val="20"/>
              </w:rPr>
              <w:t>Группы разработки финансовых мер борьбы с отмыванием денег (ФАТФ 40) до оценки «Значительного</w:t>
            </w:r>
            <w:r>
              <w:br/>
            </w:r>
            <w:r>
              <w:rPr>
                <w:rFonts w:ascii="Times New Roman"/>
                <w:b w:val="false"/>
                <w:i w:val="false"/>
                <w:color w:val="000000"/>
                <w:sz w:val="20"/>
              </w:rPr>
              <w:t>
</w:t>
            </w:r>
            <w:r>
              <w:rPr>
                <w:rFonts w:ascii="Times New Roman"/>
                <w:b w:val="false"/>
                <w:i w:val="false"/>
                <w:color w:val="000000"/>
                <w:sz w:val="20"/>
              </w:rPr>
              <w:t>соответствия» и «Соответствия»</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взаимной оценки ЕАГ</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Международные стандарты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85"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w:t>
            </w:r>
          </w:p>
        </w:tc>
      </w:tr>
      <w:tr>
        <w:trPr>
          <w:trHeight w:val="285" w:hRule="atLeast"/>
        </w:trPr>
        <w:tc>
          <w:tcPr>
            <w:tcW w:w="0" w:type="auto"/>
            <w:gridSpan w:val="5"/>
            <w:vMerge/>
            <w:tcBorders>
              <w:top w:val="nil"/>
              <w:left w:val="single" w:color="cfcfcf" w:sz="5"/>
              <w:bottom w:val="single" w:color="cfcfcf" w:sz="5"/>
              <w:right w:val="single" w:color="cfcfcf" w:sz="5"/>
            </w:tcBorders>
          </w:tcP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Разработка предложений по внесению изменений и дополнений в законодательные акты по вопросам криминализации преступлений, связанных с отмыванием доходов, финансированием терроризма и финансированием распространения оружия массового уничтожения, а также по вопросам наделения компетентных и контролирующих органов необходимыми обязанностями, полномочиями и правом применения санкций</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Разработка предложений по внесению изменений и дополнений в законодательные акты по вопросам устанавливающим меры по ПОД/ФТ и ОМУ, обязательные для исполнения субъектами финансового мониторинга</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Председательство и сопредседательство в рабочих группах, создаваемых международными группами и объединениями</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Участие в работе Совета руководителей *ПФР СНГ</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Мероприятия, проводимые в целях координации деятельности государственных органов и взаимодействия в сфере ПОД/ФТ: заседания, семинары, круглые столы, рабочие встречи</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Заключение двусторонних соглашений, меморандумов о сотрудничестве с компетентными органами иностранных государств в сфере ПОД/ФТ и ОМУ</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Осуществление перехода СФМ к предоставлению формы ФМ-1 в электронном виде через веб-портал КФМ</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93" w:id="29"/>
    <w:p>
      <w:pPr>
        <w:spacing w:after="0"/>
        <w:ind w:left="0"/>
        <w:jc w:val="left"/>
      </w:pPr>
      <w:r>
        <w:rPr>
          <w:rFonts w:ascii="Times New Roman"/>
          <w:b/>
          <w:i w:val="false"/>
          <w:color w:val="000000"/>
        </w:rPr>
        <w:t xml:space="preserve"> 
3.2. Соответствие стратегических направлений и целей</w:t>
      </w:r>
      <w:r>
        <w:br/>
      </w:r>
      <w:r>
        <w:rPr>
          <w:rFonts w:ascii="Times New Roman"/>
          <w:b/>
          <w:i w:val="false"/>
          <w:color w:val="000000"/>
        </w:rPr>
        <w:t>
государственного органа стратегическим целям государства</w:t>
      </w:r>
    </w:p>
    <w:bookmarkEnd w:id="29"/>
    <w:p>
      <w:pPr>
        <w:spacing w:after="0"/>
        <w:ind w:left="0"/>
        <w:jc w:val="both"/>
      </w:pPr>
      <w:r>
        <w:rPr>
          <w:rFonts w:ascii="Times New Roman"/>
          <w:b w:val="false"/>
          <w:i w:val="false"/>
          <w:color w:val="ff0000"/>
          <w:sz w:val="28"/>
        </w:rPr>
        <w:t xml:space="preserve">      Сноска. Подраздел 3.2. с изменением, внесенным постановлением Правительства РК от 04.05.2014 </w:t>
      </w:r>
      <w:r>
        <w:rPr>
          <w:rFonts w:ascii="Times New Roman"/>
          <w:b w:val="false"/>
          <w:i w:val="false"/>
          <w:color w:val="ff0000"/>
          <w:sz w:val="28"/>
        </w:rPr>
        <w:t>№ 444</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5"/>
        <w:gridCol w:w="9485"/>
      </w:tblGrid>
      <w:tr>
        <w:trPr>
          <w:trHeight w:val="660" w:hRule="atLeast"/>
        </w:trPr>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Стратегические направления и цели</w:t>
            </w:r>
            <w:r>
              <w:br/>
            </w:r>
            <w:r>
              <w:rPr>
                <w:rFonts w:ascii="Times New Roman"/>
                <w:b w:val="false"/>
                <w:i w:val="false"/>
                <w:color w:val="000000"/>
                <w:sz w:val="20"/>
              </w:rPr>
              <w:t>
</w:t>
            </w:r>
            <w:r>
              <w:rPr>
                <w:rFonts w:ascii="Times New Roman"/>
                <w:b w:val="false"/>
                <w:i w:val="false"/>
                <w:color w:val="000000"/>
                <w:sz w:val="20"/>
              </w:rPr>
              <w:t>государственного органа</w:t>
            </w:r>
          </w:p>
        </w:tc>
        <w:tc>
          <w:tcPr>
            <w:tcW w:w="9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стратегического и (или) программного документа</w:t>
            </w:r>
          </w:p>
        </w:tc>
      </w:tr>
      <w:tr>
        <w:trPr>
          <w:trHeight w:val="30" w:hRule="atLeast"/>
        </w:trPr>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Стратегическое направление 1. Содействие в обеспечении финансовой безопасности </w:t>
            </w:r>
            <w:r>
              <w:br/>
            </w:r>
            <w:r>
              <w:rPr>
                <w:rFonts w:ascii="Times New Roman"/>
                <w:b w:val="false"/>
                <w:i w:val="false"/>
                <w:color w:val="000000"/>
                <w:sz w:val="20"/>
              </w:rPr>
              <w:t>
</w:t>
            </w:r>
            <w:r>
              <w:rPr>
                <w:rFonts w:ascii="Times New Roman"/>
                <w:b w:val="false"/>
                <w:i w:val="false"/>
                <w:color w:val="000000"/>
                <w:sz w:val="20"/>
              </w:rPr>
              <w:t>Цель 1.4. Оказание мер государственной и социальной поддержки</w:t>
            </w:r>
          </w:p>
        </w:tc>
        <w:tc>
          <w:tcPr>
            <w:tcW w:w="9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rPr>
                <w:rFonts w:ascii="Times New Roman"/>
                <w:b w:val="false"/>
                <w:i w:val="false"/>
                <w:color w:val="000000"/>
                <w:sz w:val="20"/>
              </w:rPr>
              <w:t xml:space="preserve"> Правительства Республики Казахстан от 28 февраля 2001 года № 304 «О мерах по обеспечению защиты интересов граждан, получивших льготные жилищные кредиты, выданные закрытым акционерным обществом "Жилстройбанк" в соответствии с Указом Президента Республики Казахстан от 6 сентября 1993 года № 1344 «О новой жилищной политике»</w:t>
            </w:r>
          </w:p>
        </w:tc>
      </w:tr>
      <w:tr>
        <w:trPr>
          <w:trHeight w:val="30" w:hRule="atLeast"/>
        </w:trPr>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1. Содействие в обеспечении финансовой безопасности</w:t>
            </w:r>
            <w:r>
              <w:br/>
            </w:r>
            <w:r>
              <w:rPr>
                <w:rFonts w:ascii="Times New Roman"/>
                <w:b w:val="false"/>
                <w:i w:val="false"/>
                <w:color w:val="000000"/>
                <w:sz w:val="20"/>
              </w:rPr>
              <w:t>
</w:t>
            </w:r>
            <w:r>
              <w:rPr>
                <w:rFonts w:ascii="Times New Roman"/>
                <w:b w:val="false"/>
                <w:i w:val="false"/>
                <w:color w:val="000000"/>
                <w:sz w:val="20"/>
              </w:rPr>
              <w:t>Цель 1.2. Управление и мониторинг рисков государственного и гарантированного государственного долга, долга по поручительствам государства и долга квазигосударственного сектора</w:t>
            </w:r>
          </w:p>
        </w:tc>
        <w:tc>
          <w:tcPr>
            <w:tcW w:w="9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Указ</w:t>
            </w:r>
            <w:r>
              <w:rPr>
                <w:rFonts w:ascii="Times New Roman"/>
                <w:b w:val="false"/>
                <w:i w:val="false"/>
                <w:color w:val="000000"/>
                <w:sz w:val="20"/>
              </w:rPr>
              <w:t xml:space="preserve"> Президента Республики Казахстан от 1 февраля 2010 года № 922 «О Стратегическом плане развития Республики Казахстан до 2020 года».</w:t>
            </w:r>
          </w:p>
        </w:tc>
      </w:tr>
      <w:tr>
        <w:trPr>
          <w:trHeight w:val="30" w:hRule="atLeast"/>
        </w:trPr>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1. Содействие в обеспечении финансовой безопасности</w:t>
            </w:r>
            <w:r>
              <w:br/>
            </w:r>
            <w:r>
              <w:rPr>
                <w:rFonts w:ascii="Times New Roman"/>
                <w:b w:val="false"/>
                <w:i w:val="false"/>
                <w:color w:val="000000"/>
                <w:sz w:val="20"/>
              </w:rPr>
              <w:t>
</w:t>
            </w:r>
            <w:r>
              <w:rPr>
                <w:rFonts w:ascii="Times New Roman"/>
                <w:b w:val="false"/>
                <w:i w:val="false"/>
                <w:color w:val="000000"/>
                <w:sz w:val="20"/>
              </w:rPr>
              <w:t>Цель 1.3. Создание условий для эффективного исполнения бюджета и обеспечения финансовой дисциплины</w:t>
            </w:r>
          </w:p>
        </w:tc>
        <w:tc>
          <w:tcPr>
            <w:tcW w:w="9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Послание</w:t>
            </w:r>
            <w:r>
              <w:rPr>
                <w:rFonts w:ascii="Times New Roman"/>
                <w:b w:val="false"/>
                <w:i w:val="false"/>
                <w:color w:val="000000"/>
                <w:sz w:val="20"/>
              </w:rPr>
              <w:t xml:space="preserve"> Президента Республики Казахстан – Лидера Нации Н. А. Назарбаева народу Казахстана от 14 декабря 2012 года «Стратегия «Казахстан – 2050»: новый политический курс состоявшегося государства».</w:t>
            </w:r>
          </w:p>
        </w:tc>
      </w:tr>
      <w:tr>
        <w:trPr>
          <w:trHeight w:val="30" w:hRule="atLeast"/>
        </w:trPr>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Стратегическое направление 1. Содействие в обеспечении финансовой безопасности </w:t>
            </w:r>
            <w:r>
              <w:br/>
            </w:r>
            <w:r>
              <w:rPr>
                <w:rFonts w:ascii="Times New Roman"/>
                <w:b w:val="false"/>
                <w:i w:val="false"/>
                <w:color w:val="000000"/>
                <w:sz w:val="20"/>
              </w:rPr>
              <w:t>
</w:t>
            </w:r>
            <w:r>
              <w:rPr>
                <w:rFonts w:ascii="Times New Roman"/>
                <w:b w:val="false"/>
                <w:i w:val="false"/>
                <w:color w:val="000000"/>
                <w:sz w:val="20"/>
              </w:rPr>
              <w:t>Цель 1.4. Оказание мер государственной и социальной поддержки</w:t>
            </w:r>
          </w:p>
        </w:tc>
        <w:tc>
          <w:tcPr>
            <w:tcW w:w="9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Указ</w:t>
            </w:r>
            <w:r>
              <w:rPr>
                <w:rFonts w:ascii="Times New Roman"/>
                <w:b w:val="false"/>
                <w:i w:val="false"/>
                <w:color w:val="000000"/>
                <w:sz w:val="20"/>
              </w:rPr>
              <w:t xml:space="preserve"> Президента Республики Казахстан от 6 сентября 1993 года № 1344 «О новой жилищной политике».</w:t>
            </w:r>
          </w:p>
        </w:tc>
      </w:tr>
      <w:tr>
        <w:trPr>
          <w:trHeight w:val="1725" w:hRule="atLeast"/>
        </w:trPr>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2. Обеспечение качества государственных услуг и эффективности исполняемых функций Цель 2.1. Обеспечение эффективности оказания государственных услуг</w:t>
            </w:r>
          </w:p>
        </w:tc>
        <w:tc>
          <w:tcPr>
            <w:tcW w:w="9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Указ</w:t>
            </w:r>
            <w:r>
              <w:rPr>
                <w:rFonts w:ascii="Times New Roman"/>
                <w:b w:val="false"/>
                <w:i w:val="false"/>
                <w:color w:val="000000"/>
                <w:sz w:val="20"/>
              </w:rPr>
              <w:t xml:space="preserve"> Президента Республики Казахстан от 19 марта 2010 года № 954 «О Системе ежегодной оценки эффективности деятельности центральных государственных и местных исполнительных органов областей, города республиканского значения, столицы».</w:t>
            </w:r>
          </w:p>
        </w:tc>
      </w:tr>
      <w:tr>
        <w:trPr>
          <w:trHeight w:val="2055" w:hRule="atLeast"/>
        </w:trPr>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2. Обеспечение качества государственных услуг и эффективности исполняемых функций Цель 2.2. Обеспечение результативности и эффективности осуществление функций</w:t>
            </w:r>
          </w:p>
        </w:tc>
        <w:tc>
          <w:tcPr>
            <w:tcW w:w="9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Указ</w:t>
            </w:r>
            <w:r>
              <w:rPr>
                <w:rFonts w:ascii="Times New Roman"/>
                <w:b w:val="false"/>
                <w:i w:val="false"/>
                <w:color w:val="000000"/>
                <w:sz w:val="20"/>
              </w:rPr>
              <w:t xml:space="preserve"> Президента Республики Казахстан от </w:t>
            </w:r>
            <w:r>
              <w:br/>
            </w:r>
            <w:r>
              <w:rPr>
                <w:rFonts w:ascii="Times New Roman"/>
                <w:b w:val="false"/>
                <w:i w:val="false"/>
                <w:color w:val="000000"/>
                <w:sz w:val="20"/>
              </w:rPr>
              <w:t>
</w:t>
            </w:r>
            <w:r>
              <w:rPr>
                <w:rFonts w:ascii="Times New Roman"/>
                <w:b w:val="false"/>
                <w:i w:val="false"/>
                <w:color w:val="000000"/>
                <w:sz w:val="20"/>
              </w:rPr>
              <w:t>1 февраля 2010 года № 922 «О Стратегическом плане развития Республики Казахстан до 2020 года»;</w:t>
            </w:r>
            <w:r>
              <w:br/>
            </w:r>
            <w:r>
              <w:rPr>
                <w:rFonts w:ascii="Times New Roman"/>
                <w:b w:val="false"/>
                <w:i w:val="false"/>
                <w:color w:val="000000"/>
                <w:sz w:val="20"/>
              </w:rPr>
              <w:t>
</w:t>
            </w:r>
            <w:r>
              <w:rPr>
                <w:rFonts w:ascii="Times New Roman"/>
                <w:b w:val="false"/>
                <w:i w:val="false"/>
                <w:color w:val="000000"/>
                <w:sz w:val="20"/>
              </w:rPr>
              <w:t>Указ</w:t>
            </w:r>
            <w:r>
              <w:rPr>
                <w:rFonts w:ascii="Times New Roman"/>
                <w:b w:val="false"/>
                <w:i w:val="false"/>
                <w:color w:val="000000"/>
                <w:sz w:val="20"/>
              </w:rPr>
              <w:t xml:space="preserve"> Президента Республики Казахстан от 4 марта 2010 года № 931 «О некоторых вопросах дальнейшего функционирования Системы государственного планирования в Республике Казахстан»</w:t>
            </w:r>
          </w:p>
        </w:tc>
      </w:tr>
      <w:tr>
        <w:trPr>
          <w:trHeight w:val="1365" w:hRule="atLeast"/>
        </w:trPr>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2. Обеспечение качества государственных услуг и эффективности исполняемых функций Цель 2.3. Содействие в укреплении международного сотрудничества</w:t>
            </w:r>
          </w:p>
        </w:tc>
        <w:tc>
          <w:tcPr>
            <w:tcW w:w="9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Указ</w:t>
            </w:r>
            <w:r>
              <w:rPr>
                <w:rFonts w:ascii="Times New Roman"/>
                <w:b w:val="false"/>
                <w:i w:val="false"/>
                <w:color w:val="000000"/>
                <w:sz w:val="20"/>
              </w:rPr>
              <w:t xml:space="preserve"> Президента Республики Казахстан от 4 марта 2010 года № 931 «О некоторых вопросах дальнейшего функционирования Системы государственного планирования в Республике Казахстан»</w:t>
            </w:r>
          </w:p>
        </w:tc>
      </w:tr>
      <w:tr>
        <w:trPr>
          <w:trHeight w:val="1365" w:hRule="atLeast"/>
        </w:trPr>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2. Обеспечение качества государственных услуг и эффективности исполняемых функций Цель 2.4. Обеспечение институционального развития и модернизации системы исполнения бюджета</w:t>
            </w:r>
          </w:p>
        </w:tc>
        <w:tc>
          <w:tcPr>
            <w:tcW w:w="9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Указ</w:t>
            </w:r>
            <w:r>
              <w:rPr>
                <w:rFonts w:ascii="Times New Roman"/>
                <w:b w:val="false"/>
                <w:i w:val="false"/>
                <w:color w:val="000000"/>
                <w:sz w:val="20"/>
              </w:rPr>
              <w:t xml:space="preserve"> Президента Республики Казахстан от 4 марта 2010 года № 931 «О некоторых вопросах дальнейшего функционирования Системы государственного планирования в Республике Казахстан»</w:t>
            </w:r>
          </w:p>
        </w:tc>
      </w:tr>
    </w:tbl>
    <w:bookmarkStart w:name="z94" w:id="30"/>
    <w:p>
      <w:pPr>
        <w:spacing w:after="0"/>
        <w:ind w:left="0"/>
        <w:jc w:val="left"/>
      </w:pPr>
      <w:r>
        <w:rPr>
          <w:rFonts w:ascii="Times New Roman"/>
          <w:b/>
          <w:i w:val="false"/>
          <w:color w:val="000000"/>
        </w:rPr>
        <w:t xml:space="preserve"> 
4. Развитие функциональных возможностей</w:t>
      </w:r>
    </w:p>
    <w:bookmarkEnd w:id="30"/>
    <w:p>
      <w:pPr>
        <w:spacing w:after="0"/>
        <w:ind w:left="0"/>
        <w:jc w:val="both"/>
      </w:pPr>
      <w:r>
        <w:rPr>
          <w:rFonts w:ascii="Times New Roman"/>
          <w:b w:val="false"/>
          <w:i w:val="false"/>
          <w:color w:val="ff0000"/>
          <w:sz w:val="28"/>
        </w:rPr>
        <w:t xml:space="preserve">      Сноска. Раздел 4 с изменением, внесенным постановлением Правительства РК от 04.05.2014 </w:t>
      </w:r>
      <w:r>
        <w:rPr>
          <w:rFonts w:ascii="Times New Roman"/>
          <w:b w:val="false"/>
          <w:i w:val="false"/>
          <w:color w:val="ff0000"/>
          <w:sz w:val="28"/>
        </w:rPr>
        <w:t>№ 444</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7"/>
        <w:gridCol w:w="6361"/>
        <w:gridCol w:w="4122"/>
      </w:tblGrid>
      <w:tr>
        <w:trPr>
          <w:trHeight w:val="345" w:hRule="atLeast"/>
        </w:trPr>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стратегического</w:t>
            </w:r>
            <w:r>
              <w:br/>
            </w:r>
            <w:r>
              <w:rPr>
                <w:rFonts w:ascii="Times New Roman"/>
                <w:b w:val="false"/>
                <w:i w:val="false"/>
                <w:color w:val="000000"/>
                <w:sz w:val="20"/>
              </w:rPr>
              <w:t>
</w:t>
            </w:r>
            <w:r>
              <w:rPr>
                <w:rFonts w:ascii="Times New Roman"/>
                <w:b w:val="false"/>
                <w:i w:val="false"/>
                <w:color w:val="000000"/>
                <w:sz w:val="20"/>
              </w:rPr>
              <w:t>направления, цели и задачи государственного органа</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по реализации стратегического направления и цели государственного органа</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реализации</w:t>
            </w:r>
          </w:p>
        </w:tc>
      </w:tr>
      <w:tr>
        <w:trPr>
          <w:trHeight w:val="345" w:hRule="atLeast"/>
        </w:trPr>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1. Содействие в обеспечении финансовой безопасности Цель 1.1. Обеспечение полноты и своевременности поступлений в бюджет</w:t>
            </w:r>
            <w:r>
              <w:br/>
            </w:r>
            <w:r>
              <w:rPr>
                <w:rFonts w:ascii="Times New Roman"/>
                <w:b w:val="false"/>
                <w:i w:val="false"/>
                <w:color w:val="000000"/>
                <w:sz w:val="20"/>
              </w:rPr>
              <w:t>
</w:t>
            </w:r>
            <w:r>
              <w:rPr>
                <w:rFonts w:ascii="Times New Roman"/>
                <w:b w:val="false"/>
                <w:i w:val="false"/>
                <w:color w:val="000000"/>
                <w:sz w:val="20"/>
              </w:rPr>
              <w:t>Задача 1.1.1. Повышение эффективности сбора налогов</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налоговых проверок в крупных компаниях нефтегазового сектора с целью расширения налогооблагаемой базы увеличения поступления налогов в доходную часть бюджета;</w:t>
            </w:r>
            <w:r>
              <w:br/>
            </w:r>
            <w:r>
              <w:rPr>
                <w:rFonts w:ascii="Times New Roman"/>
                <w:b w:val="false"/>
                <w:i w:val="false"/>
                <w:color w:val="000000"/>
                <w:sz w:val="20"/>
              </w:rPr>
              <w:t>
</w:t>
            </w:r>
            <w:r>
              <w:rPr>
                <w:rFonts w:ascii="Times New Roman"/>
                <w:b w:val="false"/>
                <w:i w:val="false"/>
                <w:color w:val="000000"/>
                <w:sz w:val="20"/>
              </w:rPr>
              <w:t>реинжиниринг бизнес-процессов</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2018 годы</w:t>
            </w:r>
          </w:p>
        </w:tc>
      </w:tr>
      <w:tr>
        <w:trPr>
          <w:trHeight w:val="345" w:hRule="atLeast"/>
        </w:trPr>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1. Содействие в обеспечении финансовой безопасности Цель 1.1. Обеспечение полноты и своевременности поступлений в бюджет</w:t>
            </w:r>
            <w:r>
              <w:br/>
            </w:r>
            <w:r>
              <w:rPr>
                <w:rFonts w:ascii="Times New Roman"/>
                <w:b w:val="false"/>
                <w:i w:val="false"/>
                <w:color w:val="000000"/>
                <w:sz w:val="20"/>
              </w:rPr>
              <w:t>
</w:t>
            </w:r>
            <w:r>
              <w:rPr>
                <w:rFonts w:ascii="Times New Roman"/>
                <w:b w:val="false"/>
                <w:i w:val="false"/>
                <w:color w:val="000000"/>
                <w:sz w:val="20"/>
              </w:rPr>
              <w:t>Задача 1.1.2. Обеспечение полноты и своевременности уплаты таможенных платежей</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 предоставления зачетов и отсрочек по НДС и льгот по уплате таможенных платежей и налогов;</w:t>
            </w:r>
            <w:r>
              <w:br/>
            </w:r>
            <w:r>
              <w:rPr>
                <w:rFonts w:ascii="Times New Roman"/>
                <w:b w:val="false"/>
                <w:i w:val="false"/>
                <w:color w:val="000000"/>
                <w:sz w:val="20"/>
              </w:rPr>
              <w:t>
</w:t>
            </w:r>
            <w:r>
              <w:rPr>
                <w:rFonts w:ascii="Times New Roman"/>
                <w:b w:val="false"/>
                <w:i w:val="false"/>
                <w:color w:val="000000"/>
                <w:sz w:val="20"/>
              </w:rPr>
              <w:t>контроль правильности предоставления тарифных преференций;</w:t>
            </w:r>
            <w:r>
              <w:br/>
            </w:r>
            <w:r>
              <w:rPr>
                <w:rFonts w:ascii="Times New Roman"/>
                <w:b w:val="false"/>
                <w:i w:val="false"/>
                <w:color w:val="000000"/>
                <w:sz w:val="20"/>
              </w:rPr>
              <w:t>
</w:t>
            </w:r>
            <w:r>
              <w:rPr>
                <w:rFonts w:ascii="Times New Roman"/>
                <w:b w:val="false"/>
                <w:i w:val="false"/>
                <w:color w:val="000000"/>
                <w:sz w:val="20"/>
              </w:rPr>
              <w:t>контроль и мониторинг поступления таможенных платежей и налогов</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2018 годы</w:t>
            </w:r>
          </w:p>
        </w:tc>
      </w:tr>
      <w:tr>
        <w:trPr>
          <w:trHeight w:val="345" w:hRule="atLeast"/>
        </w:trPr>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1. Содействие в обеспечении финансовой безопасности</w:t>
            </w:r>
            <w:r>
              <w:br/>
            </w:r>
            <w:r>
              <w:rPr>
                <w:rFonts w:ascii="Times New Roman"/>
                <w:b w:val="false"/>
                <w:i w:val="false"/>
                <w:color w:val="000000"/>
                <w:sz w:val="20"/>
              </w:rPr>
              <w:t>
</w:t>
            </w:r>
            <w:r>
              <w:rPr>
                <w:rFonts w:ascii="Times New Roman"/>
                <w:b w:val="false"/>
                <w:i w:val="false"/>
                <w:color w:val="000000"/>
                <w:sz w:val="20"/>
              </w:rPr>
              <w:t>Цель 1.1. Обеспечение полноты и своевременности поступлений в бюджет</w:t>
            </w:r>
            <w:r>
              <w:br/>
            </w:r>
            <w:r>
              <w:rPr>
                <w:rFonts w:ascii="Times New Roman"/>
                <w:b w:val="false"/>
                <w:i w:val="false"/>
                <w:color w:val="000000"/>
                <w:sz w:val="20"/>
              </w:rPr>
              <w:t>
</w:t>
            </w:r>
            <w:r>
              <w:rPr>
                <w:rFonts w:ascii="Times New Roman"/>
                <w:b w:val="false"/>
                <w:i w:val="false"/>
                <w:color w:val="000000"/>
                <w:sz w:val="20"/>
              </w:rPr>
              <w:t xml:space="preserve">Задача 1.1.5. Эффективное использование имущества, закрепленного за республиканскими государственными юридическими лицами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обращений государственных органов и местных исполнительных органов по распоряжению имущества республиканских государственных юридических лиц или мотивированный отказ;</w:t>
            </w:r>
            <w:r>
              <w:br/>
            </w:r>
            <w:r>
              <w:rPr>
                <w:rFonts w:ascii="Times New Roman"/>
                <w:b w:val="false"/>
                <w:i w:val="false"/>
                <w:color w:val="000000"/>
                <w:sz w:val="20"/>
              </w:rPr>
              <w:t>
</w:t>
            </w:r>
            <w:r>
              <w:rPr>
                <w:rFonts w:ascii="Times New Roman"/>
                <w:b w:val="false"/>
                <w:i w:val="false"/>
                <w:color w:val="000000"/>
                <w:sz w:val="20"/>
              </w:rPr>
              <w:t>предоставление в аренду имущества республиканской государственной собственности;</w:t>
            </w:r>
            <w:r>
              <w:br/>
            </w:r>
            <w:r>
              <w:rPr>
                <w:rFonts w:ascii="Times New Roman"/>
                <w:b w:val="false"/>
                <w:i w:val="false"/>
                <w:color w:val="000000"/>
                <w:sz w:val="20"/>
              </w:rPr>
              <w:t>
</w:t>
            </w:r>
            <w:r>
              <w:rPr>
                <w:rFonts w:ascii="Times New Roman"/>
                <w:b w:val="false"/>
                <w:i w:val="false"/>
                <w:color w:val="000000"/>
                <w:sz w:val="20"/>
              </w:rPr>
              <w:t>контроль целевого использования имущества, закрепленного за республиканскими государственными юридическими лицами в соответствии с утвержденным перечнем республиканских государственных юридических лиц;</w:t>
            </w:r>
            <w:r>
              <w:br/>
            </w:r>
            <w:r>
              <w:rPr>
                <w:rFonts w:ascii="Times New Roman"/>
                <w:b w:val="false"/>
                <w:i w:val="false"/>
                <w:color w:val="000000"/>
                <w:sz w:val="20"/>
              </w:rPr>
              <w:t>
</w:t>
            </w:r>
            <w:r>
              <w:rPr>
                <w:rFonts w:ascii="Times New Roman"/>
                <w:b w:val="false"/>
                <w:i w:val="false"/>
                <w:color w:val="000000"/>
                <w:sz w:val="20"/>
              </w:rPr>
              <w:t>формирование графика контроля целевого использования имущества республиканских государственных юридических лиц, проведение территориальными органами КГИП контроля, согласование государственными органами по дальнейшему использованию излишнего, неиспользуемого либо используемого не по назначению имущества и изъятие излишнего имущества, в том числе в судебном порядке;</w:t>
            </w:r>
            <w:r>
              <w:br/>
            </w:r>
            <w:r>
              <w:rPr>
                <w:rFonts w:ascii="Times New Roman"/>
                <w:b w:val="false"/>
                <w:i w:val="false"/>
                <w:color w:val="000000"/>
                <w:sz w:val="20"/>
              </w:rPr>
              <w:t>
</w:t>
            </w:r>
            <w:r>
              <w:rPr>
                <w:rFonts w:ascii="Times New Roman"/>
                <w:b w:val="false"/>
                <w:i w:val="false"/>
                <w:color w:val="000000"/>
                <w:sz w:val="20"/>
              </w:rPr>
              <w:t>внедрение в реестр государственного имущества дополнительных категорий объектов учета Реестра государственного имущества, определенных Правилами ведения Реестра государственного имущества;</w:t>
            </w:r>
            <w:r>
              <w:br/>
            </w:r>
            <w:r>
              <w:rPr>
                <w:rFonts w:ascii="Times New Roman"/>
                <w:b w:val="false"/>
                <w:i w:val="false"/>
                <w:color w:val="000000"/>
                <w:sz w:val="20"/>
              </w:rPr>
              <w:t>
</w:t>
            </w:r>
            <w:r>
              <w:rPr>
                <w:rFonts w:ascii="Times New Roman"/>
                <w:b w:val="false"/>
                <w:i w:val="false"/>
                <w:color w:val="000000"/>
                <w:sz w:val="20"/>
              </w:rPr>
              <w:t>проведение оценки стоимости объектов республиканской собственности, подлежащих приватизации;</w:t>
            </w:r>
            <w:r>
              <w:br/>
            </w:r>
            <w:r>
              <w:rPr>
                <w:rFonts w:ascii="Times New Roman"/>
                <w:b w:val="false"/>
                <w:i w:val="false"/>
                <w:color w:val="000000"/>
                <w:sz w:val="20"/>
              </w:rPr>
              <w:t>
</w:t>
            </w:r>
            <w:r>
              <w:rPr>
                <w:rFonts w:ascii="Times New Roman"/>
                <w:b w:val="false"/>
                <w:i w:val="false"/>
                <w:color w:val="000000"/>
                <w:sz w:val="20"/>
              </w:rPr>
              <w:t>выставление на торги объектов республиканской собственности, подлежащих приватизации.</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2018 годы</w:t>
            </w:r>
          </w:p>
        </w:tc>
      </w:tr>
      <w:tr>
        <w:trPr>
          <w:trHeight w:val="345" w:hRule="atLeast"/>
        </w:trPr>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1. Содействие в обеспечении финансовой безопасности</w:t>
            </w:r>
            <w:r>
              <w:br/>
            </w:r>
            <w:r>
              <w:rPr>
                <w:rFonts w:ascii="Times New Roman"/>
                <w:b w:val="false"/>
                <w:i w:val="false"/>
                <w:color w:val="000000"/>
                <w:sz w:val="20"/>
              </w:rPr>
              <w:t>
</w:t>
            </w:r>
            <w:r>
              <w:rPr>
                <w:rFonts w:ascii="Times New Roman"/>
                <w:b w:val="false"/>
                <w:i w:val="false"/>
                <w:color w:val="000000"/>
                <w:sz w:val="20"/>
              </w:rPr>
              <w:t>Цель 1.4. Оказание мер государственной и социальной поддержки</w:t>
            </w:r>
            <w:r>
              <w:br/>
            </w:r>
            <w:r>
              <w:rPr>
                <w:rFonts w:ascii="Times New Roman"/>
                <w:b w:val="false"/>
                <w:i w:val="false"/>
                <w:color w:val="000000"/>
                <w:sz w:val="20"/>
              </w:rPr>
              <w:t>
</w:t>
            </w:r>
            <w:r>
              <w:rPr>
                <w:rFonts w:ascii="Times New Roman"/>
                <w:b w:val="false"/>
                <w:i w:val="false"/>
                <w:color w:val="000000"/>
                <w:sz w:val="20"/>
              </w:rPr>
              <w:t>1.4.3. Повышение эффективности государственного контроля в сфере банкротства</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Совершенствование законодательства в области реабилитации и банкротства;</w:t>
            </w:r>
            <w:r>
              <w:br/>
            </w:r>
            <w:r>
              <w:rPr>
                <w:rFonts w:ascii="Times New Roman"/>
                <w:b w:val="false"/>
                <w:i w:val="false"/>
                <w:color w:val="000000"/>
                <w:sz w:val="20"/>
              </w:rPr>
              <w:t>
</w:t>
            </w:r>
            <w:r>
              <w:rPr>
                <w:rFonts w:ascii="Times New Roman"/>
                <w:b w:val="false"/>
                <w:i w:val="false"/>
                <w:color w:val="000000"/>
                <w:sz w:val="20"/>
              </w:rPr>
              <w:t>Осуществление камерального контроля за деятельностью конкурсных и реабилитационных управляющих, включая должников, вовлеченных в процедуры реабилитации и банкротства</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2018 годы</w:t>
            </w:r>
          </w:p>
        </w:tc>
      </w:tr>
      <w:tr>
        <w:trPr>
          <w:trHeight w:val="345" w:hRule="atLeast"/>
        </w:trPr>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2. Обеспечение качества государственных услуг и эффективности исполняемых функций</w:t>
            </w:r>
            <w:r>
              <w:br/>
            </w:r>
            <w:r>
              <w:rPr>
                <w:rFonts w:ascii="Times New Roman"/>
                <w:b w:val="false"/>
                <w:i w:val="false"/>
                <w:color w:val="000000"/>
                <w:sz w:val="20"/>
              </w:rPr>
              <w:t>
</w:t>
            </w:r>
            <w:r>
              <w:rPr>
                <w:rFonts w:ascii="Times New Roman"/>
                <w:b w:val="false"/>
                <w:i w:val="false"/>
                <w:color w:val="000000"/>
                <w:sz w:val="20"/>
              </w:rPr>
              <w:t>Цель 2.1. Обеспечение эффективности оказания государственных услуг</w:t>
            </w:r>
            <w:r>
              <w:br/>
            </w:r>
            <w:r>
              <w:rPr>
                <w:rFonts w:ascii="Times New Roman"/>
                <w:b w:val="false"/>
                <w:i w:val="false"/>
                <w:color w:val="000000"/>
                <w:sz w:val="20"/>
              </w:rPr>
              <w:t>
</w:t>
            </w:r>
            <w:r>
              <w:rPr>
                <w:rFonts w:ascii="Times New Roman"/>
                <w:b w:val="false"/>
                <w:i w:val="false"/>
                <w:color w:val="000000"/>
                <w:sz w:val="20"/>
              </w:rPr>
              <w:t>Задача 2.1.2. Повышение качества предоставляемых налоговых услуг</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сдача в эксплуатацию центров приема и обработки информации налоговых органов (ЦОД);</w:t>
            </w:r>
            <w:r>
              <w:br/>
            </w:r>
            <w:r>
              <w:rPr>
                <w:rFonts w:ascii="Times New Roman"/>
                <w:b w:val="false"/>
                <w:i w:val="false"/>
                <w:color w:val="000000"/>
                <w:sz w:val="20"/>
              </w:rPr>
              <w:t>
</w:t>
            </w:r>
            <w:r>
              <w:rPr>
                <w:rFonts w:ascii="Times New Roman"/>
                <w:b w:val="false"/>
                <w:i w:val="false"/>
                <w:color w:val="000000"/>
                <w:sz w:val="20"/>
              </w:rPr>
              <w:t>внедрение в крупных налоговых управлениях электронной системы управления очередями</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2018 годы</w:t>
            </w:r>
          </w:p>
        </w:tc>
      </w:tr>
      <w:tr>
        <w:trPr>
          <w:trHeight w:val="345" w:hRule="atLeast"/>
        </w:trPr>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2.</w:t>
            </w:r>
            <w:r>
              <w:br/>
            </w:r>
            <w:r>
              <w:rPr>
                <w:rFonts w:ascii="Times New Roman"/>
                <w:b w:val="false"/>
                <w:i w:val="false"/>
                <w:color w:val="000000"/>
                <w:sz w:val="20"/>
              </w:rPr>
              <w:t>
</w:t>
            </w:r>
            <w:r>
              <w:rPr>
                <w:rFonts w:ascii="Times New Roman"/>
                <w:b w:val="false"/>
                <w:i w:val="false"/>
                <w:color w:val="000000"/>
                <w:sz w:val="20"/>
              </w:rPr>
              <w:t>Обеспечение качества государственных услуг и эффективности исполняемых функций</w:t>
            </w:r>
            <w:r>
              <w:br/>
            </w:r>
            <w:r>
              <w:rPr>
                <w:rFonts w:ascii="Times New Roman"/>
                <w:b w:val="false"/>
                <w:i w:val="false"/>
                <w:color w:val="000000"/>
                <w:sz w:val="20"/>
              </w:rPr>
              <w:t>
</w:t>
            </w:r>
            <w:r>
              <w:rPr>
                <w:rFonts w:ascii="Times New Roman"/>
                <w:b w:val="false"/>
                <w:i w:val="false"/>
                <w:color w:val="000000"/>
                <w:sz w:val="20"/>
              </w:rPr>
              <w:t xml:space="preserve">Цель 2.1. Обеспечение эффективности оказания государственных услуг </w:t>
            </w:r>
            <w:r>
              <w:br/>
            </w:r>
            <w:r>
              <w:rPr>
                <w:rFonts w:ascii="Times New Roman"/>
                <w:b w:val="false"/>
                <w:i w:val="false"/>
                <w:color w:val="000000"/>
                <w:sz w:val="20"/>
              </w:rPr>
              <w:t>
</w:t>
            </w:r>
            <w:r>
              <w:rPr>
                <w:rFonts w:ascii="Times New Roman"/>
                <w:b w:val="false"/>
                <w:i w:val="false"/>
                <w:color w:val="000000"/>
                <w:sz w:val="20"/>
              </w:rPr>
              <w:t>Задача 2.1.3. Повышение качества предоставляемых таможенных услуг</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стандартов и регламентов государственных услуг, оказываемых Министерством финансов Республики Казахстан;</w:t>
            </w:r>
            <w:r>
              <w:br/>
            </w:r>
            <w:r>
              <w:rPr>
                <w:rFonts w:ascii="Times New Roman"/>
                <w:b w:val="false"/>
                <w:i w:val="false"/>
                <w:color w:val="000000"/>
                <w:sz w:val="20"/>
              </w:rPr>
              <w:t>
</w:t>
            </w:r>
            <w:r>
              <w:rPr>
                <w:rFonts w:ascii="Times New Roman"/>
                <w:b w:val="false"/>
                <w:i w:val="false"/>
                <w:color w:val="000000"/>
                <w:sz w:val="20"/>
              </w:rPr>
              <w:t xml:space="preserve">перевод процесса оказания государственных услуг в электронный формат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от 15 апреля 2013 года «О государственных услугах»</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2014 - 2018 годы</w:t>
            </w:r>
          </w:p>
        </w:tc>
      </w:tr>
      <w:tr>
        <w:trPr>
          <w:trHeight w:val="630" w:hRule="atLeast"/>
        </w:trPr>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2.</w:t>
            </w:r>
            <w:r>
              <w:br/>
            </w:r>
            <w:r>
              <w:rPr>
                <w:rFonts w:ascii="Times New Roman"/>
                <w:b w:val="false"/>
                <w:i w:val="false"/>
                <w:color w:val="000000"/>
                <w:sz w:val="20"/>
              </w:rPr>
              <w:t>
</w:t>
            </w:r>
            <w:r>
              <w:rPr>
                <w:rFonts w:ascii="Times New Roman"/>
                <w:b w:val="false"/>
                <w:i w:val="false"/>
                <w:color w:val="000000"/>
                <w:sz w:val="20"/>
              </w:rPr>
              <w:t>Обеспечение качества государственных услуг и эффективности исполняемых функций</w:t>
            </w:r>
            <w:r>
              <w:br/>
            </w:r>
            <w:r>
              <w:rPr>
                <w:rFonts w:ascii="Times New Roman"/>
                <w:b w:val="false"/>
                <w:i w:val="false"/>
                <w:color w:val="000000"/>
                <w:sz w:val="20"/>
              </w:rPr>
              <w:t>
</w:t>
            </w:r>
            <w:r>
              <w:rPr>
                <w:rFonts w:ascii="Times New Roman"/>
                <w:b w:val="false"/>
                <w:i w:val="false"/>
                <w:color w:val="000000"/>
                <w:sz w:val="20"/>
              </w:rPr>
              <w:t>Цель 2.4. Обеспечение институциального развития и модернизации системы исполнения бюджета</w:t>
            </w:r>
            <w:r>
              <w:br/>
            </w:r>
            <w:r>
              <w:rPr>
                <w:rFonts w:ascii="Times New Roman"/>
                <w:b w:val="false"/>
                <w:i w:val="false"/>
                <w:color w:val="000000"/>
                <w:sz w:val="20"/>
              </w:rPr>
              <w:t>
</w:t>
            </w:r>
            <w:r>
              <w:rPr>
                <w:rFonts w:ascii="Times New Roman"/>
                <w:b w:val="false"/>
                <w:i w:val="false"/>
                <w:color w:val="000000"/>
                <w:sz w:val="20"/>
              </w:rPr>
              <w:t>Задача 2.4.8. Повышение эффективности системы финансового мониторинга</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предложений по внесению изменений и дополнений в законодательные акты по вопросам криминализации преступлений, связанных с отмыванием доходов, финансированием терроризма и финансированием распространения оружия массового уничтожения, а также по вопросам наделения компетентных и контролирующих органов необходимыми обязанностями, полномочиями и правом применения санкций;</w:t>
            </w:r>
            <w:r>
              <w:br/>
            </w:r>
            <w:r>
              <w:rPr>
                <w:rFonts w:ascii="Times New Roman"/>
                <w:b w:val="false"/>
                <w:i w:val="false"/>
                <w:color w:val="000000"/>
                <w:sz w:val="20"/>
              </w:rPr>
              <w:t>
</w:t>
            </w:r>
            <w:r>
              <w:rPr>
                <w:rFonts w:ascii="Times New Roman"/>
                <w:b w:val="false"/>
                <w:i w:val="false"/>
                <w:color w:val="000000"/>
                <w:sz w:val="20"/>
              </w:rPr>
              <w:t>разработка предложений по внесению изменений и дополнений в законодательные акты по вопросам устанавливающим меры по ПОД/ФТ и ОМУ, обязательные для исполнения субъектами финансового мониторинга;</w:t>
            </w:r>
            <w:r>
              <w:br/>
            </w:r>
            <w:r>
              <w:rPr>
                <w:rFonts w:ascii="Times New Roman"/>
                <w:b w:val="false"/>
                <w:i w:val="false"/>
                <w:color w:val="000000"/>
                <w:sz w:val="20"/>
              </w:rPr>
              <w:t>
</w:t>
            </w:r>
            <w:r>
              <w:rPr>
                <w:rFonts w:ascii="Times New Roman"/>
                <w:b w:val="false"/>
                <w:i w:val="false"/>
                <w:color w:val="000000"/>
                <w:sz w:val="20"/>
              </w:rPr>
              <w:t>заключение двусторонних соглашений, меморандумов о сотрудничестве с компетентными органами иностранных государств в сфере ПОД/ФТ и ОМУ;</w:t>
            </w:r>
            <w:r>
              <w:br/>
            </w:r>
            <w:r>
              <w:rPr>
                <w:rFonts w:ascii="Times New Roman"/>
                <w:b w:val="false"/>
                <w:i w:val="false"/>
                <w:color w:val="000000"/>
                <w:sz w:val="20"/>
              </w:rPr>
              <w:t>
</w:t>
            </w:r>
            <w:r>
              <w:rPr>
                <w:rFonts w:ascii="Times New Roman"/>
                <w:b w:val="false"/>
                <w:i w:val="false"/>
                <w:color w:val="000000"/>
                <w:sz w:val="20"/>
              </w:rPr>
              <w:t>участие в работе Совета руководителей *ПФР СНГ</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2018 годы</w:t>
            </w:r>
          </w:p>
        </w:tc>
      </w:tr>
    </w:tbl>
    <w:bookmarkStart w:name="z95" w:id="31"/>
    <w:p>
      <w:pPr>
        <w:spacing w:after="0"/>
        <w:ind w:left="0"/>
        <w:jc w:val="left"/>
      </w:pPr>
      <w:r>
        <w:rPr>
          <w:rFonts w:ascii="Times New Roman"/>
          <w:b/>
          <w:i w:val="false"/>
          <w:color w:val="000000"/>
        </w:rPr>
        <w:t xml:space="preserve"> 
5. Межведомственное взаимодействие</w:t>
      </w:r>
    </w:p>
    <w:bookmarkEnd w:id="31"/>
    <w:p>
      <w:pPr>
        <w:spacing w:after="0"/>
        <w:ind w:left="0"/>
        <w:jc w:val="both"/>
      </w:pPr>
      <w:r>
        <w:rPr>
          <w:rFonts w:ascii="Times New Roman"/>
          <w:b w:val="false"/>
          <w:i w:val="false"/>
          <w:color w:val="ff0000"/>
          <w:sz w:val="28"/>
        </w:rPr>
        <w:t xml:space="preserve">      Сноска. Раздел 5 с изменением, внесенным постановлением Правительства РК от 04.05.2014 </w:t>
      </w:r>
      <w:r>
        <w:rPr>
          <w:rFonts w:ascii="Times New Roman"/>
          <w:b w:val="false"/>
          <w:i w:val="false"/>
          <w:color w:val="ff0000"/>
          <w:sz w:val="28"/>
        </w:rPr>
        <w:t>№ 444</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2"/>
        <w:gridCol w:w="4961"/>
        <w:gridCol w:w="5407"/>
      </w:tblGrid>
      <w:tr>
        <w:trPr>
          <w:trHeight w:val="1590" w:hRule="atLeast"/>
        </w:trPr>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задач, для достижения которых требуется межведомственное взаимодействие</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 орган, с которым осуществляется межведомственное взаимодействие</w:t>
            </w:r>
          </w:p>
        </w:tc>
        <w:tc>
          <w:tcPr>
            <w:tcW w:w="5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Меры, осуществляемые государственными органами</w:t>
            </w:r>
          </w:p>
        </w:tc>
      </w:tr>
      <w:tr>
        <w:trPr>
          <w:trHeight w:val="30" w:hRule="atLeast"/>
        </w:trPr>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1. Содействие в обеспечении финансовой безопасности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1.4. Оказание мер государственной и социальной поддержки </w:t>
            </w:r>
          </w:p>
        </w:tc>
      </w:tr>
      <w:tr>
        <w:trPr>
          <w:trHeight w:val="30" w:hRule="atLeast"/>
        </w:trPr>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1.4.3. «Повышение эффективности государственного контроля в сфере банкротства».</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АФП, МЮ, ГП.</w:t>
            </w:r>
          </w:p>
        </w:tc>
        <w:tc>
          <w:tcPr>
            <w:tcW w:w="5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Совместный Приказ Министра финансов, Председателя Агентства РК по борьбе с экономической и коррупционной преступностью (финансовая полиция), Министерства юстиции, Генеральной прокуратуры.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2. Обеспечение качества государственных услуг и эффективности исполняемых функций</w:t>
            </w:r>
          </w:p>
        </w:tc>
      </w:tr>
      <w:tr>
        <w:trPr>
          <w:trHeight w:val="6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2.1. Обеспечение эффективности оказания государственных услуг </w:t>
            </w:r>
          </w:p>
        </w:tc>
      </w:tr>
      <w:tr>
        <w:trPr>
          <w:trHeight w:val="825" w:hRule="atLeast"/>
        </w:trPr>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2.1.3. «Повышение качества предоставляемых таможенных услуг»</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МЮ, МЗ, МСХ, МОСВР, МТК, МИНТ, МНГ, МВД, МЭБП, КНБ, АСИ </w:t>
            </w:r>
          </w:p>
        </w:tc>
        <w:tc>
          <w:tcPr>
            <w:tcW w:w="5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Автоматизация бизнес-процессов, в части выдачи разрешительных документов в сфере внешнеэкономической деятельности</w:t>
            </w:r>
          </w:p>
        </w:tc>
      </w:tr>
      <w:tr>
        <w:trPr>
          <w:trHeight w:val="6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2.4. Обеспечение институциального развития и модернизации системы исполнения бюджета</w:t>
            </w:r>
          </w:p>
        </w:tc>
      </w:tr>
      <w:tr>
        <w:trPr>
          <w:trHeight w:val="30" w:hRule="atLeast"/>
        </w:trPr>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2.4.8. «Повышение эффективности системы финансового мониторинга». </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ГП, КНБ, АБЭКП, МВД, ВС, НБ, АСФК, МЭБП, МЮ, МТК.</w:t>
            </w:r>
          </w:p>
        </w:tc>
        <w:tc>
          <w:tcPr>
            <w:tcW w:w="5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Совершенствование законодательства и институциональных мер в сфере противодействия легализации (отмывания) доходов, полученных незаконным путем, и финансированию терроризма.</w:t>
            </w:r>
          </w:p>
        </w:tc>
      </w:tr>
    </w:tbl>
    <w:bookmarkStart w:name="z96" w:id="32"/>
    <w:p>
      <w:pPr>
        <w:spacing w:after="0"/>
        <w:ind w:left="0"/>
        <w:jc w:val="left"/>
      </w:pPr>
      <w:r>
        <w:rPr>
          <w:rFonts w:ascii="Times New Roman"/>
          <w:b/>
          <w:i w:val="false"/>
          <w:color w:val="000000"/>
        </w:rPr>
        <w:t xml:space="preserve"> 
6. Управления рисками</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3"/>
        <w:gridCol w:w="4922"/>
        <w:gridCol w:w="5365"/>
      </w:tblGrid>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возможного риска</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Возможные последствия в случае непринятия мер по управлению рисками</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по управлению</w:t>
            </w:r>
            <w:r>
              <w:br/>
            </w:r>
            <w:r>
              <w:rPr>
                <w:rFonts w:ascii="Times New Roman"/>
                <w:b w:val="false"/>
                <w:i w:val="false"/>
                <w:color w:val="000000"/>
                <w:sz w:val="20"/>
              </w:rPr>
              <w:t>
</w:t>
            </w:r>
            <w:r>
              <w:rPr>
                <w:rFonts w:ascii="Times New Roman"/>
                <w:b w:val="false"/>
                <w:i w:val="false"/>
                <w:color w:val="000000"/>
                <w:sz w:val="20"/>
              </w:rPr>
              <w:t>рисками</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Внешние риски</w:t>
            </w:r>
          </w:p>
        </w:tc>
      </w:tr>
      <w:tr>
        <w:trPr>
          <w:trHeight w:val="54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информационной системы в области банкротства и интеграции с базами данных ГО. </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Низкая эффективность проведения контроля за действиями управляющих, должников банкротов.</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работы по электронному обмену сведений.</w:t>
            </w:r>
          </w:p>
        </w:tc>
      </w:tr>
      <w:tr>
        <w:trPr>
          <w:trHeight w:val="159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Недостаточная квалификация управляющих.</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Низкая эффективность проведения процедур реабилитации и банкротства.</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 института повышения квалификации и переподготовки.</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Несвоевременное внедрение интеграционной информационной системы «Единое окно по экспортно-импортным операциям».</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Невыполнение запланированных мероприятий по кардинальному улучшению условий предоставления таможенных услуг.</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Обеспечить координацию государственных органов, задействованных в реализации задач по автоматизации бизнес-процессов, в части выдачи разрешительных документов в сфере внешнеэкономической деятельности.</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Недостижение индикаторов Глобального индекса конкурентоспособности Всемирного экономического форума и рейтинга Всемирного банка «Doing Business».</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Снижения позиций страны в рейтинге конкурентоспособности.</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Мониторинг тенденций в мире и стране с точки зрения конкурентоспособности с целью своевременного выявления слабых и сильных сторон, угроз и возможностей и принятия соответствующих мер реагирования. </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принятие Международных стандартов по противодействию отмыванию денег, финансированию терроризма и финансированию распространения оружия массового уничтожения и методики оценки Группы разработки финансовых мер борьбы с отмыванием денег (ФАТФ).</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позиции рейтинга соответствия Республики Казахстан</w:t>
            </w:r>
            <w:r>
              <w:br/>
            </w:r>
            <w:r>
              <w:rPr>
                <w:rFonts w:ascii="Times New Roman"/>
                <w:b w:val="false"/>
                <w:i w:val="false"/>
                <w:color w:val="000000"/>
                <w:sz w:val="20"/>
              </w:rPr>
              <w:t>
</w:t>
            </w:r>
            <w:r>
              <w:rPr>
                <w:rFonts w:ascii="Times New Roman"/>
                <w:b w:val="false"/>
                <w:i w:val="false"/>
                <w:color w:val="000000"/>
                <w:sz w:val="20"/>
              </w:rPr>
              <w:t>Международным стандартам по противодействию отмыванию денег, финансированию терроризма и финансированию распространия оружия массового уничтожения Группы разработки финансовых мер борьбы с отмыванием денег (ФАТФ) и позиции оценщиков Евразийской группы по противодействию легализации преступных доходов и финансированию терроризма (ЕАГ).</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Обеспечить участие заинтересованных государственных органов в пленарных заседаниях Межправительственной организации – Евразийской группы по противодействию легализации преступных доходов и финансированию терроризма, а также в заседаниях рабочих групп с предоставлением необходимых данных в сфере противодействия легализации (отмыванию) доходов, полученных незаконным путем, и финансированию терроризма и финансированию распространия оружия массового уничтожения.</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Падение мировых цен на продукцию горнодобывающей отрасли (феррахром, алюминий, цинк, медь и т.д.), а также автовозвраты НДС по «0» ставке.</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Неисполнение плана РБ.</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Совершенствование налогового администрирования.</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Колебания курсов иностранных валют и процентных ставок. </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Рост расходов республиканского бюджета на обслуживание правительственного долга.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оценки валютного и процентного рисков. </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Неготовность государственных учреждений к подключению к ИС «Казначейство-клиент».</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учреждения, не имеющие необходимый уровень технического оснащения, не могут быть подключены к ИС «Казначейство-Клиент».</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работ с акиматами областей по повышению технического оснащения государственных учреждений для работы в ИС «Казначейство-клиент».</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Срыв сроков реализации проекта «Создание информационной системы по приему и обработке электронных счетов-фактур» потенциальным поставщиком.</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Нарушение срока реализации проекта «Создание информационной системы по приему и обработке электронных счетов-фактур».</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мониторинга за выполнением условий заключенного договора с поставщиком услуг.</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Недостижение степени удовлетворенности стандартами бухгалтерского учета и (или) аудита, а также функционированием депозитария финансовой отчетности вследствии недостаточного финансирования. </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уровня доступности или работы системы ДФО.</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Дальнейшее совершенствование нормативной правовой базы в области законодательства о бухгалтерском учете и финансовой отчетности, аудиторской деятельности и направление запросов с обоснованием необходимости финансирования.</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представление своевременного поставщиками услуг по переводу МСФО и МСА с английского языка на государственный и (или) русский языки. </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переведенных МСФО и МСА с английского на государственный и (или) русский языки.</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рамках договорных отношений с поставщиками услуг.</w:t>
            </w:r>
          </w:p>
        </w:tc>
      </w:tr>
      <w:tr>
        <w:trPr>
          <w:trHeight w:val="135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Недостижение показателя Глобального индекса конкурентоспособности «Степень стандартов аудирования и отчетности». </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позиций страны по показателю Глобального индекса конкурентоспособности «Степень стандартов аудирования и отчетности».</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Перевод МСФО, МСА и МСФООС с английского языка на государственный и/или русский языки в соответствии с последней версией.</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предоставление поставщиком услуг по переводу МСФООС с английского языка на государственном и (или) русском языках. </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МСФООС на государственном и (или) русском языках.</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рамках договорных отношений контроль работы поставщика услуг по переводу МСФООС с английского языка на государственном и (или) русском языках.</w:t>
            </w:r>
          </w:p>
        </w:tc>
      </w:tr>
      <w:tr>
        <w:trPr>
          <w:trHeight w:val="39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Несвоевременное погашение бюджетных кредитов в связи с  неплатежеспособностью заемщика. </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Неисполнение плана республиканского бюджета по поступлениям.</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анализа финансового состояния заемщика, в случае необходимости инициирование проверок заемщиков.</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у отраслевых государственных органов автоматизированного учета объектов государственного имущества, сведения по которым представляются в реестр государственного имущества.</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информации по отдельным объектам учета в Реестре государственного имущества.</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межведомственной рабочей группы для выработки предложений по взаимодействию информационных систем в рамках создания Реестра государственного имущества.</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Уменьшение или увеличение количества договоров аренды республиканской собственности.</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Невыполнение либо перевыполнение плана поступлений средств в республиканский бюджет от аренды имущества республиканской собственности.</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 за своевременностью перечисления арендной платы в республиканский бюджет.</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Технические и законодательные ограничения, не позволяющие интегрировать ИАИС «е-Минфин» с информационными системами государственных органов и других организаций. </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Снижение уровня доступности заинтересованным пользователем к сведениям о неплатежеспособных должниках.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технических условий в ИАИС </w:t>
            </w:r>
            <w:r>
              <w:br/>
            </w:r>
            <w:r>
              <w:rPr>
                <w:rFonts w:ascii="Times New Roman"/>
                <w:b w:val="false"/>
                <w:i w:val="false"/>
                <w:color w:val="000000"/>
                <w:sz w:val="20"/>
              </w:rPr>
              <w:t>
</w:t>
            </w:r>
            <w:r>
              <w:rPr>
                <w:rFonts w:ascii="Times New Roman"/>
                <w:b w:val="false"/>
                <w:i w:val="false"/>
                <w:color w:val="000000"/>
                <w:sz w:val="20"/>
              </w:rPr>
              <w:t>«е-Минфин»;</w:t>
            </w:r>
            <w:r>
              <w:br/>
            </w:r>
            <w:r>
              <w:rPr>
                <w:rFonts w:ascii="Times New Roman"/>
                <w:b w:val="false"/>
                <w:i w:val="false"/>
                <w:color w:val="000000"/>
                <w:sz w:val="20"/>
              </w:rPr>
              <w:t>
</w:t>
            </w:r>
            <w:r>
              <w:rPr>
                <w:rFonts w:ascii="Times New Roman"/>
                <w:b w:val="false"/>
                <w:i w:val="false"/>
                <w:color w:val="000000"/>
                <w:sz w:val="20"/>
              </w:rPr>
              <w:t xml:space="preserve">создание нормативного поля (совместные приказы, регламентирующие информационное взаимодействие, для интеграции с информационными системами государственных органов. </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Ограниченное участие Казахстана в процессах принятия глобальных решений при формировании новой архитектуры международных отношений и контуров мировой торгово-финансовой системы.</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Упущение интересов Казахстана по вопросам взаимодействия с международными финансовыми организациями, иностранными государствами и интеграционными объединениями в финансовой сфере.</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руководства МФ РК в заседаниях международных финансовых организациях и интеграционных объединениях;</w:t>
            </w:r>
            <w:r>
              <w:br/>
            </w:r>
            <w:r>
              <w:rPr>
                <w:rFonts w:ascii="Times New Roman"/>
                <w:b w:val="false"/>
                <w:i w:val="false"/>
                <w:color w:val="000000"/>
                <w:sz w:val="20"/>
              </w:rPr>
              <w:t>
</w:t>
            </w:r>
            <w:r>
              <w:rPr>
                <w:rFonts w:ascii="Times New Roman"/>
                <w:b w:val="false"/>
                <w:i w:val="false"/>
                <w:color w:val="000000"/>
                <w:sz w:val="20"/>
              </w:rPr>
              <w:t>исполнение обязательств РК по вступлению в силу международных договоров и соглашений с международными финансовыми организациями, интеграционными объединениями и иностранными государствами;</w:t>
            </w:r>
            <w:r>
              <w:br/>
            </w:r>
            <w:r>
              <w:rPr>
                <w:rFonts w:ascii="Times New Roman"/>
                <w:b w:val="false"/>
                <w:i w:val="false"/>
                <w:color w:val="000000"/>
                <w:sz w:val="20"/>
              </w:rPr>
              <w:t>
</w:t>
            </w:r>
            <w:r>
              <w:rPr>
                <w:rFonts w:ascii="Times New Roman"/>
                <w:b w:val="false"/>
                <w:i w:val="false"/>
                <w:color w:val="000000"/>
                <w:sz w:val="20"/>
              </w:rPr>
              <w:t>организация и проведение заседаний Казахстанско-кувейтской и Казахстанско-литовской совместных комиссий по торгово-экономическому сотрудничеству (МПК);</w:t>
            </w:r>
            <w:r>
              <w:br/>
            </w:r>
            <w:r>
              <w:rPr>
                <w:rFonts w:ascii="Times New Roman"/>
                <w:b w:val="false"/>
                <w:i w:val="false"/>
                <w:color w:val="000000"/>
                <w:sz w:val="20"/>
              </w:rPr>
              <w:t>
</w:t>
            </w:r>
            <w:r>
              <w:rPr>
                <w:rFonts w:ascii="Times New Roman"/>
                <w:b w:val="false"/>
                <w:i w:val="false"/>
                <w:color w:val="000000"/>
                <w:sz w:val="20"/>
              </w:rPr>
              <w:t>поддержание и при необходимости увеличение доли Республики Казахстан в уставном капитале международных финансовых организаций.</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Непредставление со стороны кредиторов информации о субсидировании процентной ставки в рамках реализации Программы посткризисного восстановления (оздоровление конкурентоспосбных предприятий), либо представление не точных сведений.</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получение субсидии участниками Программы посткризисного восстановления (оздоровления конкурентоспособных предприятий).</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оператором по субсидированию мониторинга реализации Программы в части субсидирования процентной ставки, в том числе путем взаимодействия с кредиторами и участниками Программы.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риски</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реализация Международных стандартов по противодействию отмывания денег, финансированию терроризма и финансированию распространения оружия массового уничтожения соответствующими государственными органами (ГП, КНБ, АБЭКП, МВД, ВС, НБ, АСФК, МЭБП, МЮ, МТК). </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Ухудшение позиций в рейтинге по показателям соответствия международным стандартам Группы разработки финансовых мер борьбы с отмыванием денег (ФАТФ).</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Обеспечить реализацию ключевых и базовых Международных стандартов по противодействию легализацию (отмыванию) доходов, полученных незаконным путем, и финансированию терроризма и финансированию распространия оружия массового уничтожения путем внесения изменений и дополнений в действующие законы и другие нормативно-правовые акты.</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Несвоевременное утверждение стандартов и регламентов государственных услуг.</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Ухудшение качества предоставляемых налоговых услуг.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Обеспечить утверждение стандартов и регламентов государственных услуг включенных в Реестр государственных услуг оказываемых физическим и юридическим лицам. </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Повторное проведение процедуры государственных закупок по проекту (в случае признания объявленного конкурса несостоявшимся, что повлияет на исполнение проекта).</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Нарушение срока реализации проекта «Создание информационной системы по приему и обработке электронных счетов-фактур».</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процедуре осуществления государственных закупок.</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Непредвиденные технические сбои работы веб-портала государственных закупок (по вине третьих лиц). </w:t>
            </w:r>
          </w:p>
        </w:tc>
        <w:tc>
          <w:tcPr>
            <w:tcW w:w="4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Несвоевременный закуп товаров, работ и услуг и/или отказ от закупа в результате влияния третьих лиц;</w:t>
            </w:r>
            <w:r>
              <w:br/>
            </w:r>
            <w:r>
              <w:rPr>
                <w:rFonts w:ascii="Times New Roman"/>
                <w:b w:val="false"/>
                <w:i w:val="false"/>
                <w:color w:val="000000"/>
                <w:sz w:val="20"/>
              </w:rPr>
              <w:t>
</w:t>
            </w:r>
            <w:r>
              <w:rPr>
                <w:rFonts w:ascii="Times New Roman"/>
                <w:b w:val="false"/>
                <w:i w:val="false"/>
                <w:color w:val="000000"/>
                <w:sz w:val="20"/>
              </w:rPr>
              <w:t>невозможность модернизации и инсталляции оборудования связанные с внешними факторами.</w:t>
            </w:r>
          </w:p>
        </w:tc>
        <w:tc>
          <w:tcPr>
            <w:tcW w:w="5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сетевой активности АИИС «Электронные государственные закупки».</w:t>
            </w:r>
            <w:r>
              <w:br/>
            </w:r>
            <w:r>
              <w:rPr>
                <w:rFonts w:ascii="Times New Roman"/>
                <w:b w:val="false"/>
                <w:i w:val="false"/>
                <w:color w:val="000000"/>
                <w:sz w:val="20"/>
              </w:rPr>
              <w:t>
</w:t>
            </w:r>
            <w:r>
              <w:rPr>
                <w:rFonts w:ascii="Times New Roman"/>
                <w:b w:val="false"/>
                <w:i w:val="false"/>
                <w:color w:val="000000"/>
                <w:sz w:val="20"/>
              </w:rPr>
              <w:t>Своевременное администрирование и оптимизация всех компонентов АИИС «Электронные государственные закупки».</w:t>
            </w:r>
            <w:r>
              <w:br/>
            </w:r>
            <w:r>
              <w:rPr>
                <w:rFonts w:ascii="Times New Roman"/>
                <w:b w:val="false"/>
                <w:i w:val="false"/>
                <w:color w:val="000000"/>
                <w:sz w:val="20"/>
              </w:rPr>
              <w:t>
</w:t>
            </w:r>
            <w:r>
              <w:rPr>
                <w:rFonts w:ascii="Times New Roman"/>
                <w:b w:val="false"/>
                <w:i w:val="false"/>
                <w:color w:val="000000"/>
                <w:sz w:val="20"/>
              </w:rPr>
              <w:t>Наличие квалифицированного соответствующего технического персонала, обеспечивающего бесперебойную работу веб-портала государственных закупок.</w:t>
            </w:r>
            <w:r>
              <w:br/>
            </w:r>
            <w:r>
              <w:rPr>
                <w:rFonts w:ascii="Times New Roman"/>
                <w:b w:val="false"/>
                <w:i w:val="false"/>
                <w:color w:val="000000"/>
                <w:sz w:val="20"/>
              </w:rPr>
              <w:t>
</w:t>
            </w:r>
            <w:r>
              <w:rPr>
                <w:rFonts w:ascii="Times New Roman"/>
                <w:b w:val="false"/>
                <w:i w:val="false"/>
                <w:color w:val="000000"/>
                <w:sz w:val="20"/>
              </w:rPr>
              <w:t>Внесение изменений в НПА регулирующие электронные государственные закупки, в части возможности останова серверного и коммуникационного оборудования для технических работ.</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в законодательстве возможности остановки серверного и коммуникационного оборудования АИИС ЭГЗ для профилактики и технических работ по модернизации и установки дополнительного оборудования и программного обеспечения в том числе выходные и праздничные дни.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Ненадлежащее исполнение реабилитационными и конкурсными управляющими требований законодательства. </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Неисполнение показателей по коэффициенту погашения и сокращению расходов на ликвидацию предприятия.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Совершенствование законодательства в части усиления ответственности управляющих и повышение эффективности работы по возврату выведенного имущества банкротов.</w:t>
            </w:r>
          </w:p>
        </w:tc>
      </w:tr>
    </w:tbl>
    <w:bookmarkStart w:name="z97" w:id="33"/>
    <w:p>
      <w:pPr>
        <w:spacing w:after="0"/>
        <w:ind w:left="0"/>
        <w:jc w:val="left"/>
      </w:pPr>
      <w:r>
        <w:rPr>
          <w:rFonts w:ascii="Times New Roman"/>
          <w:b/>
          <w:i w:val="false"/>
          <w:color w:val="000000"/>
        </w:rPr>
        <w:t xml:space="preserve"> 
Раздел 7. Бюджетные программы</w:t>
      </w:r>
    </w:p>
    <w:bookmarkEnd w:id="33"/>
    <w:p>
      <w:pPr>
        <w:spacing w:after="0"/>
        <w:ind w:left="0"/>
        <w:jc w:val="both"/>
      </w:pPr>
      <w:r>
        <w:rPr>
          <w:rFonts w:ascii="Times New Roman"/>
          <w:b w:val="false"/>
          <w:i w:val="false"/>
          <w:color w:val="ff0000"/>
          <w:sz w:val="28"/>
        </w:rPr>
        <w:t xml:space="preserve">      Сноска. Раздел 7 с изменениями, внесенными постановлением Правительства РК от 04.05.2014 </w:t>
      </w:r>
      <w:r>
        <w:rPr>
          <w:rFonts w:ascii="Times New Roman"/>
          <w:b w:val="false"/>
          <w:i w:val="false"/>
          <w:color w:val="ff0000"/>
          <w:sz w:val="28"/>
        </w:rPr>
        <w:t>№ 444</w:t>
      </w:r>
      <w:r>
        <w:rPr>
          <w:rFonts w:ascii="Times New Roman"/>
          <w:b w:val="false"/>
          <w:i w:val="false"/>
          <w:color w:val="ff0000"/>
          <w:sz w:val="28"/>
        </w:rPr>
        <w:t>.</w:t>
      </w:r>
    </w:p>
    <w:p>
      <w:pPr>
        <w:spacing w:after="0"/>
        <w:ind w:left="0"/>
        <w:jc w:val="left"/>
      </w:pPr>
      <w:r>
        <w:rPr>
          <w:rFonts w:ascii="Times New Roman"/>
          <w:b/>
          <w:i w:val="false"/>
          <w:color w:val="000000"/>
        </w:rPr>
        <w:t xml:space="preserve"> Бюджетные программы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2"/>
        <w:gridCol w:w="5940"/>
        <w:gridCol w:w="7208"/>
      </w:tblGrid>
      <w:tr>
        <w:trPr>
          <w:trHeight w:val="705" w:hRule="atLeast"/>
        </w:trPr>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Бюджетная программа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001 Услуги по обеспечению исполнения и контроля за исполнением государственного бюджета </w:t>
            </w:r>
          </w:p>
        </w:tc>
      </w:tr>
      <w:tr>
        <w:trPr>
          <w:trHeight w:val="435" w:hRule="atLeast"/>
        </w:trPr>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Описание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Исполнение и контроль за исполнением государственного бюджета </w:t>
            </w:r>
          </w:p>
        </w:tc>
      </w:tr>
      <w:tr>
        <w:trPr>
          <w:trHeight w:val="780" w:hRule="atLeast"/>
        </w:trPr>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формирования и реализация государственной политики в области таможенного контроля. Таможенное оформление и таможенный контроль товаров и транспортных средств, перемещаемых через таможенную границу Республики Казахстан </w:t>
            </w:r>
          </w:p>
        </w:tc>
      </w:tr>
      <w:tr>
        <w:trPr>
          <w:trHeight w:val="1200" w:hRule="atLeast"/>
        </w:trPr>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полноты поступления налогов и других обязательных платежей в бюджет путем улучшения налогового администрирования, а также государственного регулирования производства и оборота этилового спирта и алкогольной продукции, табачных изделий, отдельных видов нефтепродуктов, осуществление международного сотрудничества </w:t>
            </w:r>
          </w:p>
        </w:tc>
      </w:tr>
      <w:tr>
        <w:trPr>
          <w:trHeight w:val="765" w:hRule="atLeast"/>
        </w:trPr>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функций исполнения республиканского бюджета и обслуживание исполнения местных бюджетов, Национального фонда Республики Казахстан. Управление бюджетными деньгами</w:t>
            </w:r>
          </w:p>
        </w:tc>
      </w:tr>
      <w:tr>
        <w:trPr>
          <w:trHeight w:val="345" w:hRule="atLeast"/>
        </w:trPr>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внутреннего государственного финансового контроля </w:t>
            </w:r>
          </w:p>
        </w:tc>
      </w:tr>
      <w:tr>
        <w:trPr>
          <w:trHeight w:val="795" w:hRule="atLeast"/>
        </w:trPr>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формирования и реализация государственной политики в области контроля за проведением процедур банкротства (за исключением банков, страховых (перестраховочных) организаций и накопительных пенсионных фондов)</w:t>
            </w:r>
          </w:p>
        </w:tc>
      </w:tr>
      <w:tr>
        <w:trPr>
          <w:trHeight w:val="435" w:hRule="atLeast"/>
        </w:trPr>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государственной политики в области управления государственным имуществом</w:t>
            </w:r>
          </w:p>
        </w:tc>
      </w:tr>
      <w:tr>
        <w:trPr>
          <w:trHeight w:val="375" w:hRule="atLeast"/>
        </w:trPr>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противодействия легализации (отмыванию) незаконных доходов и финансированию терроризма</w:t>
            </w:r>
          </w:p>
        </w:tc>
      </w:tr>
      <w:tr>
        <w:trPr>
          <w:trHeight w:val="2235" w:hRule="atLeast"/>
        </w:trPr>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центрального аппарата Министерства финансов Республики Казахстан, комитетов и их территориальных органов.</w:t>
            </w:r>
            <w:r>
              <w:br/>
            </w:r>
            <w:r>
              <w:rPr>
                <w:rFonts w:ascii="Times New Roman"/>
                <w:b w:val="false"/>
                <w:i w:val="false"/>
                <w:color w:val="000000"/>
                <w:sz w:val="20"/>
              </w:rPr>
              <w:t>
</w:t>
            </w:r>
            <w:r>
              <w:rPr>
                <w:rFonts w:ascii="Times New Roman"/>
                <w:b w:val="false"/>
                <w:i w:val="false"/>
                <w:color w:val="000000"/>
                <w:sz w:val="20"/>
              </w:rPr>
              <w:t>Повышение квалификации государственных служащих, обучение государственному и английскому языкам.</w:t>
            </w:r>
            <w:r>
              <w:br/>
            </w:r>
            <w:r>
              <w:rPr>
                <w:rFonts w:ascii="Times New Roman"/>
                <w:b w:val="false"/>
                <w:i w:val="false"/>
                <w:color w:val="000000"/>
                <w:sz w:val="20"/>
              </w:rPr>
              <w:t>
</w:t>
            </w:r>
            <w:r>
              <w:rPr>
                <w:rFonts w:ascii="Times New Roman"/>
                <w:b w:val="false"/>
                <w:i w:val="false"/>
                <w:color w:val="000000"/>
                <w:sz w:val="20"/>
              </w:rPr>
              <w:t>Сопровождение и эксплуатация информационных систем, системно-техническое обслуживание вычислительной техники.</w:t>
            </w:r>
            <w:r>
              <w:br/>
            </w:r>
            <w:r>
              <w:rPr>
                <w:rFonts w:ascii="Times New Roman"/>
                <w:b w:val="false"/>
                <w:i w:val="false"/>
                <w:color w:val="000000"/>
                <w:sz w:val="20"/>
              </w:rPr>
              <w:t>
</w:t>
            </w:r>
            <w:r>
              <w:rPr>
                <w:rFonts w:ascii="Times New Roman"/>
                <w:b w:val="false"/>
                <w:i w:val="false"/>
                <w:color w:val="000000"/>
                <w:sz w:val="20"/>
              </w:rPr>
              <w:t>Оплата услуг связи, текущий ремонт зданий, помещений, основных средств, оборудования.</w:t>
            </w:r>
            <w:r>
              <w:br/>
            </w:r>
            <w:r>
              <w:rPr>
                <w:rFonts w:ascii="Times New Roman"/>
                <w:b w:val="false"/>
                <w:i w:val="false"/>
                <w:color w:val="000000"/>
                <w:sz w:val="20"/>
              </w:rPr>
              <w:t>
</w:t>
            </w:r>
            <w:r>
              <w:rPr>
                <w:rFonts w:ascii="Times New Roman"/>
                <w:b w:val="false"/>
                <w:i w:val="false"/>
                <w:color w:val="000000"/>
                <w:sz w:val="20"/>
              </w:rPr>
              <w:t>Аренда зданий, помещений, автотранспортных средств. Приобретение товаров, расходных и комплектующих материалов.</w:t>
            </w:r>
            <w:r>
              <w:br/>
            </w:r>
            <w:r>
              <w:rPr>
                <w:rFonts w:ascii="Times New Roman"/>
                <w:b w:val="false"/>
                <w:i w:val="false"/>
                <w:color w:val="000000"/>
                <w:sz w:val="20"/>
              </w:rPr>
              <w:t>
</w:t>
            </w:r>
            <w:r>
              <w:rPr>
                <w:rFonts w:ascii="Times New Roman"/>
                <w:b w:val="false"/>
                <w:i w:val="false"/>
                <w:color w:val="000000"/>
                <w:sz w:val="20"/>
              </w:rPr>
              <w:t>Прочие услуги и работы</w:t>
            </w:r>
          </w:p>
        </w:tc>
      </w:tr>
      <w:tr>
        <w:trPr>
          <w:trHeight w:val="690" w:hRule="atLeast"/>
        </w:trPr>
        <w:tc>
          <w:tcPr>
            <w:tcW w:w="1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вид бюджетной программы</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 зависимости от содержания</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осуществление государственных функций, полномочий и оказание вытекающих из них государственных услуг</w:t>
            </w:r>
          </w:p>
        </w:tc>
      </w:tr>
      <w:tr>
        <w:trPr>
          <w:trHeight w:val="435" w:hRule="atLeast"/>
        </w:trPr>
        <w:tc>
          <w:tcPr>
            <w:tcW w:w="0" w:type="auto"/>
            <w:vMerge/>
            <w:tcBorders>
              <w:top w:val="nil"/>
              <w:left w:val="single" w:color="cfcfcf" w:sz="5"/>
              <w:bottom w:val="single" w:color="cfcfcf" w:sz="5"/>
              <w:right w:val="single" w:color="cfcfcf" w:sz="5"/>
            </w:tcBorders>
          </w:tcP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 зависимости от способа реализации</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индивидуальная</w:t>
            </w:r>
          </w:p>
        </w:tc>
      </w:tr>
      <w:tr>
        <w:trPr>
          <w:trHeight w:val="690" w:hRule="atLeast"/>
        </w:trPr>
        <w:tc>
          <w:tcPr>
            <w:tcW w:w="0" w:type="auto"/>
            <w:vMerge/>
            <w:tcBorders>
              <w:top w:val="nil"/>
              <w:left w:val="single" w:color="cfcfcf" w:sz="5"/>
              <w:bottom w:val="single" w:color="cfcfcf" w:sz="5"/>
              <w:right w:val="single" w:color="cfcfcf" w:sz="5"/>
            </w:tcBorders>
          </w:tcP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текущая/развитие</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текущая</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0"/>
        <w:gridCol w:w="876"/>
        <w:gridCol w:w="1379"/>
        <w:gridCol w:w="1233"/>
        <w:gridCol w:w="1233"/>
        <w:gridCol w:w="1223"/>
        <w:gridCol w:w="1212"/>
        <w:gridCol w:w="1557"/>
        <w:gridCol w:w="1557"/>
      </w:tblGrid>
      <w:tr>
        <w:trPr>
          <w:trHeight w:val="360" w:hRule="atLeast"/>
        </w:trPr>
        <w:tc>
          <w:tcPr>
            <w:tcW w:w="4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показателей бюджетной программы</w:t>
            </w:r>
          </w:p>
        </w:tc>
        <w:tc>
          <w:tcPr>
            <w:tcW w:w="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отчетный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плановый период</w:t>
            </w:r>
          </w:p>
        </w:tc>
        <w:tc>
          <w:tcPr>
            <w:tcW w:w="1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2017 год (проектируемый год)</w:t>
            </w:r>
          </w:p>
        </w:tc>
        <w:tc>
          <w:tcPr>
            <w:tcW w:w="1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2018 год (проектируемый год)</w:t>
            </w:r>
          </w:p>
        </w:tc>
      </w:tr>
      <w:tr>
        <w:trPr>
          <w:trHeight w:val="13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 год (отчет)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 год (план текущего)</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2014 год</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2015 год</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2016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75" w:hRule="atLeast"/>
        </w:trPr>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r>
      <w:tr>
        <w:trPr>
          <w:trHeight w:val="375" w:hRule="atLeast"/>
        </w:trPr>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прямого результата</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45" w:hRule="atLeast"/>
        </w:trPr>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Содержание штатной численности центрального аппарата Министерства финансов Республики Казахстан, комитетов и их территориальных органов.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19 985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18 397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18 397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18 397</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18 397</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проведения социологических, аналитических исследований и оказание консалтинговых услуг</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информационных систем</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система</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Удельный вес результативных плановых проверок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75" w:hRule="atLeast"/>
        </w:trPr>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вес взыскания доначисленных сумм налогов (включенных в сумму недоимки, безнадежной к взысканию)</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конечного результата</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10" w:hRule="atLeast"/>
        </w:trPr>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Своевременное выполнение функций возложенных на Министерство финансов Республики Казахстан и его комитетов</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показатели качества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показатели эффективности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объем бюджетных расходов</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тыс. тг.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51 074 460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51 120 935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50 212 501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49 957 248</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49 957 248</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6"/>
        <w:gridCol w:w="3148"/>
        <w:gridCol w:w="883"/>
        <w:gridCol w:w="1091"/>
        <w:gridCol w:w="1264"/>
        <w:gridCol w:w="1134"/>
        <w:gridCol w:w="1059"/>
        <w:gridCol w:w="1059"/>
        <w:gridCol w:w="1578"/>
        <w:gridCol w:w="1578"/>
      </w:tblGrid>
      <w:tr>
        <w:trPr>
          <w:trHeight w:val="870" w:hRule="atLeast"/>
        </w:trPr>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002 Осуществление аудита инвестиционных проектов, финансируемых международными финансовыми организациями </w:t>
            </w:r>
          </w:p>
        </w:tc>
      </w:tr>
      <w:tr>
        <w:trPr>
          <w:trHeight w:val="795" w:hRule="atLeast"/>
        </w:trPr>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привлечения аудиторов и получение готовых аудиторских отчетов для дальнейшего направления их в международные финансовые организации </w:t>
            </w:r>
          </w:p>
        </w:tc>
      </w:tr>
      <w:tr>
        <w:trPr>
          <w:trHeight w:val="750" w:hRule="atLeast"/>
        </w:trPr>
        <w:tc>
          <w:tcPr>
            <w:tcW w:w="2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вид бюджетной программы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480" w:hRule="atLeast"/>
        </w:trPr>
        <w:tc>
          <w:tcPr>
            <w:tcW w:w="0" w:type="auto"/>
            <w:vMerge/>
            <w:tcBorders>
              <w:top w:val="nil"/>
              <w:left w:val="single" w:color="cfcfcf" w:sz="5"/>
              <w:bottom w:val="single" w:color="cfcfcf" w:sz="5"/>
              <w:right w:val="single" w:color="cfcfcf" w:sz="5"/>
            </w:tcBorders>
          </w:tcP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750" w:hRule="atLeast"/>
        </w:trPr>
        <w:tc>
          <w:tcPr>
            <w:tcW w:w="0" w:type="auto"/>
            <w:vMerge/>
            <w:tcBorders>
              <w:top w:val="nil"/>
              <w:left w:val="single" w:color="cfcfcf" w:sz="5"/>
              <w:bottom w:val="single" w:color="cfcfcf" w:sz="5"/>
              <w:right w:val="single" w:color="cfcfcf" w:sz="5"/>
            </w:tcBorders>
          </w:tcP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9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показателей бюджетной программы</w:t>
            </w: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отчетный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плановый период</w:t>
            </w:r>
          </w:p>
        </w:tc>
        <w:tc>
          <w:tcPr>
            <w:tcW w:w="1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2017 год (проектируемый год)</w:t>
            </w:r>
          </w:p>
        </w:tc>
        <w:tc>
          <w:tcPr>
            <w:tcW w:w="1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2018 год (проектируемый год)</w:t>
            </w:r>
          </w:p>
        </w:tc>
      </w:tr>
      <w:tr>
        <w:trPr>
          <w:trHeight w:val="15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 год (отчет)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 год (план текущего)</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2014 год</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2015 год</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2016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прямого результата</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Предполагаемое количество аудируемых проектов</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конечного результата</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Своевременное и полное выполнение обязательств Республики Казахстан, предусмотренных Соглашениями о займе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качества</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показатели эффективности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Отношение количества инвестиционных проектов, прошедших аудит, к количеству инвестиционных проектов, подлежащих аудиту</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объем бюджетных расходов</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тыс. тг.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22 241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18 480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37 800</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37 800</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30 600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7"/>
        <w:gridCol w:w="3519"/>
        <w:gridCol w:w="861"/>
        <w:gridCol w:w="1127"/>
        <w:gridCol w:w="1306"/>
        <w:gridCol w:w="982"/>
        <w:gridCol w:w="971"/>
        <w:gridCol w:w="983"/>
        <w:gridCol w:w="1607"/>
        <w:gridCol w:w="1607"/>
      </w:tblGrid>
      <w:tr>
        <w:trPr>
          <w:trHeight w:val="585" w:hRule="atLeast"/>
        </w:trPr>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003 Проведение процедур ликвидации и банкротства</w:t>
            </w:r>
          </w:p>
        </w:tc>
      </w:tr>
      <w:tr>
        <w:trPr>
          <w:trHeight w:val="30" w:hRule="atLeast"/>
        </w:trPr>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эффективного контроля при проведении процедур банкротства</w:t>
            </w:r>
          </w:p>
        </w:tc>
      </w:tr>
      <w:tr>
        <w:trPr>
          <w:trHeight w:val="750" w:hRule="atLeast"/>
        </w:trPr>
        <w:tc>
          <w:tcPr>
            <w:tcW w:w="2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вид бюджетной программы</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525" w:hRule="atLeast"/>
        </w:trPr>
        <w:tc>
          <w:tcPr>
            <w:tcW w:w="0" w:type="auto"/>
            <w:vMerge/>
            <w:tcBorders>
              <w:top w:val="nil"/>
              <w:left w:val="single" w:color="cfcfcf" w:sz="5"/>
              <w:bottom w:val="single" w:color="cfcfcf" w:sz="5"/>
              <w:right w:val="single" w:color="cfcfcf" w:sz="5"/>
            </w:tcBorders>
          </w:tcP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750" w:hRule="atLeast"/>
        </w:trPr>
        <w:tc>
          <w:tcPr>
            <w:tcW w:w="0" w:type="auto"/>
            <w:vMerge/>
            <w:tcBorders>
              <w:top w:val="nil"/>
              <w:left w:val="single" w:color="cfcfcf" w:sz="5"/>
              <w:bottom w:val="single" w:color="cfcfcf" w:sz="5"/>
              <w:right w:val="single" w:color="cfcfcf" w:sz="5"/>
            </w:tcBorders>
          </w:tcP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9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показателей бюджетной программы</w:t>
            </w:r>
          </w:p>
        </w:tc>
        <w:tc>
          <w:tcPr>
            <w:tcW w:w="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отчетный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плановый период</w:t>
            </w:r>
          </w:p>
        </w:tc>
        <w:tc>
          <w:tcPr>
            <w:tcW w:w="1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2017 год (проектируемый год)</w:t>
            </w:r>
          </w:p>
        </w:tc>
        <w:tc>
          <w:tcPr>
            <w:tcW w:w="1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2018 год (проектируемый год)</w:t>
            </w:r>
          </w:p>
        </w:tc>
      </w:tr>
      <w:tr>
        <w:trPr>
          <w:trHeight w:val="15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 год (отчет)</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 год (план текущего)</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2014 год</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2015 год</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2016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прямого результата</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ликвидированных организаций</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конечного результата</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Ликвидация несостоятельных должников</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качества</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показатели эффективности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объем бюджетных расходов</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тыс. тг.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78 230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76 570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35 128</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131 254</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131 254</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5"/>
        <w:gridCol w:w="3225"/>
        <w:gridCol w:w="894"/>
        <w:gridCol w:w="1296"/>
        <w:gridCol w:w="1221"/>
        <w:gridCol w:w="1145"/>
        <w:gridCol w:w="1091"/>
        <w:gridCol w:w="907"/>
        <w:gridCol w:w="1578"/>
        <w:gridCol w:w="1578"/>
      </w:tblGrid>
      <w:tr>
        <w:trPr>
          <w:trHeight w:val="57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006 Приобретение акций международных финансовых организаций</w:t>
            </w:r>
          </w:p>
        </w:tc>
      </w:tr>
      <w:tr>
        <w:trPr>
          <w:trHeight w:val="795"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выплат для поддержания доли Республики Казахстан в уставном капитале международных финансовых организаций </w:t>
            </w:r>
          </w:p>
        </w:tc>
      </w:tr>
      <w:tr>
        <w:trPr>
          <w:trHeight w:val="540" w:hRule="atLeast"/>
        </w:trPr>
        <w:tc>
          <w:tcPr>
            <w:tcW w:w="2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вид бюджетной программы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465" w:hRule="atLeast"/>
        </w:trPr>
        <w:tc>
          <w:tcPr>
            <w:tcW w:w="0" w:type="auto"/>
            <w:vMerge/>
            <w:tcBorders>
              <w:top w:val="nil"/>
              <w:left w:val="single" w:color="cfcfcf" w:sz="5"/>
              <w:bottom w:val="single" w:color="cfcfcf" w:sz="5"/>
              <w:right w:val="single" w:color="cfcfcf" w:sz="5"/>
            </w:tcBorders>
          </w:tcP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540" w:hRule="atLeast"/>
        </w:trPr>
        <w:tc>
          <w:tcPr>
            <w:tcW w:w="0" w:type="auto"/>
            <w:vMerge/>
            <w:tcBorders>
              <w:top w:val="nil"/>
              <w:left w:val="single" w:color="cfcfcf" w:sz="5"/>
              <w:bottom w:val="single" w:color="cfcfcf" w:sz="5"/>
              <w:right w:val="single" w:color="cfcfcf" w:sz="5"/>
            </w:tcBorders>
          </w:tcP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развития</w:t>
            </w:r>
          </w:p>
        </w:tc>
      </w:tr>
      <w:tr>
        <w:trPr>
          <w:trHeight w:val="39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показателей бюджетной программы</w:t>
            </w: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отчетный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плановый период</w:t>
            </w:r>
          </w:p>
        </w:tc>
        <w:tc>
          <w:tcPr>
            <w:tcW w:w="1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2017 год (проектируемый год)</w:t>
            </w:r>
          </w:p>
        </w:tc>
        <w:tc>
          <w:tcPr>
            <w:tcW w:w="1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2018 год (проектируемый год)</w:t>
            </w:r>
          </w:p>
        </w:tc>
      </w:tr>
      <w:tr>
        <w:trPr>
          <w:trHeight w:val="151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 год (отчет)</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 год (план текущего)</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2014 год</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2015 год</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2016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прямого результата</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выплат для поддержания доли Республики Казахстан в уставном капитале международных финансовых организаций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конечного результата</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Своевременное осуществление выплат для поддержания доли Республики Казахстан в уставном капитале международных финансовых организаций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качества</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показатели эффективности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объем бюджетных расходов</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тыс. тг.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2 439 237</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2 313 096</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1 207 717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842 754</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7"/>
        <w:gridCol w:w="4326"/>
        <w:gridCol w:w="788"/>
        <w:gridCol w:w="1060"/>
        <w:gridCol w:w="1212"/>
        <w:gridCol w:w="995"/>
        <w:gridCol w:w="952"/>
        <w:gridCol w:w="930"/>
        <w:gridCol w:w="1755"/>
        <w:gridCol w:w="1755"/>
      </w:tblGrid>
      <w:tr>
        <w:trPr>
          <w:trHeight w:val="69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009 Услуги кинологического центра</w:t>
            </w:r>
          </w:p>
        </w:tc>
      </w:tr>
      <w:tr>
        <w:trPr>
          <w:trHeight w:val="1635"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содержания Кинологического центра Комитета таможенного контроля. Обеспечение таможенных органов Республики Казахстан племенными, служебными собаками, сухими кормами, ветеринарно-медицинскими препаратами и добавками, вакциной, снаряжением. Обучение специалистов кинологов со служебно-розыскными собаками на поиск наркотических средств, взрывчатых веществ и оружия в целях выявления и пресечения незаконного оборота наркотических средств для таможенных органов </w:t>
            </w:r>
          </w:p>
        </w:tc>
      </w:tr>
      <w:tr>
        <w:trPr>
          <w:trHeight w:val="795" w:hRule="atLeast"/>
        </w:trPr>
        <w:tc>
          <w:tcPr>
            <w:tcW w:w="1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вид бюджетной программы</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585" w:hRule="atLeast"/>
        </w:trPr>
        <w:tc>
          <w:tcPr>
            <w:tcW w:w="0" w:type="auto"/>
            <w:vMerge/>
            <w:tcBorders>
              <w:top w:val="nil"/>
              <w:left w:val="single" w:color="cfcfcf" w:sz="5"/>
              <w:bottom w:val="single" w:color="cfcfcf" w:sz="5"/>
              <w:right w:val="single" w:color="cfcfcf" w:sz="5"/>
            </w:tcBorders>
          </w:tcP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795" w:hRule="atLeast"/>
        </w:trPr>
        <w:tc>
          <w:tcPr>
            <w:tcW w:w="0" w:type="auto"/>
            <w:vMerge/>
            <w:tcBorders>
              <w:top w:val="nil"/>
              <w:left w:val="single" w:color="cfcfcf" w:sz="5"/>
              <w:bottom w:val="single" w:color="cfcfcf" w:sz="5"/>
              <w:right w:val="single" w:color="cfcfcf" w:sz="5"/>
            </w:tcBorders>
          </w:tcP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9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показателей бюджетной программы</w:t>
            </w:r>
          </w:p>
        </w:tc>
        <w:tc>
          <w:tcPr>
            <w:tcW w:w="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отчетный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плановый период</w:t>
            </w:r>
          </w:p>
        </w:tc>
        <w:tc>
          <w:tcPr>
            <w:tcW w:w="1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2017 год (проектируемый год)</w:t>
            </w:r>
          </w:p>
        </w:tc>
        <w:tc>
          <w:tcPr>
            <w:tcW w:w="1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2018 год (проектируемый год)</w:t>
            </w:r>
          </w:p>
        </w:tc>
      </w:tr>
      <w:tr>
        <w:trPr>
          <w:trHeight w:val="133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 год (отчет)</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 год (план текущего)</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2014 год</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2015 год</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2016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прямого результата</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специалистов кинологов на поиск наркотических средств, валюты и взрывчатых веществ (3-х мес. курсы обучения)</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специалистов кинологов на поиск наркотических средств, валюты и взрывчатых веществ (курс обучения – 1 месяц)</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Выращенное поголовье на базе питомника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Стажировка вновь принятых на службу в таможенных органах специалистов кинологов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Первоначальная подготовка специалистов кинологов со служебными собаками по программе "Поиск наркотических средств, взрывчатых веществ, оружия и валюты"</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Повышение квалификации специалистов кинологов по программе "Поиск наркотических средств, взрывчатых веществ, оружия и валюты"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Поголовье собак, воспроизведенное и выращенное на базе питомника центра, прошедшие тестирование и признанные пригодными к поисковой службе</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служебных собак по общему курсу дрессировки</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служебных собак по защитной службе</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конечного результата</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 слушателей курсов, получивших по результатам итогового тестирования уровень знаний 50 и более процентов, от общего количества слушателей курсов</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качества</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показатели эффективности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Условная стоимость затрат на подготовку одного кинолога таможенных органов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тг.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2 297</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 задержания наркотиков в результате применения служебно-розыскных собак, прошедших обучение в кинологическом центре</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объем бюджетных расходов</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тыс. тг.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114 819</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125 075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131 646</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122 699</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122 699</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5"/>
        <w:gridCol w:w="3591"/>
        <w:gridCol w:w="828"/>
        <w:gridCol w:w="1305"/>
        <w:gridCol w:w="1283"/>
        <w:gridCol w:w="1219"/>
        <w:gridCol w:w="1197"/>
        <w:gridCol w:w="1262"/>
        <w:gridCol w:w="1575"/>
        <w:gridCol w:w="1575"/>
      </w:tblGrid>
      <w:tr>
        <w:trPr>
          <w:trHeight w:val="87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010 Резерв Правительства Республики Казахстан</w:t>
            </w:r>
          </w:p>
        </w:tc>
      </w:tr>
      <w:tr>
        <w:trPr>
          <w:trHeight w:val="225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финансирования расходов, определенных Правительством Республики Казахстан и направленных на проведение мероприятий по ликвидации чрезвычайных ситуаций природного и техногенного характера, оказание официальной гуманитарной помощи Республикой Казахстан другим государствам; по устранению ситуаций, угрожающих политической, экономической и социальной стабильности Республики Казахстан или ее административно-территориальной единице, жизни и здоровью людей, на иные непредвиденные затраты, обеспечение финансирования расходов, направленных на исполнение решений судов по обязательствам Правительства, центральных государственных органов, территориальных подразделений и местных исполнительных органов</w:t>
            </w:r>
          </w:p>
        </w:tc>
      </w:tr>
      <w:tr>
        <w:trPr>
          <w:trHeight w:val="795" w:hRule="atLeast"/>
        </w:trPr>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вид бюджетной программы</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оказания вытекающих из них государственных услуг</w:t>
            </w:r>
          </w:p>
        </w:tc>
      </w:tr>
      <w:tr>
        <w:trPr>
          <w:trHeight w:val="540" w:hRule="atLeast"/>
        </w:trPr>
        <w:tc>
          <w:tcPr>
            <w:tcW w:w="0" w:type="auto"/>
            <w:vMerge/>
            <w:tcBorders>
              <w:top w:val="nil"/>
              <w:left w:val="single" w:color="cfcfcf" w:sz="5"/>
              <w:bottom w:val="single" w:color="cfcfcf" w:sz="5"/>
              <w:right w:val="single" w:color="cfcfcf" w:sz="5"/>
            </w:tcBorders>
          </w:tcP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распределяемая</w:t>
            </w:r>
          </w:p>
        </w:tc>
      </w:tr>
      <w:tr>
        <w:trPr>
          <w:trHeight w:val="795" w:hRule="atLeast"/>
        </w:trPr>
        <w:tc>
          <w:tcPr>
            <w:tcW w:w="0" w:type="auto"/>
            <w:vMerge/>
            <w:tcBorders>
              <w:top w:val="nil"/>
              <w:left w:val="single" w:color="cfcfcf" w:sz="5"/>
              <w:bottom w:val="single" w:color="cfcfcf" w:sz="5"/>
              <w:right w:val="single" w:color="cfcfcf" w:sz="5"/>
            </w:tcBorders>
          </w:tcP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9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показателей бюджетной программы</w:t>
            </w:r>
          </w:p>
        </w:tc>
        <w:tc>
          <w:tcPr>
            <w:tcW w:w="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отчетный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плановый период</w:t>
            </w:r>
          </w:p>
        </w:tc>
        <w:tc>
          <w:tcPr>
            <w:tcW w:w="1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2017 год (проектируемый год)</w:t>
            </w:r>
          </w:p>
        </w:tc>
        <w:tc>
          <w:tcPr>
            <w:tcW w:w="1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2018 год (проектируемый год)</w:t>
            </w:r>
          </w:p>
        </w:tc>
      </w:tr>
      <w:tr>
        <w:trPr>
          <w:trHeight w:val="15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 год (отчет)</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 год (план текущего)</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2014 год</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2015 год</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2016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прямого результата</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средств для ликвидации чрезвычайных ситуаций, неотложных затрат и исполнения обязательств по решениям судов, в соответствии с решениями Правительства Республики Казахстан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конечного результата</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полного и своевременного распределения средств из резерва Правительства Республики Казахстан</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качества</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показатели эффективности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объем бюджетных расходов</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тыс. тг.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46 024 637</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104 090 308</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58 593 740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58 899 836</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0"/>
        <w:gridCol w:w="3239"/>
        <w:gridCol w:w="824"/>
        <w:gridCol w:w="1250"/>
        <w:gridCol w:w="1250"/>
        <w:gridCol w:w="1151"/>
        <w:gridCol w:w="1097"/>
        <w:gridCol w:w="1086"/>
        <w:gridCol w:w="1534"/>
        <w:gridCol w:w="1589"/>
      </w:tblGrid>
      <w:tr>
        <w:trPr>
          <w:trHeight w:val="555"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 Выполнение обязательств по государственным гарантиям</w:t>
            </w:r>
          </w:p>
        </w:tc>
      </w:tr>
      <w:tr>
        <w:trPr>
          <w:trHeight w:val="585"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Исполнение обязательств за заемщиков по государственным гарантиям</w:t>
            </w:r>
          </w:p>
        </w:tc>
      </w:tr>
      <w:tr>
        <w:trPr>
          <w:trHeight w:val="510" w:hRule="atLeast"/>
        </w:trPr>
        <w:tc>
          <w:tcPr>
            <w:tcW w:w="1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вид бюджетной программы</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предоставление бюджетных кредитов </w:t>
            </w:r>
          </w:p>
        </w:tc>
      </w:tr>
      <w:tr>
        <w:trPr>
          <w:trHeight w:val="465" w:hRule="atLeast"/>
        </w:trPr>
        <w:tc>
          <w:tcPr>
            <w:tcW w:w="0" w:type="auto"/>
            <w:vMerge/>
            <w:tcBorders>
              <w:top w:val="nil"/>
              <w:left w:val="single" w:color="cfcfcf" w:sz="5"/>
              <w:bottom w:val="single" w:color="cfcfcf" w:sz="5"/>
              <w:right w:val="single" w:color="cfcfcf" w:sz="5"/>
            </w:tcBorders>
          </w:tcP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510" w:hRule="atLeast"/>
        </w:trPr>
        <w:tc>
          <w:tcPr>
            <w:tcW w:w="0" w:type="auto"/>
            <w:vMerge/>
            <w:tcBorders>
              <w:top w:val="nil"/>
              <w:left w:val="single" w:color="cfcfcf" w:sz="5"/>
              <w:bottom w:val="single" w:color="cfcfcf" w:sz="5"/>
              <w:right w:val="single" w:color="cfcfcf" w:sz="5"/>
            </w:tcBorders>
          </w:tcP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9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показателей бюджетной программы</w:t>
            </w:r>
          </w:p>
        </w:tc>
        <w:tc>
          <w:tcPr>
            <w:tcW w:w="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отчетный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плановый период</w:t>
            </w:r>
          </w:p>
        </w:tc>
        <w:tc>
          <w:tcPr>
            <w:tcW w:w="1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2017 год (проектируемый год)</w:t>
            </w:r>
          </w:p>
        </w:tc>
        <w:tc>
          <w:tcPr>
            <w:tcW w:w="1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2018 год (проектируемый год)</w:t>
            </w:r>
          </w:p>
        </w:tc>
      </w:tr>
      <w:tr>
        <w:trPr>
          <w:trHeight w:val="148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 год (отчет)</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 год (план текущего)</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2014 год</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2015 год</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2016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прямого результата</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выполнения обязательств по государственным гарантиям</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конечного результата</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полной и своевременной выплаты обязательств по государственным гарантиям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качества</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показатели эффективности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объем бюджетных расходов</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тыс. тг.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292 284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290 804</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324 412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290 278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284 090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4"/>
        <w:gridCol w:w="3607"/>
        <w:gridCol w:w="822"/>
        <w:gridCol w:w="1053"/>
        <w:gridCol w:w="1223"/>
        <w:gridCol w:w="978"/>
        <w:gridCol w:w="1074"/>
        <w:gridCol w:w="1031"/>
        <w:gridCol w:w="1564"/>
        <w:gridCol w:w="1564"/>
      </w:tblGrid>
      <w:tr>
        <w:trPr>
          <w:trHeight w:val="585"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012 Резерв Правительства Республики Казахстан на покрытие дефицита наличности по бюджетам</w:t>
            </w:r>
          </w:p>
        </w:tc>
      </w:tr>
      <w:tr>
        <w:trPr>
          <w:trHeight w:val="540"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Кредитование нижестоящих бюджетов на покрытие дефицита наличности</w:t>
            </w:r>
          </w:p>
        </w:tc>
      </w:tr>
      <w:tr>
        <w:trPr>
          <w:trHeight w:val="615" w:hRule="atLeast"/>
        </w:trPr>
        <w:tc>
          <w:tcPr>
            <w:tcW w:w="2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вид бюджетной программы</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бюджетных кредитов</w:t>
            </w:r>
          </w:p>
        </w:tc>
      </w:tr>
      <w:tr>
        <w:trPr>
          <w:trHeight w:val="480" w:hRule="atLeast"/>
        </w:trPr>
        <w:tc>
          <w:tcPr>
            <w:tcW w:w="0" w:type="auto"/>
            <w:vMerge/>
            <w:tcBorders>
              <w:top w:val="nil"/>
              <w:left w:val="single" w:color="cfcfcf" w:sz="5"/>
              <w:bottom w:val="single" w:color="cfcfcf" w:sz="5"/>
              <w:right w:val="single" w:color="cfcfcf" w:sz="5"/>
            </w:tcBorders>
          </w:tcP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распределяемая</w:t>
            </w:r>
          </w:p>
        </w:tc>
      </w:tr>
      <w:tr>
        <w:trPr>
          <w:trHeight w:val="615" w:hRule="atLeast"/>
        </w:trPr>
        <w:tc>
          <w:tcPr>
            <w:tcW w:w="0" w:type="auto"/>
            <w:vMerge/>
            <w:tcBorders>
              <w:top w:val="nil"/>
              <w:left w:val="single" w:color="cfcfcf" w:sz="5"/>
              <w:bottom w:val="single" w:color="cfcfcf" w:sz="5"/>
              <w:right w:val="single" w:color="cfcfcf" w:sz="5"/>
            </w:tcBorders>
          </w:tcP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9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показателей бюджетной программы</w:t>
            </w:r>
          </w:p>
        </w:tc>
        <w:tc>
          <w:tcPr>
            <w:tcW w:w="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отчетный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плановый период</w:t>
            </w:r>
          </w:p>
        </w:tc>
        <w:tc>
          <w:tcPr>
            <w:tcW w:w="1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2017 год (проектируемый год)</w:t>
            </w:r>
          </w:p>
        </w:tc>
        <w:tc>
          <w:tcPr>
            <w:tcW w:w="1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2018 год (проектируемый год)</w:t>
            </w:r>
          </w:p>
        </w:tc>
      </w:tr>
      <w:tr>
        <w:trPr>
          <w:trHeight w:val="144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 год (отчет)</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 год (план текущего)</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2014 год</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2015 год</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2016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прямого результата</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кредитов нижестоящим бюджетам на покрытие дефицита наличности при наличии решений Правительства Республики Казахстан</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конечного результата</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 покрытие дефицита наличности по нижестоящим бюджетам</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качества</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показатели эффективности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объем бюджетных расходов</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тыс. тг.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600 000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600 000</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9"/>
        <w:gridCol w:w="2617"/>
        <w:gridCol w:w="854"/>
        <w:gridCol w:w="1458"/>
        <w:gridCol w:w="1308"/>
        <w:gridCol w:w="1309"/>
        <w:gridCol w:w="1372"/>
        <w:gridCol w:w="1373"/>
        <w:gridCol w:w="1565"/>
        <w:gridCol w:w="1565"/>
      </w:tblGrid>
      <w:tr>
        <w:trPr>
          <w:trHeight w:val="87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013 Обслуживание правительственного долга</w:t>
            </w:r>
          </w:p>
        </w:tc>
      </w:tr>
      <w:tr>
        <w:trPr>
          <w:trHeight w:val="525"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Выплата вознаграждения (интереса), комиссионных и прочих платежей по внешним и внутренним правительственным займам</w:t>
            </w:r>
          </w:p>
        </w:tc>
      </w:tr>
      <w:tr>
        <w:trPr>
          <w:trHeight w:val="540" w:hRule="atLeast"/>
        </w:trPr>
        <w:tc>
          <w:tcPr>
            <w:tcW w:w="1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вид бюджетной программы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обязательств государства</w:t>
            </w:r>
          </w:p>
        </w:tc>
      </w:tr>
      <w:tr>
        <w:trPr>
          <w:trHeight w:val="810" w:hRule="atLeast"/>
        </w:trPr>
        <w:tc>
          <w:tcPr>
            <w:tcW w:w="0" w:type="auto"/>
            <w:vMerge/>
            <w:tcBorders>
              <w:top w:val="nil"/>
              <w:left w:val="single" w:color="cfcfcf" w:sz="5"/>
              <w:bottom w:val="single" w:color="cfcfcf" w:sz="5"/>
              <w:right w:val="single" w:color="cfcfcf" w:sz="5"/>
            </w:tcBorders>
          </w:tcP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540" w:hRule="atLeast"/>
        </w:trPr>
        <w:tc>
          <w:tcPr>
            <w:tcW w:w="0" w:type="auto"/>
            <w:vMerge/>
            <w:tcBorders>
              <w:top w:val="nil"/>
              <w:left w:val="single" w:color="cfcfcf" w:sz="5"/>
              <w:bottom w:val="single" w:color="cfcfcf" w:sz="5"/>
              <w:right w:val="single" w:color="cfcfcf" w:sz="5"/>
            </w:tcBorders>
          </w:tcP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9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показателей бюджетной программы</w:t>
            </w:r>
          </w:p>
        </w:tc>
        <w:tc>
          <w:tcPr>
            <w:tcW w:w="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отчетный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плановый период</w:t>
            </w:r>
          </w:p>
        </w:tc>
        <w:tc>
          <w:tcPr>
            <w:tcW w:w="1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2017 год (проектируемый год)</w:t>
            </w:r>
          </w:p>
        </w:tc>
        <w:tc>
          <w:tcPr>
            <w:tcW w:w="1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2018 год (проектируемый год)</w:t>
            </w:r>
          </w:p>
        </w:tc>
      </w:tr>
      <w:tr>
        <w:trPr>
          <w:trHeight w:val="15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 год (отчет)</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 год (план текущего)</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2014 год</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2015 год</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2016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прямого результата</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финансирования дефицита бюджета, в соответствии с потребностью бюджета</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Своевременность и полнота финансирования бюджетных программ</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качества</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показатели эффективности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объем бюджетных расходов</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тыс. тг.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129 714 362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178 248 466</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251 657 901</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308 744 610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344 840 778</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7"/>
        <w:gridCol w:w="3542"/>
        <w:gridCol w:w="1049"/>
        <w:gridCol w:w="1071"/>
        <w:gridCol w:w="1212"/>
        <w:gridCol w:w="1071"/>
        <w:gridCol w:w="865"/>
        <w:gridCol w:w="822"/>
        <w:gridCol w:w="1755"/>
        <w:gridCol w:w="1756"/>
      </w:tblGrid>
      <w:tr>
        <w:trPr>
          <w:trHeight w:val="51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014 Модернизация таможенной службы</w:t>
            </w:r>
          </w:p>
        </w:tc>
      </w:tr>
      <w:tr>
        <w:trPr>
          <w:trHeight w:val="81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Формирование устойчивой, эффективно функционирующей таможенной системы, способствующей экономическому развитию и повышению конкурентоспособности экономики Республики Казахстан </w:t>
            </w:r>
          </w:p>
        </w:tc>
      </w:tr>
      <w:tr>
        <w:trPr>
          <w:trHeight w:val="450" w:hRule="atLeast"/>
        </w:trPr>
        <w:tc>
          <w:tcPr>
            <w:tcW w:w="1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вид бюджетной программы</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390" w:hRule="atLeast"/>
        </w:trPr>
        <w:tc>
          <w:tcPr>
            <w:tcW w:w="0" w:type="auto"/>
            <w:vMerge/>
            <w:tcBorders>
              <w:top w:val="nil"/>
              <w:left w:val="single" w:color="cfcfcf" w:sz="5"/>
              <w:bottom w:val="single" w:color="cfcfcf" w:sz="5"/>
              <w:right w:val="single" w:color="cfcfcf" w:sz="5"/>
            </w:tcBorders>
          </w:tcP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495" w:hRule="atLeast"/>
        </w:trPr>
        <w:tc>
          <w:tcPr>
            <w:tcW w:w="0" w:type="auto"/>
            <w:vMerge/>
            <w:tcBorders>
              <w:top w:val="nil"/>
              <w:left w:val="single" w:color="cfcfcf" w:sz="5"/>
              <w:bottom w:val="single" w:color="cfcfcf" w:sz="5"/>
              <w:right w:val="single" w:color="cfcfcf" w:sz="5"/>
            </w:tcBorders>
          </w:tcP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развития</w:t>
            </w:r>
          </w:p>
        </w:tc>
      </w:tr>
      <w:tr>
        <w:trPr>
          <w:trHeight w:val="39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показателей бюджетной программы</w:t>
            </w:r>
          </w:p>
        </w:tc>
        <w:tc>
          <w:tcPr>
            <w:tcW w:w="1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отчетный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плановый период</w:t>
            </w:r>
          </w:p>
        </w:tc>
        <w:tc>
          <w:tcPr>
            <w:tcW w:w="1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2017 год (проектируемый год)</w:t>
            </w:r>
          </w:p>
        </w:tc>
        <w:tc>
          <w:tcPr>
            <w:tcW w:w="1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2018 год (проектируемый год)</w:t>
            </w:r>
          </w:p>
        </w:tc>
      </w:tr>
      <w:tr>
        <w:trPr>
          <w:trHeight w:val="103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 год (отчет)</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 год (план текущего)</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2014 год</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2015 год</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2016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прямого результата</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Приобретение консалтинговых услуг</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товаров, относящихся к основным средствам (спецоборудование)</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Прогнозный процент приобретаемых товаров, относящихся к основным средствам</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нематериальных активов для модернизации существующих информационных систем</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конечного результата</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 оценка, рекомендации по совершенствованию таможенных процедур, предоставленные по итогам завершения консалтинговых услуг (технические отчеты)</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Обеспечение серверным оборудованием</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Проектирование и разработка комплексного плана по борьбе с коррупцией, в соответствии с Арушской декларацией</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контракт</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единой архитектуры ИКТ таможенных органов, с последующей разработкой и внедрением пакета соответствующих ПО и ИС для полной автоматизации каждого направления деятельности таможни</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Анализ, оценка, рекомендации по совершенствованию таможенного законодательства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Реинжениринг бизнес процессов</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контракт</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интегрированного хранилища данных и систем безопасности</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Программное обеспечение электронного аудита</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Улучшение материально-технической базы таможенных постов в пределах запланированного количества единиц</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качества</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доли таможенных деклараций, подаваемых в электронной форме от общего числа таможенных деклараций</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показатели эффективности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 удовлетворенности участников ВЭД и других заинтересованных лиц, предоставляемыми услугами таможенных органов по результатам независимого социологического опроса за год, предшествующий плановому периоду</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объем бюджетных расходов</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тыс. тг.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906 746</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1 706 280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2 549 265</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7"/>
        <w:gridCol w:w="4505"/>
        <w:gridCol w:w="809"/>
        <w:gridCol w:w="1073"/>
        <w:gridCol w:w="1187"/>
        <w:gridCol w:w="959"/>
        <w:gridCol w:w="1011"/>
        <w:gridCol w:w="949"/>
        <w:gridCol w:w="1540"/>
        <w:gridCol w:w="1540"/>
      </w:tblGrid>
      <w:tr>
        <w:trPr>
          <w:trHeight w:val="72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016 Приватизация, управление государственным имуществом, постприватизационная деятельность и регулирование споров, связанных с этим</w:t>
            </w:r>
          </w:p>
        </w:tc>
      </w:tr>
      <w:tr>
        <w:trPr>
          <w:trHeight w:val="75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Оптимизация государственного имущества, закрепленного за республиканскими государственными юридическими лицами, ведение Реестра государственной собственности</w:t>
            </w:r>
          </w:p>
        </w:tc>
      </w:tr>
      <w:tr>
        <w:trPr>
          <w:trHeight w:val="690" w:hRule="atLeast"/>
        </w:trPr>
        <w:tc>
          <w:tcPr>
            <w:tcW w:w="1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вид бюджетной программы</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465" w:hRule="atLeast"/>
        </w:trPr>
        <w:tc>
          <w:tcPr>
            <w:tcW w:w="0" w:type="auto"/>
            <w:vMerge/>
            <w:tcBorders>
              <w:top w:val="nil"/>
              <w:left w:val="single" w:color="cfcfcf" w:sz="5"/>
              <w:bottom w:val="single" w:color="cfcfcf" w:sz="5"/>
              <w:right w:val="single" w:color="cfcfcf" w:sz="5"/>
            </w:tcBorders>
          </w:tcP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690" w:hRule="atLeast"/>
        </w:trPr>
        <w:tc>
          <w:tcPr>
            <w:tcW w:w="0" w:type="auto"/>
            <w:vMerge/>
            <w:tcBorders>
              <w:top w:val="nil"/>
              <w:left w:val="single" w:color="cfcfcf" w:sz="5"/>
              <w:bottom w:val="single" w:color="cfcfcf" w:sz="5"/>
              <w:right w:val="single" w:color="cfcfcf" w:sz="5"/>
            </w:tcBorders>
          </w:tcP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9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показателей бюджетной программы</w:t>
            </w:r>
          </w:p>
        </w:tc>
        <w:tc>
          <w:tcPr>
            <w:tcW w:w="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отчетный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плановый период</w:t>
            </w:r>
          </w:p>
        </w:tc>
        <w:tc>
          <w:tcPr>
            <w:tcW w:w="1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2017 год (проектируемый год)</w:t>
            </w:r>
          </w:p>
        </w:tc>
        <w:tc>
          <w:tcPr>
            <w:tcW w:w="1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2018 год (проектируемый год)</w:t>
            </w:r>
          </w:p>
        </w:tc>
      </w:tr>
      <w:tr>
        <w:trPr>
          <w:trHeight w:val="130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 год (отчет)</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 год (план текущего)</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2014 год</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2015 год</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2016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прямого результата</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 выставленных объектов к количеству объектов, подлежащих приватизации</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доли электронных аукционов в общем объеме проводимых аукционов по продаже объектов республиканской собственности</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объектов учета, зарегистрированных в реестре государственных предприятий и учреждений, юридических лиц с участием государства в уставном капитале</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27 300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Процент внедренных в реестр государственного имущества объектов учета, определенных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государственном имуществе"</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видов (категорий) государственного имущества, учитываемых в реестре государственного имущества, согласно </w:t>
            </w:r>
            <w:r>
              <w:rPr>
                <w:rFonts w:ascii="Times New Roman"/>
                <w:b w:val="false"/>
                <w:i w:val="false"/>
                <w:color w:val="000000"/>
                <w:sz w:val="20"/>
              </w:rPr>
              <w:t>правилам ведения реестра</w:t>
            </w:r>
            <w:r>
              <w:rPr>
                <w:rFonts w:ascii="Times New Roman"/>
                <w:b w:val="false"/>
                <w:i w:val="false"/>
                <w:color w:val="000000"/>
                <w:sz w:val="20"/>
              </w:rPr>
              <w:t>, утвержденным Правительством Республики Казахстан</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конечного результата</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 проданных объектов к количеству объектов, выставленных на приватизацию</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качества</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выполнения условий договоров купли-продажи объектов республиканской собственности</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эффективности</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объем бюджетных расходов</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тыс. тг.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426 925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524 402</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546 962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546 962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546 962</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3"/>
        <w:gridCol w:w="3580"/>
        <w:gridCol w:w="851"/>
        <w:gridCol w:w="1123"/>
        <w:gridCol w:w="1200"/>
        <w:gridCol w:w="980"/>
        <w:gridCol w:w="924"/>
        <w:gridCol w:w="991"/>
        <w:gridCol w:w="1599"/>
        <w:gridCol w:w="1599"/>
      </w:tblGrid>
      <w:tr>
        <w:trPr>
          <w:trHeight w:val="6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019 Выплата курсовой разницы по льготным жилищным кредитам</w:t>
            </w:r>
          </w:p>
        </w:tc>
      </w:tr>
      <w:tr>
        <w:trPr>
          <w:trHeight w:val="81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Смягчение социальных последствий от изменений обменного курса тенге для граждан, получивших льготные жилищные кредиты ЗАО «Жилстройбанк» </w:t>
            </w:r>
          </w:p>
        </w:tc>
      </w:tr>
      <w:tr>
        <w:trPr>
          <w:trHeight w:val="600" w:hRule="atLeast"/>
        </w:trPr>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вид бюджетной программы</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обязательств государства</w:t>
            </w:r>
          </w:p>
        </w:tc>
      </w:tr>
      <w:tr>
        <w:trPr>
          <w:trHeight w:val="510" w:hRule="atLeast"/>
        </w:trPr>
        <w:tc>
          <w:tcPr>
            <w:tcW w:w="0" w:type="auto"/>
            <w:vMerge/>
            <w:tcBorders>
              <w:top w:val="nil"/>
              <w:left w:val="single" w:color="cfcfcf" w:sz="5"/>
              <w:bottom w:val="single" w:color="cfcfcf" w:sz="5"/>
              <w:right w:val="single" w:color="cfcfcf" w:sz="5"/>
            </w:tcBorders>
          </w:tcP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600" w:hRule="atLeast"/>
        </w:trPr>
        <w:tc>
          <w:tcPr>
            <w:tcW w:w="0" w:type="auto"/>
            <w:vMerge/>
            <w:tcBorders>
              <w:top w:val="nil"/>
              <w:left w:val="single" w:color="cfcfcf" w:sz="5"/>
              <w:bottom w:val="single" w:color="cfcfcf" w:sz="5"/>
              <w:right w:val="single" w:color="cfcfcf" w:sz="5"/>
            </w:tcBorders>
          </w:tcP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9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показателей бюджетной программы</w:t>
            </w: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отчетный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плановый период</w:t>
            </w:r>
          </w:p>
        </w:tc>
        <w:tc>
          <w:tcPr>
            <w:tcW w:w="1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2017 год (проектируемый год)</w:t>
            </w:r>
          </w:p>
        </w:tc>
        <w:tc>
          <w:tcPr>
            <w:tcW w:w="1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2018 год (проектируемый год)</w:t>
            </w:r>
          </w:p>
        </w:tc>
      </w:tr>
      <w:tr>
        <w:trPr>
          <w:trHeight w:val="15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 год (отчет)</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 год (план текущего)</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2014 год</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2015 год</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2016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прямого результата</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государственной поддержки граждан, получивших льготные жилищные кредиты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конечного результата</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полноты выплат курсовой разницы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качества</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показатели эффективности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объем бюджетных расходов</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тыс. тг.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18 494</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12 890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12 157</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8 749</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5 414</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0"/>
        <w:gridCol w:w="3022"/>
        <w:gridCol w:w="912"/>
        <w:gridCol w:w="1238"/>
        <w:gridCol w:w="1335"/>
        <w:gridCol w:w="1131"/>
        <w:gridCol w:w="1099"/>
        <w:gridCol w:w="1099"/>
        <w:gridCol w:w="1572"/>
        <w:gridCol w:w="1572"/>
      </w:tblGrid>
      <w:tr>
        <w:trPr>
          <w:trHeight w:val="495"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021 Капитальные расходы Министерства финансов Республики Казахстан</w:t>
            </w:r>
          </w:p>
        </w:tc>
      </w:tr>
      <w:tr>
        <w:trPr>
          <w:trHeight w:val="75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Капитальный ремонт зданий, помещений и сооружений государственных органов. Разработка проектно-сметной документации. Материально-техническое оснащение Министерства финансов, комитетов и их территориальных подразделений </w:t>
            </w:r>
          </w:p>
        </w:tc>
      </w:tr>
      <w:tr>
        <w:trPr>
          <w:trHeight w:val="450" w:hRule="atLeast"/>
        </w:trPr>
        <w:tc>
          <w:tcPr>
            <w:tcW w:w="2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вид бюджетной программы</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капитальных расходов</w:t>
            </w:r>
          </w:p>
        </w:tc>
      </w:tr>
      <w:tr>
        <w:trPr>
          <w:trHeight w:val="450" w:hRule="atLeast"/>
        </w:trPr>
        <w:tc>
          <w:tcPr>
            <w:tcW w:w="0" w:type="auto"/>
            <w:vMerge/>
            <w:tcBorders>
              <w:top w:val="nil"/>
              <w:left w:val="single" w:color="cfcfcf" w:sz="5"/>
              <w:bottom w:val="single" w:color="cfcfcf" w:sz="5"/>
              <w:right w:val="single" w:color="cfcfcf" w:sz="5"/>
            </w:tcBorders>
          </w:tcP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495" w:hRule="atLeast"/>
        </w:trPr>
        <w:tc>
          <w:tcPr>
            <w:tcW w:w="0" w:type="auto"/>
            <w:vMerge/>
            <w:tcBorders>
              <w:top w:val="nil"/>
              <w:left w:val="single" w:color="cfcfcf" w:sz="5"/>
              <w:bottom w:val="single" w:color="cfcfcf" w:sz="5"/>
              <w:right w:val="single" w:color="cfcfcf" w:sz="5"/>
            </w:tcBorders>
          </w:tcP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9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показателей бюджетной программы</w:t>
            </w:r>
          </w:p>
        </w:tc>
        <w:tc>
          <w:tcPr>
            <w:tcW w:w="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отчетный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плановый период</w:t>
            </w:r>
          </w:p>
        </w:tc>
        <w:tc>
          <w:tcPr>
            <w:tcW w:w="1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2017 год (проектируемый год)</w:t>
            </w:r>
          </w:p>
        </w:tc>
        <w:tc>
          <w:tcPr>
            <w:tcW w:w="1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2018 год (проектируемый год)</w:t>
            </w:r>
          </w:p>
        </w:tc>
      </w:tr>
      <w:tr>
        <w:trPr>
          <w:trHeight w:val="151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 год (отчет)</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 год (план текущего)</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2014 год</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2015 год</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2016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прямого результата</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Ориентировочное количество капитального ремонта административных зданий, помещений и сооружений, разработка проектно-сметной документации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Прогнозный процент приобретаемой вычислительной техники, оборудования, мебели, нематериальных активов и прочих товаров</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Своевременное завершение запланированного объема работ по капитальному ремонту административных зданий, помещений и сооружений территориальных подразделений комитетов, разработка проектно-сметной документации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Улучшение материально-технической базы в пределах запланированного количества единиц</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качества</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показатели эффективности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объем бюджетных расходов</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тыс. тг.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1 466 857</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1 617 328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2 454 063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1 951 422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1 809 881</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4"/>
        <w:gridCol w:w="3484"/>
        <w:gridCol w:w="935"/>
        <w:gridCol w:w="1165"/>
        <w:gridCol w:w="1186"/>
        <w:gridCol w:w="1047"/>
        <w:gridCol w:w="1025"/>
        <w:gridCol w:w="1014"/>
        <w:gridCol w:w="1575"/>
        <w:gridCol w:w="1575"/>
      </w:tblGrid>
      <w:tr>
        <w:trPr>
          <w:trHeight w:val="585"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023 Проведение таможенной экспертизы </w:t>
            </w:r>
          </w:p>
        </w:tc>
      </w:tr>
      <w:tr>
        <w:trPr>
          <w:trHeight w:val="1605"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центральной и региональных таможенных лабораторий по расширению исследовательских возможностей, правильное применение мер тарифного и нетарифного регулирования, защита от ввоза недоброкачественных товаров и транзита радиационно-опасных грузов, проведение работ по контролю уровня радиологического заражения сотрудников таможенных органов (индивидуальный дозиметрический контроль)</w:t>
            </w:r>
          </w:p>
        </w:tc>
      </w:tr>
      <w:tr>
        <w:trPr>
          <w:trHeight w:val="795" w:hRule="atLeast"/>
        </w:trPr>
        <w:tc>
          <w:tcPr>
            <w:tcW w:w="1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вид бюджетной программы</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480" w:hRule="atLeast"/>
        </w:trPr>
        <w:tc>
          <w:tcPr>
            <w:tcW w:w="0" w:type="auto"/>
            <w:vMerge/>
            <w:tcBorders>
              <w:top w:val="nil"/>
              <w:left w:val="single" w:color="cfcfcf" w:sz="5"/>
              <w:bottom w:val="single" w:color="cfcfcf" w:sz="5"/>
              <w:right w:val="single" w:color="cfcfcf" w:sz="5"/>
            </w:tcBorders>
          </w:tcP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795" w:hRule="atLeast"/>
        </w:trPr>
        <w:tc>
          <w:tcPr>
            <w:tcW w:w="0" w:type="auto"/>
            <w:vMerge/>
            <w:tcBorders>
              <w:top w:val="nil"/>
              <w:left w:val="single" w:color="cfcfcf" w:sz="5"/>
              <w:bottom w:val="single" w:color="cfcfcf" w:sz="5"/>
              <w:right w:val="single" w:color="cfcfcf" w:sz="5"/>
            </w:tcBorders>
          </w:tcP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9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показателей бюджетной программы</w:t>
            </w:r>
          </w:p>
        </w:tc>
        <w:tc>
          <w:tcPr>
            <w:tcW w:w="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отчетный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плановый период</w:t>
            </w:r>
          </w:p>
        </w:tc>
        <w:tc>
          <w:tcPr>
            <w:tcW w:w="1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2017 год (проектируемый год)</w:t>
            </w:r>
          </w:p>
        </w:tc>
        <w:tc>
          <w:tcPr>
            <w:tcW w:w="1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2018 год (проектируемый год)</w:t>
            </w:r>
          </w:p>
        </w:tc>
      </w:tr>
      <w:tr>
        <w:trPr>
          <w:trHeight w:val="15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 год (отчет)</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 год (план текущего)</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2014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2015 год</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2016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прямого результата</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исследований при совершении таможенных операций с использованием специальных и научных познаний для решения задач в сфере таможенного дела</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экспертиза</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4 931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конечного результата</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Выдача заключений таможенного эксперта по вопросам, возникшим при проведении таможенного контроля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заключение</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4 931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качества</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принятых заключений таможенных экспертов таможенными органами РК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показатели эффективности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Доначисление в бюджет таможенных платежей и налогов</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тг.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99 321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200 340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161 460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161 460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объем бюджетных расходов</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тыс. тг.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24 039</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26 697</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26 031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26 031</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26 031</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1"/>
        <w:gridCol w:w="4023"/>
        <w:gridCol w:w="849"/>
        <w:gridCol w:w="1047"/>
        <w:gridCol w:w="1111"/>
        <w:gridCol w:w="907"/>
        <w:gridCol w:w="971"/>
        <w:gridCol w:w="961"/>
        <w:gridCol w:w="1575"/>
        <w:gridCol w:w="1575"/>
      </w:tblGrid>
      <w:tr>
        <w:trPr>
          <w:trHeight w:val="450" w:hRule="atLeast"/>
        </w:trPr>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025 Услуги учебно-методического центра </w:t>
            </w:r>
          </w:p>
        </w:tc>
      </w:tr>
      <w:tr>
        <w:trPr>
          <w:trHeight w:val="1485" w:hRule="atLeast"/>
        </w:trPr>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учебно-методических центров Комитета таможенного контроля в городах Алматы и Атырау. Организация обучения сотрудников таможенных органов вновь принятых на работу, а также переподготовка и повышение квалификации должностных лиц таможенных органов. Подготовка учебно-методических материалов по основной деятельности таможенной службы Республики Казахстан</w:t>
            </w:r>
          </w:p>
        </w:tc>
      </w:tr>
      <w:tr>
        <w:trPr>
          <w:trHeight w:val="765" w:hRule="atLeast"/>
        </w:trPr>
        <w:tc>
          <w:tcPr>
            <w:tcW w:w="1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вид бюджетной программы</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75" w:hRule="atLeast"/>
        </w:trPr>
        <w:tc>
          <w:tcPr>
            <w:tcW w:w="0" w:type="auto"/>
            <w:vMerge/>
            <w:tcBorders>
              <w:top w:val="nil"/>
              <w:left w:val="single" w:color="cfcfcf" w:sz="5"/>
              <w:bottom w:val="single" w:color="cfcfcf" w:sz="5"/>
              <w:right w:val="single" w:color="cfcfcf" w:sz="5"/>
            </w:tcBorders>
          </w:tcP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765" w:hRule="atLeast"/>
        </w:trPr>
        <w:tc>
          <w:tcPr>
            <w:tcW w:w="0" w:type="auto"/>
            <w:vMerge/>
            <w:tcBorders>
              <w:top w:val="nil"/>
              <w:left w:val="single" w:color="cfcfcf" w:sz="5"/>
              <w:bottom w:val="single" w:color="cfcfcf" w:sz="5"/>
              <w:right w:val="single" w:color="cfcfcf" w:sz="5"/>
            </w:tcBorders>
          </w:tcP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5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показателей бюджетной программы</w:t>
            </w:r>
          </w:p>
        </w:tc>
        <w:tc>
          <w:tcPr>
            <w:tcW w:w="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отчетный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плановый период</w:t>
            </w:r>
          </w:p>
        </w:tc>
        <w:tc>
          <w:tcPr>
            <w:tcW w:w="1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2017 год (проектируемый год)</w:t>
            </w:r>
          </w:p>
        </w:tc>
        <w:tc>
          <w:tcPr>
            <w:tcW w:w="1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2018 год (проектируемый год)</w:t>
            </w:r>
          </w:p>
        </w:tc>
      </w:tr>
      <w:tr>
        <w:trPr>
          <w:trHeight w:val="115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 год (отчет)</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 год (план текущего)</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2014 год</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2015 год</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2016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прямого результата</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Обучение вновь принятых на работу сотрудников таможенных органов</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Переподготовка и повышение квалификации должностных лиц таможенных органов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конечного результата</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сертификатов об обновлении теоретических и практических знаний, умений и навыков в сфере профессиональной деятельности в соответствии с предъявляемыми квалификационными требованиями для эффективного выполнения своих должностных обязанностей и совершенствования профессионального мастерства</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качества</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 слушателей курсов, получивших по результатам итогового тестирования уровень знаний 50 и более процентов, от общего количества слушателей курсов первоначальной подготовки</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показатели эффективности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Процент охвата обучающихся от штатной численности Комитета таможенного контроля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объем бюджетных расходов</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тыс. тг.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87 940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83 262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65 664</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65 501</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65 501</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3"/>
        <w:gridCol w:w="3357"/>
        <w:gridCol w:w="1063"/>
        <w:gridCol w:w="1084"/>
        <w:gridCol w:w="1215"/>
        <w:gridCol w:w="943"/>
        <w:gridCol w:w="986"/>
        <w:gridCol w:w="997"/>
        <w:gridCol w:w="1761"/>
        <w:gridCol w:w="1761"/>
      </w:tblGrid>
      <w:tr>
        <w:trPr>
          <w:trHeight w:val="555"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026 Строительство объектов таможенного контроля и таможенной инфраструктуры</w:t>
            </w:r>
          </w:p>
        </w:tc>
      </w:tr>
      <w:tr>
        <w:trPr>
          <w:trHeight w:val="117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Строительные работы на продолжающихся объектах таможенного контроля, разработка и утверждение проектно-сметной документации, завершение строительства объектов таможенного контроля в регионах Республики Казахстан</w:t>
            </w:r>
          </w:p>
        </w:tc>
      </w:tr>
      <w:tr>
        <w:trPr>
          <w:trHeight w:val="450" w:hRule="atLeast"/>
        </w:trPr>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вид бюджетной программы</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465"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495"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развития</w:t>
            </w:r>
          </w:p>
        </w:tc>
      </w:tr>
      <w:tr>
        <w:trPr>
          <w:trHeight w:val="39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показателей бюджетной программы</w:t>
            </w:r>
          </w:p>
        </w:tc>
        <w:tc>
          <w:tcPr>
            <w:tcW w:w="1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отчетный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плановый период</w:t>
            </w:r>
          </w:p>
        </w:tc>
        <w:tc>
          <w:tcPr>
            <w:tcW w:w="1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2017 год (проектируемый год)</w:t>
            </w:r>
          </w:p>
        </w:tc>
        <w:tc>
          <w:tcPr>
            <w:tcW w:w="1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2018 год (проектируемый год)</w:t>
            </w:r>
          </w:p>
        </w:tc>
      </w:tr>
      <w:tr>
        <w:trPr>
          <w:trHeight w:val="145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 год (отчет)</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 год (план текущего)</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2014 год</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2015 год</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2016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прямого результата</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Завершение строительства таможенного поста Бахты и единого контрольно-пропускного пункта Майкапчагай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объектов</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Завершение строительства служебных жилых домов и общежитий для сотрудников таможенных постов</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объектов</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проектно-сметной документации, проведение Государственной экспертизы по проекту «Строительство здания Департамента таможенного контроля с центром таможенного оформления в городе Усть-Каменогорске Восточно-Казахстанской области»</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объектов</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здания Департамента таможенного контроля с центром таможенного оформления в городе Усть-Каменогорске Восточно-Казахстанской области</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СМР</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Завершение строительства единого контрольно-пропускного пункта «Карасу» таможенного поста «Кордай» в Карасуском сельском округе Кордайского района Жамбылской области</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объектов</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проектно-сметной документации на строительство, расширения и реконструкцию пункта пропуска «Капланбек» Южно-Казахстанской области</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ПСД</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расширение и реконструкция пункта пропуска «Капланбек» Южно-Казахстанской области</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СМР</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проектно-сметной документации на строительство, расширение и реконструкцию пункта пропуска «Кордай» Жамбылской области</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ПСД</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расширение и реконструкция пункта пропуска «Кордай» Жамбылской области</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СМР</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конечного результата</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Ввод в эксплуатацию новых и реконструкция действующих контрольно-пропускных пунктов на таможенных постах</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объектов</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жильем сотрудников таможенных органов в приграничных районах</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объектов</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проектно-сметных документаций и получение заключений государственной экспертизы на строительство, расширение и реконструкцию пунктов пропуска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объектов</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Ввод в эксплуатацию административных зданий Департаментов таможенного контроля</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объектов</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качества</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показатели эффективности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объем бюджетных расходов</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тыс. тг.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2 354 273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750 109</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543 863</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1 375 000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1 279 317</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8"/>
        <w:gridCol w:w="4362"/>
        <w:gridCol w:w="816"/>
        <w:gridCol w:w="1121"/>
        <w:gridCol w:w="1207"/>
        <w:gridCol w:w="928"/>
        <w:gridCol w:w="928"/>
        <w:gridCol w:w="928"/>
        <w:gridCol w:w="1746"/>
        <w:gridCol w:w="1746"/>
      </w:tblGrid>
      <w:tr>
        <w:trPr>
          <w:trHeight w:val="69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027 Проведение мониторинга собственности и использование его результатов</w:t>
            </w:r>
          </w:p>
        </w:tc>
      </w:tr>
      <w:tr>
        <w:trPr>
          <w:trHeight w:val="75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проведение комплексных обследований хозяйствующих субъектов и осуществление мероприятий по реализации выработанных в ходе мониторинга рекомендаций</w:t>
            </w:r>
          </w:p>
        </w:tc>
      </w:tr>
      <w:tr>
        <w:trPr>
          <w:trHeight w:val="735" w:hRule="atLeast"/>
        </w:trPr>
        <w:tc>
          <w:tcPr>
            <w:tcW w:w="12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вид бюджетной программы</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450" w:hRule="atLeast"/>
        </w:trPr>
        <w:tc>
          <w:tcPr>
            <w:tcW w:w="0" w:type="auto"/>
            <w:vMerge/>
            <w:tcBorders>
              <w:top w:val="nil"/>
              <w:left w:val="single" w:color="cfcfcf" w:sz="5"/>
              <w:bottom w:val="single" w:color="cfcfcf" w:sz="5"/>
              <w:right w:val="single" w:color="cfcfcf" w:sz="5"/>
            </w:tcBorders>
          </w:tcP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735" w:hRule="atLeast"/>
        </w:trPr>
        <w:tc>
          <w:tcPr>
            <w:tcW w:w="0" w:type="auto"/>
            <w:vMerge/>
            <w:tcBorders>
              <w:top w:val="nil"/>
              <w:left w:val="single" w:color="cfcfcf" w:sz="5"/>
              <w:bottom w:val="single" w:color="cfcfcf" w:sz="5"/>
              <w:right w:val="single" w:color="cfcfcf" w:sz="5"/>
            </w:tcBorders>
          </w:tcP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67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показателей бюджетной программы</w:t>
            </w:r>
          </w:p>
        </w:tc>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отчетный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плановый период</w:t>
            </w:r>
          </w:p>
        </w:tc>
        <w:tc>
          <w:tcPr>
            <w:tcW w:w="1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2017 год (проектируемый год)</w:t>
            </w:r>
          </w:p>
        </w:tc>
        <w:tc>
          <w:tcPr>
            <w:tcW w:w="1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2018 год (проектируемый год)</w:t>
            </w:r>
          </w:p>
        </w:tc>
      </w:tr>
      <w:tr>
        <w:trPr>
          <w:trHeight w:val="127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 год (отчет)</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 год (план текущего)</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2014 год</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2015 год</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2016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Процент обследованных объектов комплексного мониторинга эффективности управления собственности юридических лиц с участием государства в целях принятия управленческих решений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 обследованных объектов мониторинга эффективности управления государственным имуществом, в том числе государственными предприятиями и юридическими лицами с участием государства</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 обследованных объектов государственного мониторинга собственности в отраслях экономики, имеющих стратегическое значение от общего Перечня объектов, в отношении которых осуществляется государственный мониторинг собственности</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конечного результата</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 организаций, представляющих оперативную информацию по деятельности объектов государственного мониторинга собственности в отраслях экономики, имеющих стратегическое значение от общего Перечня объектов, в отношении которых осуществляется государственный мониторинг собственности</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 рекомендаций, принятых государственными органами и объектами мониторинга эффективности управления государственным имуществом</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 рекомендаций, принятых государственными органами и объектами государственного мониторинга в отраслях экономики, имеющих стратегическое значение</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качества</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Полнота раскрытия информации по заданиям, отраженным в программе мониторинга</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показатели эффективности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принятых к реализации рекомендаций</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объем бюджетных расходов</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тыс. тг.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283 838</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251 997</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276 425</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276 425</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276 425</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4"/>
        <w:gridCol w:w="4567"/>
        <w:gridCol w:w="911"/>
        <w:gridCol w:w="1248"/>
        <w:gridCol w:w="1301"/>
        <w:gridCol w:w="1122"/>
        <w:gridCol w:w="911"/>
        <w:gridCol w:w="911"/>
        <w:gridCol w:w="911"/>
        <w:gridCol w:w="764"/>
      </w:tblGrid>
      <w:tr>
        <w:trPr>
          <w:trHeight w:val="75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033 «Модернизация автоматизированной интегрированной информационной системы «Электронные государственные закупки»</w:t>
            </w:r>
          </w:p>
        </w:tc>
      </w:tr>
      <w:tr>
        <w:trPr>
          <w:trHeight w:val="795"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Модернизация автоматизированной интегрированной информационной системы «Электронные государственные закупки» в связи с изменением законодательства</w:t>
            </w:r>
          </w:p>
        </w:tc>
      </w:tr>
      <w:tr>
        <w:trPr>
          <w:trHeight w:val="450" w:hRule="atLeast"/>
        </w:trPr>
        <w:tc>
          <w:tcPr>
            <w:tcW w:w="2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вид бюджетной программы</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465" w:hRule="atLeast"/>
        </w:trPr>
        <w:tc>
          <w:tcPr>
            <w:tcW w:w="0" w:type="auto"/>
            <w:vMerge/>
            <w:tcBorders>
              <w:top w:val="nil"/>
              <w:left w:val="single" w:color="cfcfcf" w:sz="5"/>
              <w:bottom w:val="single" w:color="cfcfcf" w:sz="5"/>
              <w:right w:val="single" w:color="cfcfcf" w:sz="5"/>
            </w:tcBorders>
          </w:tcP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480" w:hRule="atLeast"/>
        </w:trPr>
        <w:tc>
          <w:tcPr>
            <w:tcW w:w="0" w:type="auto"/>
            <w:vMerge/>
            <w:tcBorders>
              <w:top w:val="nil"/>
              <w:left w:val="single" w:color="cfcfcf" w:sz="5"/>
              <w:bottom w:val="single" w:color="cfcfcf" w:sz="5"/>
              <w:right w:val="single" w:color="cfcfcf" w:sz="5"/>
            </w:tcBorders>
          </w:tcP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развития</w:t>
            </w:r>
          </w:p>
        </w:tc>
      </w:tr>
      <w:tr>
        <w:trPr>
          <w:trHeight w:val="39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показателей бюджетной программы</w:t>
            </w:r>
          </w:p>
        </w:tc>
        <w:tc>
          <w:tcPr>
            <w:tcW w:w="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отчетный год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плановый период</w:t>
            </w:r>
          </w:p>
        </w:tc>
      </w:tr>
      <w:tr>
        <w:trPr>
          <w:trHeight w:val="78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 год (отчет)</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 год (план)</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2014 год</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2015 год</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2016 год</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2017 год</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2018 год</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прямого результата</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Автоматизация бизнес-процессов подлежащих автоматизаций в процессе государственных закупок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времени отклика Системы 5 секунд при пиковой нагрузке одновременной работе в Системе до 24000 клиентов (при соблюдении соответствующих технических условий)</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технической возможности хранения архивной информации о проведенных государственных закупках объемом не менее 115 ТВ</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конечного результата</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пользователей, удовлетворенных работой системы электронных государственных закупок</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качества</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работоспособности системы на 365x24x7</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сутки/ простой</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 сутки в квартал</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 сутки в квартал</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 сутки в квартал</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показатели эффективности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Условная экономия бюджетных средств</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объем бюджетных расходов</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тыс. тг.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78 300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1 787 084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733 438</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3"/>
        <w:gridCol w:w="2037"/>
        <w:gridCol w:w="1059"/>
        <w:gridCol w:w="1289"/>
        <w:gridCol w:w="1300"/>
        <w:gridCol w:w="1161"/>
        <w:gridCol w:w="1322"/>
        <w:gridCol w:w="1311"/>
        <w:gridCol w:w="1739"/>
        <w:gridCol w:w="1739"/>
      </w:tblGrid>
      <w:tr>
        <w:trPr>
          <w:trHeight w:val="975"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038 Субсидирование процентной ставки вознаграждения в рамках «Программы посткризисного восстановления (оздоровление конкурентоспособных предприятий)»</w:t>
            </w:r>
          </w:p>
        </w:tc>
      </w:tr>
      <w:tr>
        <w:trPr>
          <w:trHeight w:val="1125"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Субсидирование процентной ставки по уже имеющимся кредитам банков и на новую задолженность в рамках одной кредитной линии </w:t>
            </w:r>
          </w:p>
        </w:tc>
      </w:tr>
      <w:tr>
        <w:trPr>
          <w:trHeight w:val="840" w:hRule="atLeast"/>
        </w:trPr>
        <w:tc>
          <w:tcPr>
            <w:tcW w:w="2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вид бюджетной программы: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предоставление трансфертов и бюджетных субсидий </w:t>
            </w:r>
          </w:p>
        </w:tc>
      </w:tr>
      <w:tr>
        <w:trPr>
          <w:trHeight w:val="795" w:hRule="atLeast"/>
        </w:trPr>
        <w:tc>
          <w:tcPr>
            <w:tcW w:w="0" w:type="auto"/>
            <w:vMerge/>
            <w:tcBorders>
              <w:top w:val="nil"/>
              <w:left w:val="single" w:color="cfcfcf" w:sz="5"/>
              <w:bottom w:val="single" w:color="cfcfcf" w:sz="5"/>
              <w:right w:val="single" w:color="cfcfcf" w:sz="5"/>
            </w:tcBorders>
          </w:tcP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индивидуальная </w:t>
            </w:r>
          </w:p>
        </w:tc>
      </w:tr>
      <w:tr>
        <w:trPr>
          <w:trHeight w:val="840" w:hRule="atLeast"/>
        </w:trPr>
        <w:tc>
          <w:tcPr>
            <w:tcW w:w="0" w:type="auto"/>
            <w:vMerge/>
            <w:tcBorders>
              <w:top w:val="nil"/>
              <w:left w:val="single" w:color="cfcfcf" w:sz="5"/>
              <w:bottom w:val="single" w:color="cfcfcf" w:sz="5"/>
              <w:right w:val="single" w:color="cfcfcf" w:sz="5"/>
            </w:tcBorders>
          </w:tcP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70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показателей бюджетной программы</w:t>
            </w:r>
          </w:p>
        </w:tc>
        <w:tc>
          <w:tcPr>
            <w:tcW w:w="1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отчетный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плановый период</w:t>
            </w:r>
          </w:p>
        </w:tc>
        <w:tc>
          <w:tcPr>
            <w:tcW w:w="1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2017 год (проектируемый год)</w:t>
            </w:r>
          </w:p>
        </w:tc>
        <w:tc>
          <w:tcPr>
            <w:tcW w:w="1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2018 год (проектируемый год)</w:t>
            </w:r>
          </w:p>
        </w:tc>
      </w:tr>
      <w:tr>
        <w:trPr>
          <w:trHeight w:val="154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 год (отчет)</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 год (план текущего)</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2014 год</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2015 год</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2016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прямого результата</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субсидируемых кредитов</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участников Программы посткризисного восстановления (оздоровление конкурентоспособных предприятий)</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участников Программы, в отношении которых обеспечено субсидирование процентной ставки вознаграждения, к общему количеству участников Программы</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конечного результата</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просубсидированных кредитов</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участников Программы посткризисного восстановления (оздоровление конкурентоспособных предприятий), в отношении которых обеспечено субсидирование процентной ставки по уже имеющимся займам (кредитам) и/или лизинговым операциям, купона по облигациям</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6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Своевременное и полное исполнение обязательств по субсидированию процентной ставки по уже имеющимся займам(кредитам) и/или лизинговым операциям, купона по облигациям, принятых в рамках заключенных договоров субсидирования</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качества</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эффективности</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объем бюджетных расходов</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тыс. тг.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4 767 217</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12 511 656</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20 557 492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19 200 828</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19 200 828</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1"/>
        <w:gridCol w:w="2934"/>
        <w:gridCol w:w="1045"/>
        <w:gridCol w:w="1275"/>
        <w:gridCol w:w="1210"/>
        <w:gridCol w:w="1080"/>
        <w:gridCol w:w="1080"/>
        <w:gridCol w:w="843"/>
        <w:gridCol w:w="1751"/>
        <w:gridCol w:w="1751"/>
      </w:tblGrid>
      <w:tr>
        <w:trPr>
          <w:trHeight w:val="690" w:hRule="atLeast"/>
        </w:trPr>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040 Строительство центров приема и обработки информации налоговых органов</w:t>
            </w:r>
          </w:p>
        </w:tc>
      </w:tr>
      <w:tr>
        <w:trPr>
          <w:trHeight w:val="570" w:hRule="atLeast"/>
        </w:trPr>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центров приема и обработки информации территориальных налоговых органов</w:t>
            </w:r>
          </w:p>
        </w:tc>
      </w:tr>
      <w:tr>
        <w:trPr>
          <w:trHeight w:val="795" w:hRule="atLeast"/>
        </w:trPr>
        <w:tc>
          <w:tcPr>
            <w:tcW w:w="2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вид бюджетной программы: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795" w:hRule="atLeast"/>
        </w:trPr>
        <w:tc>
          <w:tcPr>
            <w:tcW w:w="0" w:type="auto"/>
            <w:vMerge/>
            <w:tcBorders>
              <w:top w:val="nil"/>
              <w:left w:val="single" w:color="cfcfcf" w:sz="5"/>
              <w:bottom w:val="single" w:color="cfcfcf" w:sz="5"/>
              <w:right w:val="single" w:color="cfcfcf" w:sz="5"/>
            </w:tcBorders>
          </w:tcP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индивидуальная </w:t>
            </w:r>
          </w:p>
        </w:tc>
      </w:tr>
      <w:tr>
        <w:trPr>
          <w:trHeight w:val="795" w:hRule="atLeast"/>
        </w:trPr>
        <w:tc>
          <w:tcPr>
            <w:tcW w:w="0" w:type="auto"/>
            <w:vMerge/>
            <w:tcBorders>
              <w:top w:val="nil"/>
              <w:left w:val="single" w:color="cfcfcf" w:sz="5"/>
              <w:bottom w:val="single" w:color="cfcfcf" w:sz="5"/>
              <w:right w:val="single" w:color="cfcfcf" w:sz="5"/>
            </w:tcBorders>
          </w:tcP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52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показателей бюджетной программы</w:t>
            </w:r>
          </w:p>
        </w:tc>
        <w:tc>
          <w:tcPr>
            <w:tcW w:w="1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отчетный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плановый период</w:t>
            </w:r>
          </w:p>
        </w:tc>
        <w:tc>
          <w:tcPr>
            <w:tcW w:w="1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2017 год (проектируемый год)</w:t>
            </w:r>
          </w:p>
        </w:tc>
        <w:tc>
          <w:tcPr>
            <w:tcW w:w="1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2018 год (проектируемый год)</w:t>
            </w:r>
          </w:p>
        </w:tc>
      </w:tr>
      <w:tr>
        <w:trPr>
          <w:trHeight w:val="160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 год (отчет)</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 год (план текущего)</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2014 год</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2015 год</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2016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прямого результата</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Центров приема и обработки информации налоговых органов</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Начало строительства 1 центрального и 1 регионального Центров приема и обработки информации налоговых органов</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проектно-сметной документации с заключением государственнной экспертизы</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конечного результата</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Ввод в эксплуатацию Центров приема и обработки информации налоговых органов</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строительно-монтажных работ 1 центрального и 1 регионального Центров приема и обработки информации налоговых органов,</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Ввод в эксплуатацию 1 центрального и 1 регионального Центров приема и обработки информации налоговых органов, в соответствии с утвержденной проектно-сметной документацией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Проектно-сметная документация на строительство Центров приема и обработки информации налоговых органов, прошедшая государственную экспертизу</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качества</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эффективности</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Введение всеобщего декларирования доходов и имущества населения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1 749</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11 152</w:t>
            </w:r>
          </w:p>
        </w:tc>
      </w:tr>
      <w:tr>
        <w:trPr>
          <w:trHeight w:val="8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объем бюджетных расходов</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тыс. тг.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4 490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144 001</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547 872</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241 708</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2"/>
        <w:gridCol w:w="2942"/>
        <w:gridCol w:w="820"/>
        <w:gridCol w:w="1394"/>
        <w:gridCol w:w="1396"/>
        <w:gridCol w:w="1169"/>
        <w:gridCol w:w="1255"/>
        <w:gridCol w:w="1180"/>
        <w:gridCol w:w="1581"/>
        <w:gridCol w:w="1581"/>
      </w:tblGrid>
      <w:tr>
        <w:trPr>
          <w:trHeight w:val="78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044 Погашение простых векселей</w:t>
            </w:r>
          </w:p>
        </w:tc>
      </w:tr>
      <w:tr>
        <w:trPr>
          <w:trHeight w:val="84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простых векселей в реализацию Соглашения между Правительством Республики Казахстан и компаниями «Rumeli Telekom A.S.» и «Telsim Mobil Telekomunikasyon Hizmetleri A.S.» от 30 марта 2011 г.</w:t>
            </w:r>
          </w:p>
        </w:tc>
      </w:tr>
      <w:tr>
        <w:trPr>
          <w:trHeight w:val="630" w:hRule="atLeast"/>
        </w:trPr>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вид бюджетной программы</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выполнение обязательств государства </w:t>
            </w:r>
          </w:p>
        </w:tc>
      </w:tr>
      <w:tr>
        <w:trPr>
          <w:trHeight w:val="810" w:hRule="atLeast"/>
        </w:trPr>
        <w:tc>
          <w:tcPr>
            <w:tcW w:w="0" w:type="auto"/>
            <w:vMerge/>
            <w:tcBorders>
              <w:top w:val="nil"/>
              <w:left w:val="single" w:color="cfcfcf" w:sz="5"/>
              <w:bottom w:val="single" w:color="cfcfcf" w:sz="5"/>
              <w:right w:val="single" w:color="cfcfcf" w:sz="5"/>
            </w:tcBorders>
          </w:tcP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630" w:hRule="atLeast"/>
        </w:trPr>
        <w:tc>
          <w:tcPr>
            <w:tcW w:w="0" w:type="auto"/>
            <w:vMerge/>
            <w:tcBorders>
              <w:top w:val="nil"/>
              <w:left w:val="single" w:color="cfcfcf" w:sz="5"/>
              <w:bottom w:val="single" w:color="cfcfcf" w:sz="5"/>
              <w:right w:val="single" w:color="cfcfcf" w:sz="5"/>
            </w:tcBorders>
          </w:tcP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9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показателей бюджетной программы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отчетный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плановый период</w:t>
            </w:r>
          </w:p>
        </w:tc>
        <w:tc>
          <w:tcPr>
            <w:tcW w:w="1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2017 год (проектируемый год)</w:t>
            </w:r>
          </w:p>
        </w:tc>
        <w:tc>
          <w:tcPr>
            <w:tcW w:w="1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2018 год (проектируемый год)</w:t>
            </w:r>
          </w:p>
        </w:tc>
      </w:tr>
      <w:tr>
        <w:trPr>
          <w:trHeight w:val="15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 год (отчет)</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 год (план текущего)</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2014 год</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2015 год</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2016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прямого результата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простых векселей, выпущенных Министерством финансов Республики Казахстан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конечного результата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Погашение простых векселей, выпущенных Министерством финансов Республики Казахстан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качества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Своевременность и полнота погашения простых векселей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эффективности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объем бюджетных расходов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тыс. тг.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5 200 438,5</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5 047 313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5 355 335</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5 556 376</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5 813 320</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8"/>
        <w:gridCol w:w="2856"/>
        <w:gridCol w:w="822"/>
        <w:gridCol w:w="1399"/>
        <w:gridCol w:w="1443"/>
        <w:gridCol w:w="1421"/>
        <w:gridCol w:w="1323"/>
        <w:gridCol w:w="888"/>
        <w:gridCol w:w="1585"/>
        <w:gridCol w:w="1585"/>
      </w:tblGrid>
      <w:tr>
        <w:trPr>
          <w:trHeight w:val="75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045 Оплата первоначального взноса Республики Казахстан в «Антикризисный фонд ЕврАзЭС» </w:t>
            </w:r>
          </w:p>
        </w:tc>
      </w:tr>
      <w:tr>
        <w:trPr>
          <w:trHeight w:val="81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оплаты первоначального взноса Республики Казахстан в «Антикризисный фонд Евразийского экономического сообщества» посредством выпуска простого, необращаемого и беспроцентного векселя</w:t>
            </w:r>
          </w:p>
        </w:tc>
      </w:tr>
      <w:tr>
        <w:trPr>
          <w:trHeight w:val="660" w:hRule="atLeast"/>
        </w:trPr>
        <w:tc>
          <w:tcPr>
            <w:tcW w:w="1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вид бюджетной программы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выполнение обязательств государства </w:t>
            </w:r>
          </w:p>
        </w:tc>
      </w:tr>
      <w:tr>
        <w:trPr>
          <w:trHeight w:val="465" w:hRule="atLeast"/>
        </w:trPr>
        <w:tc>
          <w:tcPr>
            <w:tcW w:w="0" w:type="auto"/>
            <w:vMerge/>
            <w:tcBorders>
              <w:top w:val="nil"/>
              <w:left w:val="single" w:color="cfcfcf" w:sz="5"/>
              <w:bottom w:val="single" w:color="cfcfcf" w:sz="5"/>
              <w:right w:val="single" w:color="cfcfcf" w:sz="5"/>
            </w:tcBorders>
          </w:tcP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660" w:hRule="atLeast"/>
        </w:trPr>
        <w:tc>
          <w:tcPr>
            <w:tcW w:w="0" w:type="auto"/>
            <w:vMerge/>
            <w:tcBorders>
              <w:top w:val="nil"/>
              <w:left w:val="single" w:color="cfcfcf" w:sz="5"/>
              <w:bottom w:val="single" w:color="cfcfcf" w:sz="5"/>
              <w:right w:val="single" w:color="cfcfcf" w:sz="5"/>
            </w:tcBorders>
          </w:tcP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52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показателей бюджетной программы</w:t>
            </w:r>
          </w:p>
        </w:tc>
        <w:tc>
          <w:tcPr>
            <w:tcW w:w="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отчетный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плановый период</w:t>
            </w:r>
          </w:p>
        </w:tc>
        <w:tc>
          <w:tcPr>
            <w:tcW w:w="1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2017 год (проектируемый год)</w:t>
            </w:r>
          </w:p>
        </w:tc>
        <w:tc>
          <w:tcPr>
            <w:tcW w:w="1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2018 год (проектируемый год)</w:t>
            </w:r>
          </w:p>
        </w:tc>
      </w:tr>
      <w:tr>
        <w:trPr>
          <w:trHeight w:val="118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 год (отчет)</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 год (план текущего)</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2014 год</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2015 год</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2016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прямого результата</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оплаты первоначального взноса Республики Казахстан в «Антикризисный фонд ЕврАзЭС» посредством выпуска простого, необращаемого и беспроцентного векселя</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конечного результата</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Своевременное осуществление инкассации части средств векселя, выпущенного в счет оплаты первоначального взноса Республики Казахстан в «Антикризисный фонд ЕврАзЭС»</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качества</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показатели эффективности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объем бюджетных расходов</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тыс. тг.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30 032 409</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30 600 000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30 600 000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1"/>
        <w:gridCol w:w="3529"/>
        <w:gridCol w:w="822"/>
        <w:gridCol w:w="1016"/>
        <w:gridCol w:w="1238"/>
        <w:gridCol w:w="1005"/>
        <w:gridCol w:w="1138"/>
        <w:gridCol w:w="1183"/>
        <w:gridCol w:w="1784"/>
        <w:gridCol w:w="1784"/>
      </w:tblGrid>
      <w:tr>
        <w:trPr>
          <w:trHeight w:val="990" w:hRule="atLeast"/>
        </w:trPr>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046 Мониторинг реализации планов оздоровлений участников «Программы посткризисного восстановления (оздоровление конкурентоспособных предприятий)»</w:t>
            </w:r>
          </w:p>
        </w:tc>
      </w:tr>
      <w:tr>
        <w:trPr>
          <w:trHeight w:val="1215" w:hRule="atLeast"/>
        </w:trPr>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проведение комплексного и систематического мониторинга реализации планов оздоровления предприятий-участников «Программы посткризисного восстановления (оздоровление конкурентноспособных предприятий)» и представление результатов в Совет по оздоровлению</w:t>
            </w:r>
          </w:p>
        </w:tc>
      </w:tr>
      <w:tr>
        <w:trPr>
          <w:trHeight w:val="840" w:hRule="atLeast"/>
        </w:trPr>
        <w:tc>
          <w:tcPr>
            <w:tcW w:w="1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вид бюджетной программы</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465" w:hRule="atLeast"/>
        </w:trPr>
        <w:tc>
          <w:tcPr>
            <w:tcW w:w="0" w:type="auto"/>
            <w:vMerge/>
            <w:tcBorders>
              <w:top w:val="nil"/>
              <w:left w:val="single" w:color="cfcfcf" w:sz="5"/>
              <w:bottom w:val="single" w:color="cfcfcf" w:sz="5"/>
              <w:right w:val="single" w:color="cfcfcf" w:sz="5"/>
            </w:tcBorders>
          </w:tcP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840" w:hRule="atLeast"/>
        </w:trPr>
        <w:tc>
          <w:tcPr>
            <w:tcW w:w="0" w:type="auto"/>
            <w:vMerge/>
            <w:tcBorders>
              <w:top w:val="nil"/>
              <w:left w:val="single" w:color="cfcfcf" w:sz="5"/>
              <w:bottom w:val="single" w:color="cfcfcf" w:sz="5"/>
              <w:right w:val="single" w:color="cfcfcf" w:sz="5"/>
            </w:tcBorders>
          </w:tcP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9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показателей бюджетной программы</w:t>
            </w:r>
          </w:p>
        </w:tc>
        <w:tc>
          <w:tcPr>
            <w:tcW w:w="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отчетный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плановый период</w:t>
            </w:r>
          </w:p>
        </w:tc>
        <w:tc>
          <w:tcPr>
            <w:tcW w:w="1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2017 год (проектируемый год)</w:t>
            </w:r>
          </w:p>
        </w:tc>
        <w:tc>
          <w:tcPr>
            <w:tcW w:w="1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2018 год (проектируемый год)</w:t>
            </w:r>
          </w:p>
        </w:tc>
      </w:tr>
      <w:tr>
        <w:trPr>
          <w:trHeight w:val="151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 год (отчет)</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 год (план текущего)</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2014 год</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2015 год</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2016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прямого результата</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 предприятий-участников Программы, планы оздоровления которых подлежат мониторингу</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участников Программы, планы реабилитации (оздоровления) которых охвачены мониторингом их реализации, к общему количеству участников Программы, планы реабилитации (оздоровления) которых подлежат мониторингу</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конечного результата</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Решения Совета по оздоровлению о принятии результатов мониторинга планов оздоровления предприятий - участников Программы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Представление на Совет по оздоровлению результатов мониторинга планов реабилитаций (оздоровления) участников Программы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качества</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показатели эффективности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объем бюджетных расходов</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тг.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94 696</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235 396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235 396</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235 396</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7"/>
        <w:gridCol w:w="4326"/>
        <w:gridCol w:w="952"/>
        <w:gridCol w:w="1321"/>
        <w:gridCol w:w="1428"/>
        <w:gridCol w:w="1407"/>
        <w:gridCol w:w="883"/>
        <w:gridCol w:w="894"/>
        <w:gridCol w:w="787"/>
        <w:gridCol w:w="765"/>
      </w:tblGrid>
      <w:tr>
        <w:trPr>
          <w:trHeight w:val="495" w:hRule="atLeast"/>
        </w:trPr>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061 Создание интегрированной автоматизированной информационной системы «е-Минфин»</w:t>
            </w:r>
          </w:p>
        </w:tc>
      </w:tr>
      <w:tr>
        <w:trPr>
          <w:trHeight w:val="750" w:hRule="atLeast"/>
        </w:trPr>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Комплексная автоматизация административных процедур (бизнес-процессов) по исполнению Министерством финансов и его структурными подразделениями государственных функций и предоставлению государственных услуг</w:t>
            </w:r>
          </w:p>
        </w:tc>
      </w:tr>
      <w:tr>
        <w:trPr>
          <w:trHeight w:val="435" w:hRule="atLeast"/>
        </w:trPr>
        <w:tc>
          <w:tcPr>
            <w:tcW w:w="2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вид бюджетной программы</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480" w:hRule="atLeast"/>
        </w:trPr>
        <w:tc>
          <w:tcPr>
            <w:tcW w:w="0" w:type="auto"/>
            <w:vMerge/>
            <w:tcBorders>
              <w:top w:val="nil"/>
              <w:left w:val="single" w:color="cfcfcf" w:sz="5"/>
              <w:bottom w:val="single" w:color="cfcfcf" w:sz="5"/>
              <w:right w:val="single" w:color="cfcfcf" w:sz="5"/>
            </w:tcBorders>
          </w:tcP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435" w:hRule="atLeast"/>
        </w:trPr>
        <w:tc>
          <w:tcPr>
            <w:tcW w:w="0" w:type="auto"/>
            <w:vMerge/>
            <w:tcBorders>
              <w:top w:val="nil"/>
              <w:left w:val="single" w:color="cfcfcf" w:sz="5"/>
              <w:bottom w:val="single" w:color="cfcfcf" w:sz="5"/>
              <w:right w:val="single" w:color="cfcfcf" w:sz="5"/>
            </w:tcBorders>
          </w:tcP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развития</w:t>
            </w:r>
          </w:p>
        </w:tc>
      </w:tr>
      <w:tr>
        <w:trPr>
          <w:trHeight w:val="39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показателей бюджетной программы</w:t>
            </w:r>
          </w:p>
        </w:tc>
        <w:tc>
          <w:tcPr>
            <w:tcW w:w="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отчетный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плановый период</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2018 год</w:t>
            </w:r>
          </w:p>
        </w:tc>
      </w:tr>
      <w:tr>
        <w:trPr>
          <w:trHeight w:val="150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 год (отчет)</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 год (план текущего года)</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2014 год</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2015 год</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2016 год</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2017 год</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прямого результата</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функциональных подсистем ИАИС «е-Минфин», введенных в опытную эксплуатацию (на конец года)</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конечного результата</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зарегистрированных пользователей, удовлетворенных работой подсистем "е-Минфин"</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качества</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Внешний контроль качества по итогам этапов создания ИАИС «е-Минфин»</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эффективности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автоматизированных бизнес-процессов Министерства финансов Республики Казахстан из общего объема функций (бизнес-процессов), подлежащих автоматизации</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объем бюджетных расходов</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тг.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1 453 938</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1 447 493</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3 863 372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2"/>
        <w:gridCol w:w="4152"/>
        <w:gridCol w:w="1031"/>
        <w:gridCol w:w="1089"/>
        <w:gridCol w:w="1154"/>
        <w:gridCol w:w="1014"/>
        <w:gridCol w:w="820"/>
        <w:gridCol w:w="852"/>
        <w:gridCol w:w="1573"/>
        <w:gridCol w:w="1573"/>
      </w:tblGrid>
      <w:tr>
        <w:trPr>
          <w:trHeight w:val="945" w:hRule="atLeast"/>
        </w:trPr>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064 Создание информационной системы "Электронные счета-фактуры"</w:t>
            </w:r>
          </w:p>
        </w:tc>
      </w:tr>
      <w:tr>
        <w:trPr>
          <w:trHeight w:val="645" w:hRule="atLeast"/>
        </w:trPr>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информационной системы по приему и обработке электронных счетов-фактур</w:t>
            </w:r>
          </w:p>
        </w:tc>
      </w:tr>
      <w:tr>
        <w:trPr>
          <w:trHeight w:val="480" w:hRule="atLeast"/>
        </w:trPr>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вид бюджетной программы:</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450" w:hRule="atLeast"/>
        </w:trPr>
        <w:tc>
          <w:tcPr>
            <w:tcW w:w="0" w:type="auto"/>
            <w:vMerge/>
            <w:tcBorders>
              <w:top w:val="nil"/>
              <w:left w:val="single" w:color="cfcfcf" w:sz="5"/>
              <w:bottom w:val="single" w:color="cfcfcf" w:sz="5"/>
              <w:right w:val="single" w:color="cfcfcf" w:sz="5"/>
            </w:tcBorders>
          </w:tcP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480" w:hRule="atLeast"/>
        </w:trPr>
        <w:tc>
          <w:tcPr>
            <w:tcW w:w="0" w:type="auto"/>
            <w:vMerge/>
            <w:tcBorders>
              <w:top w:val="nil"/>
              <w:left w:val="single" w:color="cfcfcf" w:sz="5"/>
              <w:bottom w:val="single" w:color="cfcfcf" w:sz="5"/>
              <w:right w:val="single" w:color="cfcfcf" w:sz="5"/>
            </w:tcBorders>
          </w:tcP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39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показателей бюджетной программы</w:t>
            </w:r>
          </w:p>
        </w:tc>
        <w:tc>
          <w:tcPr>
            <w:tcW w:w="1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отчетный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плановый период</w:t>
            </w:r>
          </w:p>
        </w:tc>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2017 год (проектируемый год)</w:t>
            </w:r>
          </w:p>
        </w:tc>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2018 год (проектируемый год)</w:t>
            </w:r>
          </w:p>
        </w:tc>
      </w:tr>
      <w:tr>
        <w:trPr>
          <w:trHeight w:val="120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 год (отчет)</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 год (план текущего)</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2014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2015 год</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2016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прямого результата</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ИС по приему и обработке электронных счетов-фактур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Приобретение серверного оборудования</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Аттестация на соответствие требованиям информационной безопасности</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лицензионного программного обеспечения</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конечного результата</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Подключение компаний, входящих в состав ФНБ "Самрук-Казына" к ИС ЭСФ пилотной зоны</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Подключение подведомственных организаций компаний, входящих в состав ФНБ "Самрук-Казына" к ИС ЭСФ пилотной зоны</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качества</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эффективности</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расходов документооборота между субъектами бизнеса, привлеченных в пилотную зону и налоговыми органами</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объем бюджетных расходов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тг.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883 000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1 808 104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0"/>
        <w:gridCol w:w="3221"/>
        <w:gridCol w:w="803"/>
        <w:gridCol w:w="1272"/>
        <w:gridCol w:w="1174"/>
        <w:gridCol w:w="1119"/>
        <w:gridCol w:w="1097"/>
        <w:gridCol w:w="1174"/>
        <w:gridCol w:w="1590"/>
        <w:gridCol w:w="1590"/>
      </w:tblGrid>
      <w:tr>
        <w:trPr>
          <w:trHeight w:val="51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067 Финансирование политических партий</w:t>
            </w:r>
          </w:p>
        </w:tc>
      </w:tr>
      <w:tr>
        <w:trPr>
          <w:trHeight w:val="51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Финансирование политических партий</w:t>
            </w:r>
          </w:p>
        </w:tc>
      </w:tr>
      <w:tr>
        <w:trPr>
          <w:trHeight w:val="795" w:hRule="atLeast"/>
        </w:trPr>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вид бюджетной программы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оказания вытекающих из них государственных услуг</w:t>
            </w:r>
          </w:p>
        </w:tc>
      </w:tr>
      <w:tr>
        <w:trPr>
          <w:trHeight w:val="510" w:hRule="atLeast"/>
        </w:trPr>
        <w:tc>
          <w:tcPr>
            <w:tcW w:w="0" w:type="auto"/>
            <w:vMerge/>
            <w:tcBorders>
              <w:top w:val="nil"/>
              <w:left w:val="single" w:color="cfcfcf" w:sz="5"/>
              <w:bottom w:val="single" w:color="cfcfcf" w:sz="5"/>
              <w:right w:val="single" w:color="cfcfcf" w:sz="5"/>
            </w:tcBorders>
          </w:tcP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795" w:hRule="atLeast"/>
        </w:trPr>
        <w:tc>
          <w:tcPr>
            <w:tcW w:w="0" w:type="auto"/>
            <w:vMerge/>
            <w:tcBorders>
              <w:top w:val="nil"/>
              <w:left w:val="single" w:color="cfcfcf" w:sz="5"/>
              <w:bottom w:val="single" w:color="cfcfcf" w:sz="5"/>
              <w:right w:val="single" w:color="cfcfcf" w:sz="5"/>
            </w:tcBorders>
          </w:tcP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9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показателей бюджетной программы</w:t>
            </w:r>
          </w:p>
        </w:tc>
        <w:tc>
          <w:tcPr>
            <w:tcW w:w="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отчетный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плановый период</w:t>
            </w:r>
          </w:p>
        </w:tc>
        <w:tc>
          <w:tcPr>
            <w:tcW w:w="1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2017 год (проектируемый год)</w:t>
            </w:r>
          </w:p>
        </w:tc>
        <w:tc>
          <w:tcPr>
            <w:tcW w:w="1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2018 год (проектируемый год)</w:t>
            </w:r>
          </w:p>
        </w:tc>
      </w:tr>
      <w:tr>
        <w:trPr>
          <w:trHeight w:val="154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 год (отчет)</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 год (план текущего)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2014 год</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2015 год</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2016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прямого результата</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Своевременное финансирование политических партий, представленных в Мажилисе Парламента Республики Казахстан по итогам выборов</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конечного результата</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соответствии с законодательством Республики Казахстан обеспечение деятельности политических партий</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качества</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показатели эффективности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объем бюджетных расходов</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тыс. тг.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3 473 132</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3 716 305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3 976 406</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4 641 796</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4 966 824</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6"/>
        <w:gridCol w:w="3432"/>
        <w:gridCol w:w="875"/>
        <w:gridCol w:w="1013"/>
        <w:gridCol w:w="1213"/>
        <w:gridCol w:w="1124"/>
        <w:gridCol w:w="1080"/>
        <w:gridCol w:w="1135"/>
        <w:gridCol w:w="1601"/>
        <w:gridCol w:w="1601"/>
      </w:tblGrid>
      <w:tr>
        <w:trPr>
          <w:trHeight w:val="72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070 Учет арендованного имущества комплекса «Байконур»</w:t>
            </w:r>
          </w:p>
        </w:tc>
      </w:tr>
      <w:tr>
        <w:trPr>
          <w:trHeight w:val="87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государственного учреждения для осуществления инвентаризации, ведения бухгалтерского учета арендованного имущества и объектов комплекса «Байконур»</w:t>
            </w:r>
          </w:p>
        </w:tc>
      </w:tr>
      <w:tr>
        <w:trPr>
          <w:trHeight w:val="870" w:hRule="atLeast"/>
        </w:trPr>
        <w:tc>
          <w:tcPr>
            <w:tcW w:w="1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вид бюджетной программы</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600" w:hRule="atLeast"/>
        </w:trPr>
        <w:tc>
          <w:tcPr>
            <w:tcW w:w="0" w:type="auto"/>
            <w:vMerge/>
            <w:tcBorders>
              <w:top w:val="nil"/>
              <w:left w:val="single" w:color="cfcfcf" w:sz="5"/>
              <w:bottom w:val="single" w:color="cfcfcf" w:sz="5"/>
              <w:right w:val="single" w:color="cfcfcf" w:sz="5"/>
            </w:tcBorders>
          </w:tcP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870" w:hRule="atLeast"/>
        </w:trPr>
        <w:tc>
          <w:tcPr>
            <w:tcW w:w="0" w:type="auto"/>
            <w:vMerge/>
            <w:tcBorders>
              <w:top w:val="nil"/>
              <w:left w:val="single" w:color="cfcfcf" w:sz="5"/>
              <w:bottom w:val="single" w:color="cfcfcf" w:sz="5"/>
              <w:right w:val="single" w:color="cfcfcf" w:sz="5"/>
            </w:tcBorders>
          </w:tcP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52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показателей бюджетной программы</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отчетный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плановый период</w:t>
            </w:r>
          </w:p>
        </w:tc>
        <w:tc>
          <w:tcPr>
            <w:tcW w:w="1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2017 год (проектируемый год)</w:t>
            </w:r>
          </w:p>
        </w:tc>
        <w:tc>
          <w:tcPr>
            <w:tcW w:w="1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2018 год (проектируемый год)</w:t>
            </w:r>
          </w:p>
        </w:tc>
      </w:tr>
      <w:tr>
        <w:trPr>
          <w:trHeight w:val="148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 год (отчет)</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 год (план текущего)</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2014 год</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2015 год</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2016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прямого результата</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учета арендованного имущества комплекса «Байконур»</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конечного результата</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оперативной и достоверной информации по арендованным имуществам и объектам комплекса «Байконур», арендуемых Российской Федерацией</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качества</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эффективности</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объем бюджетных расходов</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тыс. тг.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22 342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24 609</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26 160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25 140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25 140</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0"/>
        <w:gridCol w:w="3929"/>
        <w:gridCol w:w="1037"/>
        <w:gridCol w:w="1065"/>
        <w:gridCol w:w="1204"/>
        <w:gridCol w:w="1054"/>
        <w:gridCol w:w="1022"/>
        <w:gridCol w:w="1001"/>
        <w:gridCol w:w="1739"/>
        <w:gridCol w:w="1739"/>
      </w:tblGrid>
      <w:tr>
        <w:trPr>
          <w:trHeight w:val="72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072 Реформирование системы налогового администрирования</w:t>
            </w:r>
          </w:p>
        </w:tc>
      </w:tr>
      <w:tr>
        <w:trPr>
          <w:trHeight w:val="825"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Основная цель проекта – формирование устойчивой, эффективно функционирующей налоговой системы, способствующей экономическому развитию и повышению конкурентоспособности экономики Республики Казахстан</w:t>
            </w:r>
          </w:p>
        </w:tc>
      </w:tr>
      <w:tr>
        <w:trPr>
          <w:trHeight w:val="840" w:hRule="atLeast"/>
        </w:trPr>
        <w:tc>
          <w:tcPr>
            <w:tcW w:w="1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вид бюджетной программы</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465" w:hRule="atLeast"/>
        </w:trPr>
        <w:tc>
          <w:tcPr>
            <w:tcW w:w="0" w:type="auto"/>
            <w:vMerge/>
            <w:tcBorders>
              <w:top w:val="nil"/>
              <w:left w:val="single" w:color="cfcfcf" w:sz="5"/>
              <w:bottom w:val="single" w:color="cfcfcf" w:sz="5"/>
              <w:right w:val="single" w:color="cfcfcf" w:sz="5"/>
            </w:tcBorders>
          </w:tcP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840" w:hRule="atLeast"/>
        </w:trPr>
        <w:tc>
          <w:tcPr>
            <w:tcW w:w="0" w:type="auto"/>
            <w:vMerge/>
            <w:tcBorders>
              <w:top w:val="nil"/>
              <w:left w:val="single" w:color="cfcfcf" w:sz="5"/>
              <w:bottom w:val="single" w:color="cfcfcf" w:sz="5"/>
              <w:right w:val="single" w:color="cfcfcf" w:sz="5"/>
            </w:tcBorders>
          </w:tcP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52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показателей бюджетной программы</w:t>
            </w:r>
          </w:p>
        </w:tc>
        <w:tc>
          <w:tcPr>
            <w:tcW w:w="1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отчетный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плановый период</w:t>
            </w:r>
          </w:p>
        </w:tc>
        <w:tc>
          <w:tcPr>
            <w:tcW w:w="1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2017 год (проектируемый год)</w:t>
            </w:r>
          </w:p>
        </w:tc>
        <w:tc>
          <w:tcPr>
            <w:tcW w:w="1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2018 год (проектируемый год)</w:t>
            </w:r>
          </w:p>
        </w:tc>
      </w:tr>
      <w:tr>
        <w:trPr>
          <w:trHeight w:val="105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 год (отчет)</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 год (план текущего)</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2014 год</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2015 год</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2016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прямого результата</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Изучение международного опыта (учебные туры, ознакомительные поездки, семинары)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товаров относящихся к основным средствам (спецоборудование)</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нематериальных активов для модернизации существующих информационных систем</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 оценка, рекомендации по совершенствованию налогового администрирования, предоставленные по этапам завершения консалтинговых услуг (технические отчеты)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консалтинговых услуг (заключение новых контрактов)</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контракт</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конечного результата</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Удельный вес налогоплательщиков, представляющих налоговую отчетность в электронном виде, не менее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Сокращение времени затрачиваемого налогоплательщиками на подготовку налоговой отчетности (по опросам клиентов), и соответственно издержек, на</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качества</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вес результативных плановых проверок</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эффективности</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Увеличение удельного веса взыскания доначисленных сумм налогов (включенных в сумму недоимки, безнадежной к взысканию)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объем бюджетных расходов</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тыс. тг.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198 153</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210 816</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884 794</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3"/>
        <w:gridCol w:w="4109"/>
        <w:gridCol w:w="878"/>
        <w:gridCol w:w="1236"/>
        <w:gridCol w:w="1193"/>
        <w:gridCol w:w="958"/>
        <w:gridCol w:w="915"/>
        <w:gridCol w:w="862"/>
        <w:gridCol w:w="1568"/>
        <w:gridCol w:w="1568"/>
      </w:tblGrid>
      <w:tr>
        <w:trPr>
          <w:trHeight w:val="69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073 Развитие Интегрированной информационной системы Казначейства и создание компонента «Казначейство-клиент»</w:t>
            </w:r>
          </w:p>
        </w:tc>
      </w:tr>
      <w:tr>
        <w:trPr>
          <w:trHeight w:val="87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стабильного и бесперебойного функционирования информационной системы казначейства </w:t>
            </w:r>
          </w:p>
        </w:tc>
      </w:tr>
      <w:tr>
        <w:trPr>
          <w:trHeight w:val="795" w:hRule="atLeast"/>
        </w:trPr>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вид бюджетной программы:</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795" w:hRule="atLeast"/>
        </w:trPr>
        <w:tc>
          <w:tcPr>
            <w:tcW w:w="0" w:type="auto"/>
            <w:vMerge/>
            <w:tcBorders>
              <w:top w:val="nil"/>
              <w:left w:val="single" w:color="cfcfcf" w:sz="5"/>
              <w:bottom w:val="single" w:color="cfcfcf" w:sz="5"/>
              <w:right w:val="single" w:color="cfcfcf" w:sz="5"/>
            </w:tcBorders>
          </w:tcP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индивидуальная </w:t>
            </w:r>
          </w:p>
        </w:tc>
      </w:tr>
      <w:tr>
        <w:trPr>
          <w:trHeight w:val="795" w:hRule="atLeast"/>
        </w:trPr>
        <w:tc>
          <w:tcPr>
            <w:tcW w:w="0" w:type="auto"/>
            <w:vMerge/>
            <w:tcBorders>
              <w:top w:val="nil"/>
              <w:left w:val="single" w:color="cfcfcf" w:sz="5"/>
              <w:bottom w:val="single" w:color="cfcfcf" w:sz="5"/>
              <w:right w:val="single" w:color="cfcfcf" w:sz="5"/>
            </w:tcBorders>
          </w:tcP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52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показателей бюджетной программы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отчетный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плановый период</w:t>
            </w:r>
          </w:p>
        </w:tc>
        <w:tc>
          <w:tcPr>
            <w:tcW w:w="1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2017 год (проектируемый год)</w:t>
            </w:r>
          </w:p>
        </w:tc>
        <w:tc>
          <w:tcPr>
            <w:tcW w:w="1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2018 год (проектируемый год)</w:t>
            </w:r>
          </w:p>
        </w:tc>
      </w:tr>
      <w:tr>
        <w:trPr>
          <w:trHeight w:val="144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 год (отчет)</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 год (план текущего)</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2014 год</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2015 год</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2016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прямого результата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Подключенние государственных учреждений к ИС «Казначейство-клиент», имеющих необходимый уровень технического оснащения в Пилотной зоне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конечного результата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Переход на обслуживание в ИС «Казначейство-клиент» государственных учреждений, подключенных к системе «Казначейство-клиент» в Пилотной зоне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качества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Сокращение времени обслуживания государственных учреждений и обработки финансовых платежных документов через информационную систему «Казначейство-клиент» в Пилотной зоне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рабочие часы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эффективности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объем бюджетных расходов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тыс. тг.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1 573 498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25 019</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793 847</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3"/>
        <w:gridCol w:w="4375"/>
        <w:gridCol w:w="678"/>
        <w:gridCol w:w="1032"/>
        <w:gridCol w:w="1210"/>
        <w:gridCol w:w="853"/>
        <w:gridCol w:w="900"/>
        <w:gridCol w:w="833"/>
        <w:gridCol w:w="983"/>
        <w:gridCol w:w="1043"/>
      </w:tblGrid>
      <w:tr>
        <w:trPr>
          <w:trHeight w:val="73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076 Целевые текущие трансферты областным бюджетам, бюджетам городов Астаны и Алматы на выплату ежемесячной надбавки за особые условия труда к должностным окладам работников государственных учреждений, не являющихся государственными служащими, а также работников государственных предприятий, финансируемых из местных бюджетов</w:t>
            </w:r>
          </w:p>
        </w:tc>
      </w:tr>
      <w:tr>
        <w:trPr>
          <w:trHeight w:val="36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областным бюджетам, бюджетам городов Астаны и Алматы на выплату ежемесячной надбавки за особые условия труда к должностным окладам работников государственных учреждений, не являющихся государственными служащими, а также работников государственных предприятий, финансируемых из местных бюджетов</w:t>
            </w:r>
          </w:p>
        </w:tc>
      </w:tr>
      <w:tr>
        <w:trPr>
          <w:trHeight w:val="885" w:hRule="atLeast"/>
        </w:trPr>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735" w:hRule="atLeast"/>
        </w:trPr>
        <w:tc>
          <w:tcPr>
            <w:tcW w:w="0" w:type="auto"/>
            <w:vMerge/>
            <w:tcBorders>
              <w:top w:val="nil"/>
              <w:left w:val="single" w:color="cfcfcf" w:sz="5"/>
              <w:bottom w:val="single" w:color="cfcfcf" w:sz="5"/>
              <w:right w:val="single" w:color="cfcfcf" w:sz="5"/>
            </w:tcBorders>
          </w:tcP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885" w:hRule="atLeast"/>
        </w:trPr>
        <w:tc>
          <w:tcPr>
            <w:tcW w:w="0" w:type="auto"/>
            <w:vMerge/>
            <w:tcBorders>
              <w:top w:val="nil"/>
              <w:left w:val="single" w:color="cfcfcf" w:sz="5"/>
              <w:bottom w:val="single" w:color="cfcfcf" w:sz="5"/>
              <w:right w:val="single" w:color="cfcfcf" w:sz="5"/>
            </w:tcBorders>
          </w:tcP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69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 (проектируемый год)</w:t>
            </w:r>
          </w:p>
        </w:tc>
        <w:tc>
          <w:tcPr>
            <w:tcW w:w="1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 (проектируемый год)</w:t>
            </w:r>
          </w:p>
        </w:tc>
      </w:tr>
      <w:tr>
        <w:trPr>
          <w:trHeight w:val="133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w:t>
            </w:r>
            <w:r>
              <w:br/>
            </w:r>
            <w:r>
              <w:rPr>
                <w:rFonts w:ascii="Times New Roman"/>
                <w:b w:val="false"/>
                <w:i w:val="false"/>
                <w:color w:val="000000"/>
                <w:sz w:val="20"/>
              </w:rPr>
              <w:t>
</w:t>
            </w:r>
            <w:r>
              <w:rPr>
                <w:rFonts w:ascii="Times New Roman"/>
                <w:b w:val="false"/>
                <w:i w:val="false"/>
                <w:color w:val="000000"/>
                <w:sz w:val="20"/>
              </w:rPr>
              <w:t>год (отчет)</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2013 </w:t>
            </w:r>
            <w:r>
              <w:br/>
            </w:r>
            <w:r>
              <w:rPr>
                <w:rFonts w:ascii="Times New Roman"/>
                <w:b w:val="false"/>
                <w:i w:val="false"/>
                <w:color w:val="000000"/>
                <w:sz w:val="20"/>
              </w:rPr>
              <w:t>
</w:t>
            </w:r>
            <w:r>
              <w:rPr>
                <w:rFonts w:ascii="Times New Roman"/>
                <w:b w:val="false"/>
                <w:i w:val="false"/>
                <w:color w:val="000000"/>
                <w:sz w:val="20"/>
              </w:rPr>
              <w:t xml:space="preserve">год </w:t>
            </w:r>
            <w:r>
              <w:br/>
            </w:r>
            <w:r>
              <w:rPr>
                <w:rFonts w:ascii="Times New Roman"/>
                <w:b w:val="false"/>
                <w:i w:val="false"/>
                <w:color w:val="000000"/>
                <w:sz w:val="20"/>
              </w:rPr>
              <w:t>
</w:t>
            </w:r>
            <w:r>
              <w:rPr>
                <w:rFonts w:ascii="Times New Roman"/>
                <w:b w:val="false"/>
                <w:i w:val="false"/>
                <w:color w:val="000000"/>
                <w:sz w:val="20"/>
              </w:rPr>
              <w:t>(план текущего)</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Своевременное выделение трансфертов</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поступления целевых текущих трансфертов в областные бюджеты, бюджеты городов Астаны и Алматы на выплату ежемесячной надбавки за особые условия труда к должностным окладам работников государственных учреждений, не являющихся государственными служащими, а также работников государственных предприятий, финансируемых из местных бюджетов</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тг.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42 410 060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5"/>
        <w:gridCol w:w="2491"/>
        <w:gridCol w:w="930"/>
        <w:gridCol w:w="1439"/>
        <w:gridCol w:w="1405"/>
        <w:gridCol w:w="1382"/>
        <w:gridCol w:w="1405"/>
        <w:gridCol w:w="1360"/>
        <w:gridCol w:w="863"/>
        <w:gridCol w:w="750"/>
      </w:tblGrid>
      <w:tr>
        <w:trPr>
          <w:trHeight w:val="69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400 Субвенции областным бюджетам</w:t>
            </w:r>
          </w:p>
        </w:tc>
      </w:tr>
      <w:tr>
        <w:trPr>
          <w:trHeight w:val="87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поступления в местные бюджеты всей суммы субвенции для своевременного финансирования первоочередных расходов местных бюджетов</w:t>
            </w:r>
          </w:p>
        </w:tc>
      </w:tr>
      <w:tr>
        <w:trPr>
          <w:trHeight w:val="795" w:hRule="atLeast"/>
        </w:trPr>
        <w:tc>
          <w:tcPr>
            <w:tcW w:w="1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вид бюджетной программы: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795" w:hRule="atLeast"/>
        </w:trPr>
        <w:tc>
          <w:tcPr>
            <w:tcW w:w="0" w:type="auto"/>
            <w:vMerge/>
            <w:tcBorders>
              <w:top w:val="nil"/>
              <w:left w:val="single" w:color="cfcfcf" w:sz="5"/>
              <w:bottom w:val="single" w:color="cfcfcf" w:sz="5"/>
              <w:right w:val="single" w:color="cfcfcf" w:sz="5"/>
            </w:tcBorders>
          </w:tcP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795" w:hRule="atLeast"/>
        </w:trPr>
        <w:tc>
          <w:tcPr>
            <w:tcW w:w="0" w:type="auto"/>
            <w:vMerge/>
            <w:tcBorders>
              <w:top w:val="nil"/>
              <w:left w:val="single" w:color="cfcfcf" w:sz="5"/>
              <w:bottom w:val="single" w:color="cfcfcf" w:sz="5"/>
              <w:right w:val="single" w:color="cfcfcf" w:sz="5"/>
            </w:tcBorders>
          </w:tcP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52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показателей бюджетной программы</w:t>
            </w:r>
          </w:p>
        </w:tc>
        <w:tc>
          <w:tcPr>
            <w:tcW w:w="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отчетный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плановый период</w:t>
            </w:r>
          </w:p>
        </w:tc>
        <w:tc>
          <w:tcPr>
            <w:tcW w:w="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2017 год (проектируемый год)</w:t>
            </w:r>
          </w:p>
        </w:tc>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2018 год (проектируемый год)</w:t>
            </w:r>
          </w:p>
        </w:tc>
      </w:tr>
      <w:tr>
        <w:trPr>
          <w:trHeight w:val="144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 год (отчет)</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 год (план текущего)</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2014 год</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2015 год</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2016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прямого результата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Своевременное финансирование местных бюджетов</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конечного результата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поступления в местные бюджеты всей суммы субвенции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качества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эффективности</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объем бюджетных расходов</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тыс. тг.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880 645 461</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865 844 050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978 095 805 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904 371 171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836 882 948</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8" w:id="34"/>
    <w:p>
      <w:pPr>
        <w:spacing w:after="0"/>
        <w:ind w:left="0"/>
        <w:jc w:val="left"/>
      </w:pPr>
      <w:r>
        <w:rPr>
          <w:rFonts w:ascii="Times New Roman"/>
          <w:b/>
          <w:i w:val="false"/>
          <w:color w:val="000000"/>
        </w:rPr>
        <w:t xml:space="preserve"> 
Свод бюджетных расходов</w:t>
      </w:r>
    </w:p>
    <w:bookmarkEnd w:id="34"/>
    <w:p>
      <w:pPr>
        <w:spacing w:after="0"/>
        <w:ind w:left="0"/>
        <w:jc w:val="both"/>
      </w:pPr>
      <w:r>
        <w:rPr>
          <w:rFonts w:ascii="Times New Roman"/>
          <w:b w:val="false"/>
          <w:i w:val="false"/>
          <w:color w:val="ff0000"/>
          <w:sz w:val="28"/>
        </w:rPr>
        <w:t xml:space="preserve">      Сноска. Свод бюджетных расходов с изменениями, внесенными постановлением Правительства РК от 04.05.2014 </w:t>
      </w:r>
      <w:r>
        <w:rPr>
          <w:rFonts w:ascii="Times New Roman"/>
          <w:b w:val="false"/>
          <w:i w:val="false"/>
          <w:color w:val="ff0000"/>
          <w:sz w:val="28"/>
        </w:rPr>
        <w:t>№ 444</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7"/>
        <w:gridCol w:w="770"/>
        <w:gridCol w:w="1518"/>
        <w:gridCol w:w="1528"/>
        <w:gridCol w:w="1480"/>
        <w:gridCol w:w="1586"/>
        <w:gridCol w:w="1567"/>
        <w:gridCol w:w="1732"/>
        <w:gridCol w:w="1732"/>
      </w:tblGrid>
      <w:tr>
        <w:trPr>
          <w:trHeight w:val="795" w:hRule="atLeast"/>
        </w:trPr>
        <w:tc>
          <w:tcPr>
            <w:tcW w:w="3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Наменование</w:t>
            </w:r>
          </w:p>
        </w:tc>
        <w:tc>
          <w:tcPr>
            <w:tcW w:w="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Плановый период</w:t>
            </w:r>
          </w:p>
        </w:tc>
        <w:tc>
          <w:tcPr>
            <w:tcW w:w="1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2017 год (проектируемый)</w:t>
            </w:r>
          </w:p>
        </w:tc>
        <w:tc>
          <w:tcPr>
            <w:tcW w:w="1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2018 год (проектируемый)</w:t>
            </w:r>
          </w:p>
        </w:tc>
      </w:tr>
      <w:tr>
        <w:trPr>
          <w:trHeight w:val="12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 год (отчет)</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 год (уточненный план)</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2014 год</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2015 год</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2016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75" w:hRule="atLeast"/>
        </w:trPr>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r>
      <w:tr>
        <w:trPr>
          <w:trHeight w:val="945" w:hRule="atLeast"/>
        </w:trPr>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 бюджетных расходов</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тыс. тг.</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1 110 554 179</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1 216 011 596</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1 504 059 924</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1 388 442 888</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1 326 000 492</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20" w:hRule="atLeast"/>
        </w:trPr>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Общегосударственные программы, субвенции и целевые текущие трансферты (010, 011, 013, 076, 400)</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тыс. тг.</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1 010 652 107</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1 090 407 957</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1 376 578 486</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1 272 599 799</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1 241 507 652</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Текущие бюджетные программы</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тыс. тг.</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83 397 707</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115 030 873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115 433 960</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113 383 627</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83 213 523</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Бюджетные программы развития</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тыс. тг.</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16 504 365</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10 572 766</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12 047 478</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2 459 462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1 279 317</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