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baf1" w14:textId="f73b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земельных участков для нужд обороны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1498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13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Предоставить республиканскому государственному учреждению «Щучинская районная эксплуатационная часть» Министерства обороны Республики Казахстан земельные участки из категории земель населенных пунктов города Щучинска Бурабайского района Акмолинской области на праве постоянного землепользования общей площадью 41,228 га для нужд обороны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w:t>
      </w:r>
      <w:r>
        <w:rPr>
          <w:rFonts w:ascii="Times New Roman"/>
          <w:b w:val="false"/>
          <w:i w:val="false"/>
          <w:color w:val="000000"/>
          <w:sz w:val="28"/>
        </w:rPr>
        <w:t>
      2. Акиму Акмолинской области и Министерству обороны Республики Казахстан в установленном законодательством Республики Казахстан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C.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1498</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Экспликация</w:t>
      </w:r>
      <w:r>
        <w:br/>
      </w:r>
      <w:r>
        <w:rPr>
          <w:rFonts w:ascii="Times New Roman"/>
          <w:b w:val="false"/>
          <w:i w:val="false"/>
          <w:color w:val="000000"/>
          <w:sz w:val="28"/>
        </w:rPr>
        <w:t>
</w:t>
      </w:r>
      <w:r>
        <w:rPr>
          <w:rFonts w:ascii="Times New Roman"/>
          <w:b/>
          <w:i w:val="false"/>
          <w:color w:val="000000"/>
          <w:sz w:val="28"/>
        </w:rPr>
        <w:t>      земельных участков, предоставляемых на праве</w:t>
      </w:r>
      <w:r>
        <w:br/>
      </w:r>
      <w:r>
        <w:rPr>
          <w:rFonts w:ascii="Times New Roman"/>
          <w:b w:val="false"/>
          <w:i w:val="false"/>
          <w:color w:val="000000"/>
          <w:sz w:val="28"/>
        </w:rPr>
        <w:t>
</w:t>
      </w:r>
      <w:r>
        <w:rPr>
          <w:rFonts w:ascii="Times New Roman"/>
          <w:b/>
          <w:i w:val="false"/>
          <w:color w:val="000000"/>
          <w:sz w:val="28"/>
        </w:rPr>
        <w:t>     постоянного землепользования республиканскому</w:t>
      </w:r>
      <w:r>
        <w:br/>
      </w:r>
      <w:r>
        <w:rPr>
          <w:rFonts w:ascii="Times New Roman"/>
          <w:b w:val="false"/>
          <w:i w:val="false"/>
          <w:color w:val="000000"/>
          <w:sz w:val="28"/>
        </w:rPr>
        <w:t>
</w:t>
      </w:r>
      <w:r>
        <w:rPr>
          <w:rFonts w:ascii="Times New Roman"/>
          <w:b/>
          <w:i w:val="false"/>
          <w:color w:val="000000"/>
          <w:sz w:val="28"/>
        </w:rPr>
        <w:t>    государственному учреждению «Щучинская районная</w:t>
      </w:r>
      <w:r>
        <w:br/>
      </w:r>
      <w:r>
        <w:rPr>
          <w:rFonts w:ascii="Times New Roman"/>
          <w:b w:val="false"/>
          <w:i w:val="false"/>
          <w:color w:val="000000"/>
          <w:sz w:val="28"/>
        </w:rPr>
        <w:t>
</w:t>
      </w:r>
      <w:r>
        <w:rPr>
          <w:rFonts w:ascii="Times New Roman"/>
          <w:b/>
          <w:i w:val="false"/>
          <w:color w:val="000000"/>
          <w:sz w:val="28"/>
        </w:rPr>
        <w:t>     эксплуатационная часть» Министерства обороны</w:t>
      </w:r>
      <w:r>
        <w:br/>
      </w:r>
      <w:r>
        <w:rPr>
          <w:rFonts w:ascii="Times New Roman"/>
          <w:b w:val="false"/>
          <w:i w:val="false"/>
          <w:color w:val="000000"/>
          <w:sz w:val="28"/>
        </w:rPr>
        <w:t>
</w:t>
      </w:r>
      <w:r>
        <w:rPr>
          <w:rFonts w:ascii="Times New Roman"/>
          <w:b/>
          <w:i w:val="false"/>
          <w:color w:val="000000"/>
          <w:sz w:val="28"/>
        </w:rPr>
        <w:t>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065"/>
        <w:gridCol w:w="2684"/>
        <w:gridCol w:w="1335"/>
        <w:gridCol w:w="2071"/>
        <w:gridCol w:w="1227"/>
        <w:gridCol w:w="3082"/>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земель предоставляемого земельного участка</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Местоположение земельного участка</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назначение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угодья (пастбища)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Валиханова, дом 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имущественного комплекса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восточная часть города Щучинска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зданий и сооружений Национального университета обороны и подъездной дороги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Целинная, дом без номера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строительства и обслуживания комплекса спортивной базы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Индустриальная, дом 1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зданий и сооружений кадетского корпуса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Майская, дом 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0,6320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зданий и сооружений Щучинского филиала Центрального спортивного клуба Армии Министерства обороны Республики Казахстан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Кирова, дом 55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обслуживания тридцатиквартирного жилого дома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Трудовая, дом 3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зданий и сооружений военно-технической школы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город Щучинск, улица Трудовая, дом 3 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0,3583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0,3583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общежития военно-технической школы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населенного пункта г. Щучинска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 Бурабайский район, на берегу озера Щучье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зданий и сооружений дома отдыха «Ботагоз»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41,228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