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a579" w14:textId="e0ca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сентября 2010 года № 1004 "Об утверждении Программы по развитию строительной индустрии и производства строительных материалов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2013 года № 1304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2010 года № 1004 «Об утверждении Программы по развитию строительной индустрии и производства строительных материалов в Республике Казахстан на 2010–2014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развитию строительной индустрии и производства строительных материалов в Республике Казахстан на 2010–2014 годы (далее – Программа),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«1. Паспорт программы»:</w:t>
      </w:r>
      <w:r>
        <w:br/>
      </w:r>
      <w:r>
        <w:rPr>
          <w:rFonts w:ascii="Times New Roman"/>
          <w:b w:val="false"/>
          <w:i w:val="false"/>
          <w:color w:val="000000"/>
          <w:sz w:val="28"/>
        </w:rPr>
        <w:t>
</w:t>
      </w:r>
      <w:r>
        <w:rPr>
          <w:rFonts w:ascii="Times New Roman"/>
          <w:b w:val="false"/>
          <w:i w:val="false"/>
          <w:color w:val="000000"/>
          <w:sz w:val="28"/>
        </w:rPr>
        <w:t>
      подраздел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r>
        <w:br/>
      </w:r>
      <w:r>
        <w:rPr>
          <w:rFonts w:ascii="Times New Roman"/>
          <w:b w:val="false"/>
          <w:i w:val="false"/>
          <w:color w:val="000000"/>
          <w:sz w:val="28"/>
        </w:rPr>
        <w:t>
      2. Удовлетворение потребности внутреннего рынка строительными материалами более чем на 80 %.</w:t>
      </w:r>
      <w:r>
        <w:br/>
      </w:r>
      <w:r>
        <w:rPr>
          <w:rFonts w:ascii="Times New Roman"/>
          <w:b w:val="false"/>
          <w:i w:val="false"/>
          <w:color w:val="000000"/>
          <w:sz w:val="28"/>
        </w:rPr>
        <w:t>
      3. Увеличение производительности труда в производстве прочей неметаллической минеральной продукции в 1,9 раз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Анализ текущей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«3.4. Анализ территориального планирования и градостроительного развития регионов» изложить в следующей редакции:</w:t>
      </w:r>
      <w:r>
        <w:br/>
      </w:r>
      <w:r>
        <w:rPr>
          <w:rFonts w:ascii="Times New Roman"/>
          <w:b w:val="false"/>
          <w:i w:val="false"/>
          <w:color w:val="000000"/>
          <w:sz w:val="28"/>
        </w:rPr>
        <w:t>
      «3.4. Анализ территориального планирования и градостроительного развития регионов</w:t>
      </w:r>
      <w:r>
        <w:br/>
      </w:r>
      <w:r>
        <w:rPr>
          <w:rFonts w:ascii="Times New Roman"/>
          <w:b w:val="false"/>
          <w:i w:val="false"/>
          <w:color w:val="000000"/>
          <w:sz w:val="28"/>
        </w:rPr>
        <w:t>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Указом Президента Республики Казахстан от 19 марта 2010 года № 958, Министерством регионального развития Республики Казахстан завершаются работы по разработке Генеральной схемы организации территории Республики Казахстан (далее – Генеральная схема).</w:t>
      </w:r>
      <w:r>
        <w:br/>
      </w:r>
      <w:r>
        <w:rPr>
          <w:rFonts w:ascii="Times New Roman"/>
          <w:b w:val="false"/>
          <w:i w:val="false"/>
          <w:color w:val="000000"/>
          <w:sz w:val="28"/>
        </w:rPr>
        <w:t>
      Генеральная схема – градостроительный проект, содержащий видение долгосрочного пространственного развития и систему рациональной организации территории Республики Казахстан для реализации территориальных конкурентных преимуществ и достижения устойчивого развития страны.</w:t>
      </w:r>
      <w:r>
        <w:br/>
      </w:r>
      <w:r>
        <w:rPr>
          <w:rFonts w:ascii="Times New Roman"/>
          <w:b w:val="false"/>
          <w:i w:val="false"/>
          <w:color w:val="000000"/>
          <w:sz w:val="28"/>
        </w:rPr>
        <w:t>
      Генеральная схема является постоянно действующим и регулярно обновляемым (актуализируемым) программным информационно-аналитическим документом, обосновывающим и определяющим основные направления государственной градостроительной политики.</w:t>
      </w:r>
      <w:r>
        <w:br/>
      </w:r>
      <w:r>
        <w:rPr>
          <w:rFonts w:ascii="Times New Roman"/>
          <w:b w:val="false"/>
          <w:i w:val="false"/>
          <w:color w:val="000000"/>
          <w:sz w:val="28"/>
        </w:rPr>
        <w:t>
      В рамках комплексной разработки Генеральной схемы утверждена нормативная основа, впервые проведена комплексная оценка современного состояния территорий регионов Казахстана. Разработаны проектные предложения развития страны, включая совершенствование системы расселения населения, размещения производительных сил, развития транспортной, инженерной, рекреационной и социальной инфраструктур, а также улучшение экологического состояния территории Республики Казахстан.</w:t>
      </w:r>
      <w:r>
        <w:br/>
      </w:r>
      <w:r>
        <w:rPr>
          <w:rFonts w:ascii="Times New Roman"/>
          <w:b w:val="false"/>
          <w:i w:val="false"/>
          <w:color w:val="000000"/>
          <w:sz w:val="28"/>
        </w:rPr>
        <w:t>
      Проект Основных положений Генеральной схемы, прошедший в установленном порядке согласование и экспертизу, утверждается постановлением Правительством Республики Казахстан, далее вся Генеральная схема утверждается приказом уполномоченного органа.</w:t>
      </w:r>
      <w:r>
        <w:br/>
      </w: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внесении изменений в проектные предложения и основные положения либо при кардинальных изменениях политики государства в вопросах территориальной организации.</w:t>
      </w:r>
      <w:r>
        <w:br/>
      </w:r>
      <w:r>
        <w:rPr>
          <w:rFonts w:ascii="Times New Roman"/>
          <w:b w:val="false"/>
          <w:i w:val="false"/>
          <w:color w:val="000000"/>
          <w:sz w:val="28"/>
        </w:rPr>
        <w:t>
      Генеральная схема является основой для развития архитектурной, градостроительной и строительной деятельности республиканского уровня, которая конкретизируется в рамках разработки межрегиональных схем территориального развития, комплексных схем градостроительного планирования территорий, генеральных планов населенных пунктов и проектов детальной планировки.</w:t>
      </w:r>
      <w:r>
        <w:br/>
      </w:r>
      <w:r>
        <w:rPr>
          <w:rFonts w:ascii="Times New Roman"/>
          <w:b w:val="false"/>
          <w:i w:val="false"/>
          <w:color w:val="000000"/>
          <w:sz w:val="28"/>
        </w:rPr>
        <w:t>
      Настоящий период ознаменован широким переходом к использованию современных компьютерных технологий и систем информационных коммуникаций, без которых практически неосуществимо полноценное функционирование современных механизмов планировочного регулирования и реализация территориального развития.</w:t>
      </w:r>
      <w:r>
        <w:br/>
      </w:r>
      <w:r>
        <w:rPr>
          <w:rFonts w:ascii="Times New Roman"/>
          <w:b w:val="false"/>
          <w:i w:val="false"/>
          <w:color w:val="000000"/>
          <w:sz w:val="28"/>
        </w:rPr>
        <w:t>
      Для информационного обеспечения градостроительной, архитектурной и строительной деятельности необходимо создание и ведение единой системы Государственного градостроительного кадастра.</w:t>
      </w:r>
      <w:r>
        <w:br/>
      </w:r>
      <w:r>
        <w:rPr>
          <w:rFonts w:ascii="Times New Roman"/>
          <w:b w:val="false"/>
          <w:i w:val="false"/>
          <w:color w:val="000000"/>
          <w:sz w:val="28"/>
        </w:rPr>
        <w:t>
      В 2011 – 2012 годах был создан государственный градостроительный кадастр республиканского уровня, в рамках которого разработано новое специализированное программное обеспечение для государственного градостроительного кадастра, проведена работа с центральными исполнительными органами по созданию и наполнению тематических баз данных основных отраслей экономики страны, осуществлен пилотный проект по взаимодействию государственного градостроительного кадастра республиканского уровня с нижестоящими уровнями на примере Карагандинской и Кызылординской областей. Вместе с тем, градостроительный кадастр республиканского уровня без создания областных и базовых уровней будет функционировать не в полном объеме и сдача автоматизированной информационной системы государственного градостроительного кадастра в промышленную эксплуатацию будет возможна только после создания областных и базовых уровней градостроительного кадастра.</w:t>
      </w:r>
      <w:r>
        <w:br/>
      </w:r>
      <w:r>
        <w:rPr>
          <w:rFonts w:ascii="Times New Roman"/>
          <w:b w:val="false"/>
          <w:i w:val="false"/>
          <w:color w:val="000000"/>
          <w:sz w:val="28"/>
        </w:rPr>
        <w:t>
      Министерством регионального развития Республики Казахстан разработан проект Закона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(далее – законопроект), предусматривающий формирование вертикально интегрированной единой системы градостроительного кадастра путем создания государственного предприятия для ведения градостроительного кадастра всех территориальных уровней. Законопроектом предусмотрена передача функций по ведению государственного градостроительного кадастра всех территориальных уровней из местных исполнительных органов государственному предприятию при Министерстве регионального развития Республики Казахстан.</w:t>
      </w:r>
      <w:r>
        <w:br/>
      </w:r>
      <w:r>
        <w:rPr>
          <w:rFonts w:ascii="Times New Roman"/>
          <w:b w:val="false"/>
          <w:i w:val="false"/>
          <w:color w:val="000000"/>
          <w:sz w:val="28"/>
        </w:rPr>
        <w:t>
      Данный законопроект согласован со всеми заинтересованными центральными и местными исполнительными органами, Администрацией Президента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мая 2013 года № 537 внесен в Мажилис Парламента Республики Казахстан.</w:t>
      </w:r>
      <w:r>
        <w:br/>
      </w:r>
      <w:r>
        <w:rPr>
          <w:rFonts w:ascii="Times New Roman"/>
          <w:b w:val="false"/>
          <w:i w:val="false"/>
          <w:color w:val="000000"/>
          <w:sz w:val="28"/>
        </w:rPr>
        <w:t>
      В настоящее время создание и ведение государственного градостроительного кадастра осуществляется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 242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«4.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«4.3. Целевые индикаторы Программы» изложить в следующей редакции:</w:t>
      </w:r>
      <w:r>
        <w:br/>
      </w:r>
      <w:r>
        <w:rPr>
          <w:rFonts w:ascii="Times New Roman"/>
          <w:b w:val="false"/>
          <w:i w:val="false"/>
          <w:color w:val="000000"/>
          <w:sz w:val="28"/>
        </w:rPr>
        <w:t>
      «4.3. Целевые индикаторы Программы</w:t>
      </w:r>
      <w:r>
        <w:br/>
      </w:r>
      <w:r>
        <w:rPr>
          <w:rFonts w:ascii="Times New Roman"/>
          <w:b w:val="false"/>
          <w:i w:val="false"/>
          <w:color w:val="000000"/>
          <w:sz w:val="28"/>
        </w:rPr>
        <w:t>
      1. 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r>
        <w:br/>
      </w:r>
      <w:r>
        <w:rPr>
          <w:rFonts w:ascii="Times New Roman"/>
          <w:b w:val="false"/>
          <w:i w:val="false"/>
          <w:color w:val="000000"/>
          <w:sz w:val="28"/>
        </w:rPr>
        <w:t>
      2. Удовлетворение потребности внутреннего рынка строительными материалами более чем на 80 %.</w:t>
      </w:r>
      <w:r>
        <w:br/>
      </w:r>
      <w:r>
        <w:rPr>
          <w:rFonts w:ascii="Times New Roman"/>
          <w:b w:val="false"/>
          <w:i w:val="false"/>
          <w:color w:val="000000"/>
          <w:sz w:val="28"/>
        </w:rPr>
        <w:t>
      3. Увеличение производительности труда в производстве прочей неметаллической минеральной продукции в 1,9 раз в реальном выражении к уровню 2008 год.</w:t>
      </w:r>
      <w:r>
        <w:br/>
      </w:r>
      <w:r>
        <w:rPr>
          <w:rFonts w:ascii="Times New Roman"/>
          <w:b w:val="false"/>
          <w:i w:val="false"/>
          <w:color w:val="000000"/>
          <w:sz w:val="28"/>
        </w:rPr>
        <w:t>
      Таблица 12. Динамика увеличения целевых индикаторов по годам</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1092"/>
        <w:gridCol w:w="1096"/>
        <w:gridCol w:w="1096"/>
        <w:gridCol w:w="1096"/>
        <w:gridCol w:w="1094"/>
        <w:gridCol w:w="1096"/>
      </w:tblGrid>
      <w:tr>
        <w:trPr>
          <w:trHeight w:val="315" w:hRule="atLeast"/>
        </w:trPr>
        <w:tc>
          <w:tcPr>
            <w:tcW w:w="6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45"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bookmarkStart w:name="z9" w:id="1"/>
    <w:p>
      <w:pPr>
        <w:spacing w:after="0"/>
        <w:ind w:left="0"/>
        <w:jc w:val="both"/>
      </w:pPr>
      <w:r>
        <w:rPr>
          <w:rFonts w:ascii="Times New Roman"/>
          <w:b w:val="false"/>
          <w:i w:val="false"/>
          <w:color w:val="000000"/>
          <w:sz w:val="28"/>
        </w:rPr>
        <w:t>      Из данных таблицы следует, что предприятия строительной индустрии республики имеют возможность увеличить ВДС в среднем на 66 %, потребности внутреннего рынка строительными материалами не менее 80 %, производительность труда в 1,9 раз в реальном выражении к уровню 2008 года. Нa этапе 2009–2014 годов это можно достичь с реализацией проектов, согласно приложению 3 к плану мероприятий:</w:t>
      </w:r>
      <w:r>
        <w:br/>
      </w:r>
      <w:r>
        <w:rPr>
          <w:rFonts w:ascii="Times New Roman"/>
          <w:b w:val="false"/>
          <w:i w:val="false"/>
          <w:color w:val="000000"/>
          <w:sz w:val="28"/>
        </w:rPr>
        <w:t>
      модернизация действующих цементных заводов;</w:t>
      </w:r>
      <w:r>
        <w:br/>
      </w:r>
      <w:r>
        <w:rPr>
          <w:rFonts w:ascii="Times New Roman"/>
          <w:b w:val="false"/>
          <w:i w:val="false"/>
          <w:color w:val="000000"/>
          <w:sz w:val="28"/>
        </w:rPr>
        <w:t>
      строительство новых заводов;</w:t>
      </w:r>
      <w:r>
        <w:br/>
      </w:r>
      <w:r>
        <w:rPr>
          <w:rFonts w:ascii="Times New Roman"/>
          <w:b w:val="false"/>
          <w:i w:val="false"/>
          <w:color w:val="000000"/>
          <w:sz w:val="28"/>
        </w:rPr>
        <w:t>
      организация сети комбинатов индустриального строительства;</w:t>
      </w:r>
      <w:r>
        <w:br/>
      </w:r>
      <w:r>
        <w:rPr>
          <w:rFonts w:ascii="Times New Roman"/>
          <w:b w:val="false"/>
          <w:i w:val="false"/>
          <w:color w:val="000000"/>
          <w:sz w:val="28"/>
        </w:rPr>
        <w:t>
      строительство завода по выпуску сантехкерамики;</w:t>
      </w:r>
      <w:r>
        <w:br/>
      </w:r>
      <w:r>
        <w:rPr>
          <w:rFonts w:ascii="Times New Roman"/>
          <w:b w:val="false"/>
          <w:i w:val="false"/>
          <w:color w:val="000000"/>
          <w:sz w:val="28"/>
        </w:rPr>
        <w:t xml:space="preserve">
      Модернизация заводов керамики с увеличением мощности; </w:t>
      </w:r>
      <w:r>
        <w:br/>
      </w:r>
      <w:r>
        <w:rPr>
          <w:rFonts w:ascii="Times New Roman"/>
          <w:b w:val="false"/>
          <w:i w:val="false"/>
          <w:color w:val="000000"/>
          <w:sz w:val="28"/>
        </w:rPr>
        <w:t>
      Организация строительства комбината по переработке глины.»;</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«4. Цель,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в подразделе «4.3. Целевые индикаторы Программы» </w:t>
      </w:r>
      <w:r>
        <w:rPr>
          <w:rFonts w:ascii="Times New Roman"/>
          <w:b w:val="false"/>
          <w:i w:val="false"/>
          <w:color w:val="000000"/>
          <w:sz w:val="28"/>
        </w:rPr>
        <w:t>таблицу 12</w:t>
      </w:r>
      <w:r>
        <w:rPr>
          <w:rFonts w:ascii="Times New Roman"/>
          <w:b w:val="false"/>
          <w:i w:val="false"/>
          <w:color w:val="000000"/>
          <w:sz w:val="28"/>
        </w:rPr>
        <w:t xml:space="preserve"> дополнить следующими строками:</w:t>
      </w:r>
      <w:r>
        <w:br/>
      </w:r>
      <w:r>
        <w:rPr>
          <w:rFonts w:ascii="Times New Roman"/>
          <w:b w:val="false"/>
          <w:i w:val="false"/>
          <w:color w:val="000000"/>
          <w:sz w:val="28"/>
        </w:rPr>
        <w:t>
      «Таблица 12. Динамика увеличения целевых индикаторов по годам</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gridCol w:w="880"/>
        <w:gridCol w:w="1096"/>
        <w:gridCol w:w="1096"/>
        <w:gridCol w:w="1096"/>
        <w:gridCol w:w="1094"/>
        <w:gridCol w:w="1096"/>
      </w:tblGrid>
      <w:tr>
        <w:trPr>
          <w:trHeight w:val="315" w:hRule="atLeast"/>
        </w:trPr>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52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45"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внутреннего рынка строительными материалами более чем на 80 %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«4.4. Показатели результатов от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«Ожидаемых результатах»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 второй изложить в следующей редакции:</w:t>
      </w:r>
      <w:r>
        <w:br/>
      </w:r>
      <w:r>
        <w:rPr>
          <w:rFonts w:ascii="Times New Roman"/>
          <w:b w:val="false"/>
          <w:i w:val="false"/>
          <w:color w:val="000000"/>
          <w:sz w:val="28"/>
        </w:rPr>
        <w:t>
      «в цементном производстве будет доведен к 2014 году выпуск цемента до 7 млн. тонн в год на действующих и новых предприятиях, построены цементные терминалы, проведено техническое перевооружение действующих цементных заводов и сокращена степень износа основных средств до 30 %;</w:t>
      </w:r>
      <w:r>
        <w:br/>
      </w:r>
      <w:r>
        <w:rPr>
          <w:rFonts w:ascii="Times New Roman"/>
          <w:b w:val="false"/>
          <w:i w:val="false"/>
          <w:color w:val="000000"/>
          <w:sz w:val="28"/>
        </w:rPr>
        <w:t>
      в производстве керамики к 2014 году выпуск керамических плиток будет доведен до 5,5 млн. кв. м в год, построен обогатительный комбинат по переработке глины мощностью 200 тыс. тонн в год;»;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«5. Этапы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«5.2. Совершенствование территориального планирования и градостроительного развития регионов» изложить в следующей редакции:</w:t>
      </w:r>
      <w:r>
        <w:br/>
      </w:r>
      <w:r>
        <w:rPr>
          <w:rFonts w:ascii="Times New Roman"/>
          <w:b w:val="false"/>
          <w:i w:val="false"/>
          <w:color w:val="000000"/>
          <w:sz w:val="28"/>
        </w:rPr>
        <w:t>
      В целях эффективного территориального планирования: градостроительного развития регионов необходима разработка Генеральной схемы организации территории Республики Казахстан, создание и ведение системы государственного градостроительного кадастра различных уровней, как государственной системы количественных и качественных показателей. Для осуществления вышеуказанных мероприятий, направленных на дальнейшее развитие строительной отрасли необходимо:</w:t>
      </w:r>
      <w:r>
        <w:br/>
      </w:r>
      <w:r>
        <w:rPr>
          <w:rFonts w:ascii="Times New Roman"/>
          <w:b w:val="false"/>
          <w:i w:val="false"/>
          <w:color w:val="000000"/>
          <w:sz w:val="28"/>
        </w:rPr>
        <w:t>
      1) обеспечить реализацию совместно с государственными центральными местными исполнительными органами ключевых проектных предложений Генеральной схемы организации территории Республики Казахстан и ее Основных положений;</w:t>
      </w:r>
      <w:r>
        <w:br/>
      </w:r>
      <w:r>
        <w:rPr>
          <w:rFonts w:ascii="Times New Roman"/>
          <w:b w:val="false"/>
          <w:i w:val="false"/>
          <w:color w:val="000000"/>
          <w:sz w:val="28"/>
        </w:rPr>
        <w:t>
      2) обеспечить разработку межрегиональных схем территориального развития, комплексных схем градостроительного планирования территорий и генеральных планов населенных пунктов.</w:t>
      </w:r>
      <w:r>
        <w:br/>
      </w:r>
      <w:r>
        <w:rPr>
          <w:rFonts w:ascii="Times New Roman"/>
          <w:b w:val="false"/>
          <w:i w:val="false"/>
          <w:color w:val="000000"/>
          <w:sz w:val="28"/>
        </w:rPr>
        <w:t>
      Генеральная схема предусматривает рациональное использование территории Республики Казахстан, создание и сохранение благоприятной окружающей среды, обеспечение экологической, промышленной и пожарной безопасности и охраны здоровья населения, охраны памятников истории и культуры, определение государственных приоритетов развития систем расселения, производственной, социальной и инженерно-транспортной инфраструктур.</w:t>
      </w:r>
      <w:r>
        <w:br/>
      </w:r>
      <w:r>
        <w:rPr>
          <w:rFonts w:ascii="Times New Roman"/>
          <w:b w:val="false"/>
          <w:i w:val="false"/>
          <w:color w:val="000000"/>
          <w:sz w:val="28"/>
        </w:rPr>
        <w:t>
      Государственный градостроительный кадастр (далее – ГГК) входит в государственную информационно-правовую систему кадастров Республики Казахстан и имеет большое стратегическое значение для развития территории страны, так как включает в себя данные документов, относящиеся к самым разнообразным объектам (территория населенного пункта или ее часть, объект строительства и т.п.), формирует комплексную и целостную картину предыдущего и современного состояния населенного пункта, его транспортной, инженерной, социальной инфраструктур на цифровой картографической основе с привязкой к пространственным данным.</w:t>
      </w:r>
      <w:r>
        <w:br/>
      </w:r>
      <w:r>
        <w:rPr>
          <w:rFonts w:ascii="Times New Roman"/>
          <w:b w:val="false"/>
          <w:i w:val="false"/>
          <w:color w:val="000000"/>
          <w:sz w:val="28"/>
        </w:rPr>
        <w:t>
      ГГК должен вестись по единой для Республики Казахстан системе сбора, обработки, учета, регистрации, хранения и предоставления информации по объектам архитектурной, градостроительной и строительной деятельности. Необходимым условием эффективного функционирования ГГК является ее систематическая актуализация.</w:t>
      </w:r>
      <w:r>
        <w:br/>
      </w:r>
      <w:r>
        <w:rPr>
          <w:rFonts w:ascii="Times New Roman"/>
          <w:b w:val="false"/>
          <w:i w:val="false"/>
          <w:color w:val="000000"/>
          <w:sz w:val="28"/>
        </w:rPr>
        <w:t>
      В связи с чем, администрирование и управление системы ГГК необходимо вести одному ведомству.</w:t>
      </w:r>
      <w:r>
        <w:br/>
      </w:r>
      <w:r>
        <w:rPr>
          <w:rFonts w:ascii="Times New Roman"/>
          <w:b w:val="false"/>
          <w:i w:val="false"/>
          <w:color w:val="000000"/>
          <w:sz w:val="28"/>
        </w:rPr>
        <w:t>
      Создание единой системы государственного градостроительного кадастра предусмотрено законопроектом.</w:t>
      </w:r>
      <w:r>
        <w:br/>
      </w:r>
      <w:r>
        <w:rPr>
          <w:rFonts w:ascii="Times New Roman"/>
          <w:b w:val="false"/>
          <w:i w:val="false"/>
          <w:color w:val="000000"/>
          <w:sz w:val="28"/>
        </w:rPr>
        <w:t>
      До принятия законопроекта создание и ведение государственного градостроительного кадастра осуществляется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 242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«5.3. Совершенствование системы сметного ценообразования в строительстве с участием государственных инвестиций» части шестую, седьмую и восьмую изложить в следующей редакции:</w:t>
      </w:r>
      <w:r>
        <w:br/>
      </w:r>
      <w:r>
        <w:rPr>
          <w:rFonts w:ascii="Times New Roman"/>
          <w:b w:val="false"/>
          <w:i w:val="false"/>
          <w:color w:val="000000"/>
          <w:sz w:val="28"/>
        </w:rPr>
        <w:t>
      «Для выработки эффективной ценовой политики требуется достоверное определение цен на строительную продукцию с соблюдением принципов:</w:t>
      </w:r>
      <w:r>
        <w:br/>
      </w:r>
      <w:r>
        <w:rPr>
          <w:rFonts w:ascii="Times New Roman"/>
          <w:b w:val="false"/>
          <w:i w:val="false"/>
          <w:color w:val="000000"/>
          <w:sz w:val="28"/>
        </w:rPr>
        <w:t>
      1) транспарентности ценообразования;</w:t>
      </w:r>
      <w:r>
        <w:br/>
      </w:r>
      <w:r>
        <w:rPr>
          <w:rFonts w:ascii="Times New Roman"/>
          <w:b w:val="false"/>
          <w:i w:val="false"/>
          <w:color w:val="000000"/>
          <w:sz w:val="28"/>
        </w:rPr>
        <w:t>
      2) стабильности на весь период создания, т.е. цена должна быть неизменной до окончания строительства, за исключением особых случаев, предусмотренных законодательством и/или договором строительного подряда;</w:t>
      </w:r>
      <w:r>
        <w:br/>
      </w:r>
      <w:r>
        <w:rPr>
          <w:rFonts w:ascii="Times New Roman"/>
          <w:b w:val="false"/>
          <w:i w:val="false"/>
          <w:color w:val="000000"/>
          <w:sz w:val="28"/>
        </w:rPr>
        <w:t>
      3) взаимосвязи между стабильной ценой и порядком расчетов между заказчиком и подрядчиком за выполненные работы.</w:t>
      </w:r>
      <w:r>
        <w:br/>
      </w:r>
      <w:r>
        <w:rPr>
          <w:rFonts w:ascii="Times New Roman"/>
          <w:b w:val="false"/>
          <w:i w:val="false"/>
          <w:color w:val="000000"/>
          <w:sz w:val="28"/>
        </w:rPr>
        <w:t>
      Необходимо обеспечить переход от базисно-индексного метода на ресурсный метод определения стоимости строительства в текущих ценах.</w:t>
      </w:r>
      <w:r>
        <w:br/>
      </w:r>
      <w:r>
        <w:rPr>
          <w:rFonts w:ascii="Times New Roman"/>
          <w:b w:val="false"/>
          <w:i w:val="false"/>
          <w:color w:val="000000"/>
          <w:sz w:val="28"/>
        </w:rPr>
        <w:t>
      Для внедрения системы ценообразования основанной на ресурсном методе определения стоимости строительства необходимо создать систему ресурсных сметных норм состоящих из следующих разделов:</w:t>
      </w:r>
      <w:r>
        <w:br/>
      </w:r>
      <w:r>
        <w:rPr>
          <w:rFonts w:ascii="Times New Roman"/>
          <w:b w:val="false"/>
          <w:i w:val="false"/>
          <w:color w:val="000000"/>
          <w:sz w:val="28"/>
        </w:rPr>
        <w:t>
      1) руководящие документы в системе ресурсного сметного ценообразования;</w:t>
      </w:r>
      <w:r>
        <w:br/>
      </w:r>
      <w:r>
        <w:rPr>
          <w:rFonts w:ascii="Times New Roman"/>
          <w:b w:val="false"/>
          <w:i w:val="false"/>
          <w:color w:val="000000"/>
          <w:sz w:val="28"/>
        </w:rPr>
        <w:t>
      2) постоянно обновляемая ресурсно-технологическая база ресурсного сметного ценообразования;</w:t>
      </w:r>
      <w:r>
        <w:br/>
      </w:r>
      <w:r>
        <w:rPr>
          <w:rFonts w:ascii="Times New Roman"/>
          <w:b w:val="false"/>
          <w:i w:val="false"/>
          <w:color w:val="000000"/>
          <w:sz w:val="28"/>
        </w:rPr>
        <w:t>
      3) элементные ресурсные сметные нормы;</w:t>
      </w:r>
      <w:r>
        <w:br/>
      </w:r>
      <w:r>
        <w:rPr>
          <w:rFonts w:ascii="Times New Roman"/>
          <w:b w:val="false"/>
          <w:i w:val="false"/>
          <w:color w:val="000000"/>
          <w:sz w:val="28"/>
        </w:rPr>
        <w:t>
      4) укрупненные ресурсные сметные нормы по конструктивам и видам работ;</w:t>
      </w:r>
      <w:r>
        <w:br/>
      </w:r>
      <w:r>
        <w:rPr>
          <w:rFonts w:ascii="Times New Roman"/>
          <w:b w:val="false"/>
          <w:i w:val="false"/>
          <w:color w:val="000000"/>
          <w:sz w:val="28"/>
        </w:rPr>
        <w:t>
      5) укрупненные ресурсные сметные нормы на единицу потребительской характеристики;</w:t>
      </w:r>
      <w:r>
        <w:br/>
      </w:r>
      <w:r>
        <w:rPr>
          <w:rFonts w:ascii="Times New Roman"/>
          <w:b w:val="false"/>
          <w:i w:val="false"/>
          <w:color w:val="000000"/>
          <w:sz w:val="28"/>
        </w:rPr>
        <w:t>
      6) систематически выпускаемые сборники текущих сметных цен на ресурсы для строительства.»;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«5.7. Перечень мер по реализации программы и система обратной связи с представителями бизнеса» части восьмую, девятую, десятую, одиннадцатую и двенадцатую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«6. Необходимые ресурсы»:</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разработка Генеральной схемы организации территории Республики Казахстан к 2014 году, объем затрат составляет 2700,530 млн. тенге, в том числе на разработку концепции в 2010 году – 100,0 млн. тенге, на разработку Генеральной схемы 2011 год – 1000,0 млн. тенге, 2012 год – 917,200 млн. тенге, 2013 год – 783,330 млн. тенге;</w:t>
      </w:r>
      <w:r>
        <w:br/>
      </w:r>
      <w:r>
        <w:rPr>
          <w:rFonts w:ascii="Times New Roman"/>
          <w:b w:val="false"/>
          <w:i w:val="false"/>
          <w:color w:val="000000"/>
          <w:sz w:val="28"/>
        </w:rPr>
        <w:t>
      4) объем затрат по ведению государственного градостроительного кадастра республиканского уровня в 2014 году составляет 178,370 млн.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совершенствование сметно-нормативной базы, в том числе выпуск сборников текущих сметных цен, всего 2 306,5 млн. тенге, в том числе в 2010 году – 391,0 млн. тенге, в 2011 году – 375,0 млн. тенге, в 2012 году – 596,3 млн. тенге, 2013 году – 382,4 млн. тенге, в 2014 году – 561,8 млн.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реформирование системы технического регулирования строительной отрасли – 5868,0 млн. тенге, в том числе в 2010 году – 300 млн. тенге, в 2011 году – 1 575,990 млн. тенге, в 2012 году – 1362,0 млн. тенге, в 2013 году – 1463,9 млн. тенге, в 2014 году – 1166,0 млн.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«План мероприятий по реализации Программы по развитию строительной индустрии и производства строительных материалов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строки, порядковые номера 1, 7, 8, 9 и 10,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520"/>
        <w:gridCol w:w="2653"/>
        <w:gridCol w:w="783"/>
        <w:gridCol w:w="1529"/>
        <w:gridCol w:w="2706"/>
        <w:gridCol w:w="2220"/>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серии типовых проектов для многоэтажного и малоэтажного жилищного строительства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типовым проектам в Правительство Республики Казахстан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4 квартал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2473,8 в т.ч.</w:t>
            </w:r>
            <w:r>
              <w:br/>
            </w:r>
            <w:r>
              <w:rPr>
                <w:rFonts w:ascii="Times New Roman"/>
                <w:b w:val="false"/>
                <w:i w:val="false"/>
                <w:color w:val="000000"/>
                <w:sz w:val="20"/>
              </w:rPr>
              <w:t>
</w:t>
            </w:r>
            <w:r>
              <w:rPr>
                <w:rFonts w:ascii="Times New Roman"/>
                <w:b w:val="false"/>
                <w:i w:val="false"/>
                <w:color w:val="000000"/>
                <w:sz w:val="20"/>
              </w:rPr>
              <w:t>2012 г.- 997,4</w:t>
            </w:r>
            <w:r>
              <w:br/>
            </w:r>
            <w:r>
              <w:rPr>
                <w:rFonts w:ascii="Times New Roman"/>
                <w:b w:val="false"/>
                <w:i w:val="false"/>
                <w:color w:val="000000"/>
                <w:sz w:val="20"/>
              </w:rPr>
              <w:t>
</w:t>
            </w:r>
            <w:r>
              <w:rPr>
                <w:rFonts w:ascii="Times New Roman"/>
                <w:b w:val="false"/>
                <w:i w:val="false"/>
                <w:color w:val="000000"/>
                <w:sz w:val="20"/>
              </w:rPr>
              <w:t>2013 г. - 492,0</w:t>
            </w:r>
            <w:r>
              <w:br/>
            </w:r>
            <w:r>
              <w:rPr>
                <w:rFonts w:ascii="Times New Roman"/>
                <w:b w:val="false"/>
                <w:i w:val="false"/>
                <w:color w:val="000000"/>
                <w:sz w:val="20"/>
              </w:rPr>
              <w:t>
</w:t>
            </w:r>
            <w:r>
              <w:rPr>
                <w:rFonts w:ascii="Times New Roman"/>
                <w:b w:val="false"/>
                <w:i w:val="false"/>
                <w:color w:val="000000"/>
                <w:sz w:val="20"/>
              </w:rPr>
              <w:t>2014 г.- 984,4*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технического регулирования строительной отрасли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r>
              <w:br/>
            </w:r>
            <w:r>
              <w:rPr>
                <w:rFonts w:ascii="Times New Roman"/>
                <w:b w:val="false"/>
                <w:i w:val="false"/>
                <w:color w:val="000000"/>
                <w:sz w:val="20"/>
              </w:rPr>
              <w:t>
</w:t>
            </w:r>
            <w:r>
              <w:rPr>
                <w:rFonts w:ascii="Times New Roman"/>
                <w:b w:val="false"/>
                <w:i w:val="false"/>
                <w:color w:val="000000"/>
                <w:sz w:val="20"/>
              </w:rPr>
              <w:t>4 квартал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 в т.ч.</w:t>
            </w:r>
            <w:r>
              <w:br/>
            </w:r>
            <w:r>
              <w:rPr>
                <w:rFonts w:ascii="Times New Roman"/>
                <w:b w:val="false"/>
                <w:i w:val="false"/>
                <w:color w:val="000000"/>
                <w:sz w:val="20"/>
              </w:rPr>
              <w:t>
</w:t>
            </w:r>
            <w:r>
              <w:rPr>
                <w:rFonts w:ascii="Times New Roman"/>
                <w:b w:val="false"/>
                <w:i w:val="false"/>
                <w:color w:val="000000"/>
                <w:sz w:val="20"/>
              </w:rPr>
              <w:t>2010 г.- 300,0</w:t>
            </w:r>
            <w:r>
              <w:br/>
            </w:r>
            <w:r>
              <w:rPr>
                <w:rFonts w:ascii="Times New Roman"/>
                <w:b w:val="false"/>
                <w:i w:val="false"/>
                <w:color w:val="000000"/>
                <w:sz w:val="20"/>
              </w:rPr>
              <w:t>
</w:t>
            </w:r>
            <w:r>
              <w:rPr>
                <w:rFonts w:ascii="Times New Roman"/>
                <w:b w:val="false"/>
                <w:i w:val="false"/>
                <w:color w:val="000000"/>
                <w:sz w:val="20"/>
              </w:rPr>
              <w:t>2011 г.- 1575,9</w:t>
            </w:r>
            <w:r>
              <w:br/>
            </w:r>
            <w:r>
              <w:rPr>
                <w:rFonts w:ascii="Times New Roman"/>
                <w:b w:val="false"/>
                <w:i w:val="false"/>
                <w:color w:val="000000"/>
                <w:sz w:val="20"/>
              </w:rPr>
              <w:t>
</w:t>
            </w:r>
            <w:r>
              <w:rPr>
                <w:rFonts w:ascii="Times New Roman"/>
                <w:b w:val="false"/>
                <w:i w:val="false"/>
                <w:color w:val="000000"/>
                <w:sz w:val="20"/>
              </w:rPr>
              <w:t>2012 г.- 1362,0</w:t>
            </w:r>
            <w:r>
              <w:br/>
            </w:r>
            <w:r>
              <w:rPr>
                <w:rFonts w:ascii="Times New Roman"/>
                <w:b w:val="false"/>
                <w:i w:val="false"/>
                <w:color w:val="000000"/>
                <w:sz w:val="20"/>
              </w:rPr>
              <w:t>
</w:t>
            </w:r>
            <w:r>
              <w:rPr>
                <w:rFonts w:ascii="Times New Roman"/>
                <w:b w:val="false"/>
                <w:i w:val="false"/>
                <w:color w:val="000000"/>
                <w:sz w:val="20"/>
              </w:rPr>
              <w:t>2013 г.- 1463,9</w:t>
            </w:r>
            <w:r>
              <w:br/>
            </w:r>
            <w:r>
              <w:rPr>
                <w:rFonts w:ascii="Times New Roman"/>
                <w:b w:val="false"/>
                <w:i w:val="false"/>
                <w:color w:val="000000"/>
                <w:sz w:val="20"/>
              </w:rPr>
              <w:t>
</w:t>
            </w:r>
            <w:r>
              <w:rPr>
                <w:rFonts w:ascii="Times New Roman"/>
                <w:b w:val="false"/>
                <w:i w:val="false"/>
                <w:color w:val="000000"/>
                <w:sz w:val="20"/>
              </w:rPr>
              <w:t>2014 г.- 1166,0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Государственного градостроительного кадастра на республиканском уровне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4 квартал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сметно-нормативной базы, в том числе выпуск сборников текущих сметных цен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r>
              <w:br/>
            </w:r>
            <w:r>
              <w:rPr>
                <w:rFonts w:ascii="Times New Roman"/>
                <w:b w:val="false"/>
                <w:i w:val="false"/>
                <w:color w:val="000000"/>
                <w:sz w:val="20"/>
              </w:rPr>
              <w:t>
</w:t>
            </w:r>
            <w:r>
              <w:rPr>
                <w:rFonts w:ascii="Times New Roman"/>
                <w:b w:val="false"/>
                <w:i w:val="false"/>
                <w:color w:val="000000"/>
                <w:sz w:val="20"/>
              </w:rPr>
              <w:t>4 квартал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2 306,5 в т.ч.</w:t>
            </w:r>
            <w:r>
              <w:br/>
            </w:r>
            <w:r>
              <w:rPr>
                <w:rFonts w:ascii="Times New Roman"/>
                <w:b w:val="false"/>
                <w:i w:val="false"/>
                <w:color w:val="000000"/>
                <w:sz w:val="20"/>
              </w:rPr>
              <w:t>
</w:t>
            </w:r>
            <w:r>
              <w:rPr>
                <w:rFonts w:ascii="Times New Roman"/>
                <w:b w:val="false"/>
                <w:i w:val="false"/>
                <w:color w:val="000000"/>
                <w:sz w:val="20"/>
              </w:rPr>
              <w:t xml:space="preserve">2010 г. - 391,0 </w:t>
            </w:r>
            <w:r>
              <w:br/>
            </w:r>
            <w:r>
              <w:rPr>
                <w:rFonts w:ascii="Times New Roman"/>
                <w:b w:val="false"/>
                <w:i w:val="false"/>
                <w:color w:val="000000"/>
                <w:sz w:val="20"/>
              </w:rPr>
              <w:t>
</w:t>
            </w:r>
            <w:r>
              <w:rPr>
                <w:rFonts w:ascii="Times New Roman"/>
                <w:b w:val="false"/>
                <w:i w:val="false"/>
                <w:color w:val="000000"/>
                <w:sz w:val="20"/>
              </w:rPr>
              <w:t>2011 г. - 375,0</w:t>
            </w:r>
            <w:r>
              <w:br/>
            </w:r>
            <w:r>
              <w:rPr>
                <w:rFonts w:ascii="Times New Roman"/>
                <w:b w:val="false"/>
                <w:i w:val="false"/>
                <w:color w:val="000000"/>
                <w:sz w:val="20"/>
              </w:rPr>
              <w:t>
</w:t>
            </w:r>
            <w:r>
              <w:rPr>
                <w:rFonts w:ascii="Times New Roman"/>
                <w:b w:val="false"/>
                <w:i w:val="false"/>
                <w:color w:val="000000"/>
                <w:sz w:val="20"/>
              </w:rPr>
              <w:t>2012 г. - 596,3</w:t>
            </w:r>
            <w:r>
              <w:br/>
            </w:r>
            <w:r>
              <w:rPr>
                <w:rFonts w:ascii="Times New Roman"/>
                <w:b w:val="false"/>
                <w:i w:val="false"/>
                <w:color w:val="000000"/>
                <w:sz w:val="20"/>
              </w:rPr>
              <w:t>
</w:t>
            </w:r>
            <w:r>
              <w:rPr>
                <w:rFonts w:ascii="Times New Roman"/>
                <w:b w:val="false"/>
                <w:i w:val="false"/>
                <w:color w:val="000000"/>
                <w:sz w:val="20"/>
              </w:rPr>
              <w:t>2013 г. - 382,4</w:t>
            </w:r>
            <w:r>
              <w:br/>
            </w:r>
            <w:r>
              <w:rPr>
                <w:rFonts w:ascii="Times New Roman"/>
                <w:b w:val="false"/>
                <w:i w:val="false"/>
                <w:color w:val="000000"/>
                <w:sz w:val="20"/>
              </w:rPr>
              <w:t>
</w:t>
            </w:r>
            <w:r>
              <w:rPr>
                <w:rFonts w:ascii="Times New Roman"/>
                <w:b w:val="false"/>
                <w:i w:val="false"/>
                <w:color w:val="000000"/>
                <w:sz w:val="20"/>
              </w:rPr>
              <w:t>2014 г. - 561,8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Генеральной схемы организации территории Республики Казахстан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r>
              <w:br/>
            </w:r>
            <w:r>
              <w:rPr>
                <w:rFonts w:ascii="Times New Roman"/>
                <w:b w:val="false"/>
                <w:i w:val="false"/>
                <w:color w:val="000000"/>
                <w:sz w:val="20"/>
              </w:rPr>
              <w:t>
</w:t>
            </w:r>
            <w:r>
              <w:rPr>
                <w:rFonts w:ascii="Times New Roman"/>
                <w:b w:val="false"/>
                <w:i w:val="false"/>
                <w:color w:val="000000"/>
                <w:sz w:val="20"/>
              </w:rPr>
              <w:t>4 квартал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2 700,530 в т.ч.</w:t>
            </w:r>
            <w:r>
              <w:br/>
            </w:r>
            <w:r>
              <w:rPr>
                <w:rFonts w:ascii="Times New Roman"/>
                <w:b w:val="false"/>
                <w:i w:val="false"/>
                <w:color w:val="000000"/>
                <w:sz w:val="20"/>
              </w:rPr>
              <w:t>
</w:t>
            </w:r>
            <w:r>
              <w:rPr>
                <w:rFonts w:ascii="Times New Roman"/>
                <w:b w:val="false"/>
                <w:i w:val="false"/>
                <w:color w:val="000000"/>
                <w:sz w:val="20"/>
              </w:rPr>
              <w:t>2010 г. - 100,0</w:t>
            </w:r>
            <w:r>
              <w:br/>
            </w:r>
            <w:r>
              <w:rPr>
                <w:rFonts w:ascii="Times New Roman"/>
                <w:b w:val="false"/>
                <w:i w:val="false"/>
                <w:color w:val="000000"/>
                <w:sz w:val="20"/>
              </w:rPr>
              <w:t>
</w:t>
            </w:r>
            <w:r>
              <w:rPr>
                <w:rFonts w:ascii="Times New Roman"/>
                <w:b w:val="false"/>
                <w:i w:val="false"/>
                <w:color w:val="000000"/>
                <w:sz w:val="20"/>
              </w:rPr>
              <w:t>2011 г. - 1000,0</w:t>
            </w:r>
            <w:r>
              <w:br/>
            </w:r>
            <w:r>
              <w:rPr>
                <w:rFonts w:ascii="Times New Roman"/>
                <w:b w:val="false"/>
                <w:i w:val="false"/>
                <w:color w:val="000000"/>
                <w:sz w:val="20"/>
              </w:rPr>
              <w:t>
</w:t>
            </w:r>
            <w:r>
              <w:rPr>
                <w:rFonts w:ascii="Times New Roman"/>
                <w:b w:val="false"/>
                <w:i w:val="false"/>
                <w:color w:val="000000"/>
                <w:sz w:val="20"/>
              </w:rPr>
              <w:t>2012 г. - 917,200</w:t>
            </w:r>
            <w:r>
              <w:br/>
            </w:r>
            <w:r>
              <w:rPr>
                <w:rFonts w:ascii="Times New Roman"/>
                <w:b w:val="false"/>
                <w:i w:val="false"/>
                <w:color w:val="000000"/>
                <w:sz w:val="20"/>
              </w:rPr>
              <w:t>
</w:t>
            </w:r>
            <w:r>
              <w:rPr>
                <w:rFonts w:ascii="Times New Roman"/>
                <w:b w:val="false"/>
                <w:i w:val="false"/>
                <w:color w:val="000000"/>
                <w:sz w:val="20"/>
              </w:rPr>
              <w:t>2013 г. – 783,330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r>
    </w:tbl>
    <w:bookmarkStart w:name="z2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11, исключить;</w:t>
      </w:r>
      <w:r>
        <w:br/>
      </w:r>
      <w:r>
        <w:rPr>
          <w:rFonts w:ascii="Times New Roman"/>
          <w:b w:val="false"/>
          <w:i w:val="false"/>
          <w:color w:val="000000"/>
          <w:sz w:val="28"/>
        </w:rPr>
        <w:t>
</w:t>
      </w:r>
      <w:r>
        <w:rPr>
          <w:rFonts w:ascii="Times New Roman"/>
          <w:b w:val="false"/>
          <w:i w:val="false"/>
          <w:color w:val="000000"/>
          <w:sz w:val="28"/>
        </w:rPr>
        <w:t>
      строку, порядковый номер 33,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613"/>
        <w:gridCol w:w="2244"/>
        <w:gridCol w:w="1198"/>
        <w:gridCol w:w="1351"/>
        <w:gridCol w:w="2303"/>
        <w:gridCol w:w="1565"/>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разработаны и внедрены:</w:t>
            </w:r>
            <w:r>
              <w:br/>
            </w:r>
            <w:r>
              <w:rPr>
                <w:rFonts w:ascii="Times New Roman"/>
                <w:b w:val="false"/>
                <w:i w:val="false"/>
                <w:color w:val="000000"/>
                <w:sz w:val="20"/>
              </w:rPr>
              <w:t>
</w:t>
            </w:r>
            <w:r>
              <w:rPr>
                <w:rFonts w:ascii="Times New Roman"/>
                <w:b w:val="false"/>
                <w:i w:val="false"/>
                <w:color w:val="000000"/>
                <w:sz w:val="20"/>
              </w:rPr>
              <w:t>1) 405 национальных и межгосударственных стандартов;</w:t>
            </w:r>
            <w:r>
              <w:br/>
            </w:r>
            <w:r>
              <w:rPr>
                <w:rFonts w:ascii="Times New Roman"/>
                <w:b w:val="false"/>
                <w:i w:val="false"/>
                <w:color w:val="000000"/>
                <w:sz w:val="20"/>
              </w:rPr>
              <w:t>
</w:t>
            </w:r>
            <w:r>
              <w:rPr>
                <w:rFonts w:ascii="Times New Roman"/>
                <w:b w:val="false"/>
                <w:i w:val="false"/>
                <w:color w:val="000000"/>
                <w:sz w:val="20"/>
              </w:rPr>
              <w:t>2) модернизация государственных эталонов теплопроводности и температурных величин на соответствие техническим регламентам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в МИНТ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КТРМ МИНТ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4 квартал</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 финансирования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49, 50, 51, 52, 53, </w:t>
      </w:r>
      <w:r>
        <w:rPr>
          <w:rFonts w:ascii="Times New Roman"/>
          <w:b w:val="false"/>
          <w:i w:val="false"/>
          <w:color w:val="000000"/>
          <w:sz w:val="28"/>
        </w:rPr>
        <w:t>приложения 3</w:t>
      </w:r>
      <w:r>
        <w:rPr>
          <w:rFonts w:ascii="Times New Roman"/>
          <w:b w:val="false"/>
          <w:i w:val="false"/>
          <w:color w:val="000000"/>
          <w:sz w:val="28"/>
        </w:rPr>
        <w:t xml:space="preserve"> «Основные инвестиционные проекты предприятий отрасли» к Программе, исключить;</w:t>
      </w:r>
      <w:r>
        <w:br/>
      </w:r>
      <w:r>
        <w:rPr>
          <w:rFonts w:ascii="Times New Roman"/>
          <w:b w:val="false"/>
          <w:i w:val="false"/>
          <w:color w:val="000000"/>
          <w:sz w:val="28"/>
        </w:rPr>
        <w:t>
</w:t>
      </w:r>
      <w:r>
        <w:rPr>
          <w:rFonts w:ascii="Times New Roman"/>
          <w:b w:val="false"/>
          <w:i w:val="false"/>
          <w:color w:val="000000"/>
          <w:sz w:val="28"/>
        </w:rPr>
        <w:t>
      строку, порядковый номер 21, </w:t>
      </w:r>
      <w:r>
        <w:rPr>
          <w:rFonts w:ascii="Times New Roman"/>
          <w:b w:val="false"/>
          <w:i w:val="false"/>
          <w:color w:val="000000"/>
          <w:sz w:val="28"/>
        </w:rPr>
        <w:t>приложения 4</w:t>
      </w:r>
      <w:r>
        <w:rPr>
          <w:rFonts w:ascii="Times New Roman"/>
          <w:b w:val="false"/>
          <w:i w:val="false"/>
          <w:color w:val="000000"/>
          <w:sz w:val="28"/>
        </w:rPr>
        <w:t xml:space="preserve"> «Потребность в кадрах на период 2010 – 2014 гг.» к Программе,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4"/>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