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f9a7" w14:textId="ea2f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"Казахэнергоэкспертиза"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2013 года № 1294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«Казахэнергоэкспертиза» в акционерное общество «Институт развития электроэнергетики и энергосбережения (Казахэнергоэкспертиза)» (далее – Общество).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новых технологий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соответствующих изменений и дополнений в устав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Общества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Министерству индустрии и новых технологий Республики Казахстан право владения и пользования государственным пакетом акций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2013 года № 1294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«г. Астана» дополнить строкой, порядковый номер 21-162,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«21-162. АО «Институт развития электроэнергетики и энергосбережения (Казахэнергоэкспертиза).»;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Алматы»: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123-62,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«Министерству индустрии и новых технологий Республики Казахстан» дополнить строкой, порядковый номер 237-52,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«237-52. Акционерное общество «Институт развития электроэнергетики и энергосбережения (Казахэнергоэкспертиза).»;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«Комитету государственного энергетического надзора Министерства индустрии и новых технологий Республики Казахстан» и строку, порядковый номер 262,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30.07.2016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