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ea7a" w14:textId="6bce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19 июля 2012 года № 948 "Об утверждении Правил определения цены сырого и товарного газа, приобретаемого национальным оператором в рамках преимущественного права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2013 года № 1278. Утратило силу постановлением Правительства Республики Казахстан от 3 апреля 2015 года № 196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июля 2012 года № 948 «Об утверждении Правил определения цены сырого и товарного газа, приобретаемого национальным оператором в рамках преимущественного права государства» (САПП Республики Казахстан, 2012 г., № 63, ст. 871)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определения цены сырого и товарного газа, приобретаемого национальным оператором в рамках преимущественного права государства,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случае реализации товарного газа национальному оператору в рамках преимущественного права государства, его цена рассчитывается недропользователем по формуле:</w:t>
      </w:r>
    </w:p>
    <w:bookmarkEnd w:id="0"/>
    <w:p>
      <w:pPr>
        <w:spacing w:after="0"/>
        <w:ind w:left="0"/>
        <w:jc w:val="both"/>
      </w:pPr>
      <w:r>
        <w:drawing>
          <wp:inline distT="0" distB="0" distL="0" distR="0">
            <wp:extent cx="2019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228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цена товарного газа, приобретаемого национальным оператором в рамках преимущественного права государства, тенге за тысячу метров кубических;</w:t>
      </w:r>
      <w:r>
        <w:br/>
      </w:r>
      <w:r>
        <w:rPr>
          <w:rFonts w:ascii="Times New Roman"/>
          <w:b w:val="false"/>
          <w:i w:val="false"/>
          <w:color w:val="000000"/>
          <w:sz w:val="28"/>
        </w:rPr>
        <w:t>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производственная себестоимость добычи сырого газа в рамках контракта на недропользование в тенге за тысячу метров кубических, которая рассчитывается за предыдущий календарный год по формуле:</w:t>
      </w:r>
    </w:p>
    <w:p>
      <w:pPr>
        <w:spacing w:after="0"/>
        <w:ind w:left="0"/>
        <w:jc w:val="both"/>
      </w:pPr>
      <w:r>
        <w:drawing>
          <wp:inline distT="0" distB="0" distL="0" distR="0">
            <wp:extent cx="186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660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41300"/>
                    </a:xfrm>
                    <a:prstGeom prst="rect">
                      <a:avLst/>
                    </a:prstGeom>
                  </pic:spPr>
                </pic:pic>
              </a:graphicData>
            </a:graphic>
          </wp:inline>
        </w:drawing>
      </w:r>
      <w:r>
        <w:rPr>
          <w:rFonts w:ascii="Times New Roman"/>
          <w:b w:val="false"/>
          <w:i w:val="false"/>
          <w:color w:val="000000"/>
          <w:sz w:val="28"/>
        </w:rPr>
        <w:t>– производственная себестоимость добычи сырой нефти и сырого газа в рамках контракта на недропользование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связанная с извлечением полезных ископаемых из недр на поверхность и их первичной переработкой (обогащением), тенге;</w:t>
      </w:r>
      <w:r>
        <w:br/>
      </w:r>
      <w:r>
        <w:rPr>
          <w:rFonts w:ascii="Times New Roman"/>
          <w:b w:val="false"/>
          <w:i w:val="false"/>
          <w:color w:val="000000"/>
          <w:sz w:val="28"/>
        </w:rPr>
        <w:t>
      </w:t>
      </w: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41300"/>
                    </a:xfrm>
                    <a:prstGeom prst="rect">
                      <a:avLst/>
                    </a:prstGeom>
                  </pic:spPr>
                </pic:pic>
              </a:graphicData>
            </a:graphic>
          </wp:inline>
        </w:drawing>
      </w:r>
      <w:r>
        <w:rPr>
          <w:rFonts w:ascii="Times New Roman"/>
          <w:b w:val="false"/>
          <w:i w:val="false"/>
          <w:color w:val="000000"/>
          <w:sz w:val="28"/>
        </w:rPr>
        <w:t>– объем добычи сырого газа в рамках контракта на недропользование в предыдущем календарном году, тысяч метров кубических;</w:t>
      </w:r>
      <w:r>
        <w:br/>
      </w:r>
      <w:r>
        <w:rPr>
          <w:rFonts w:ascii="Times New Roman"/>
          <w:b w:val="false"/>
          <w:i w:val="false"/>
          <w:color w:val="000000"/>
          <w:sz w:val="28"/>
        </w:rPr>
        <w:t>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объем добычи сырой нефти в рамках контракта на недропользование в предыдущем календарном году, тонн;</w:t>
      </w:r>
      <w:r>
        <w:br/>
      </w:r>
      <w:r>
        <w:rPr>
          <w:rFonts w:ascii="Times New Roman"/>
          <w:b w:val="false"/>
          <w:i w:val="false"/>
          <w:color w:val="000000"/>
          <w:sz w:val="28"/>
        </w:rPr>
        <w:t>
      0,857 – коэффициент перевода тысячи кубических метров сырого газа в тонны;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себестоимость производства товарного газа из добытого сырого газа в предыдущем календарном году, определяемая по следующей формуле:</w:t>
      </w:r>
    </w:p>
    <w:p>
      <w:pPr>
        <w:spacing w:after="0"/>
        <w:ind w:left="0"/>
        <w:jc w:val="both"/>
      </w:pPr>
      <w:r>
        <w:drawing>
          <wp:inline distT="0" distB="0" distL="0" distR="0">
            <wp:extent cx="121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19200" cy="495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общая себестоимость переработки сырого газа в предыдущем календарном году, определяемая на основе годовой финансовой отчетности недропользователя за завершенный финансовый год, подтвержденной аудиторскими отчетами,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связанная с переработкой сырого газа и не входящая в состав себестоимости добычи нефти и сырого газа, тенге за тысячу метров кубических;</w:t>
      </w:r>
      <w:r>
        <w:br/>
      </w:r>
      <w:r>
        <w:rPr>
          <w:rFonts w:ascii="Times New Roman"/>
          <w:b w:val="false"/>
          <w:i w:val="false"/>
          <w:color w:val="000000"/>
          <w:sz w:val="28"/>
        </w:rPr>
        <w:t>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41300"/>
                    </a:xfrm>
                    <a:prstGeom prst="rect">
                      <a:avLst/>
                    </a:prstGeom>
                  </pic:spPr>
                </pic:pic>
              </a:graphicData>
            </a:graphic>
          </wp:inline>
        </w:drawing>
      </w:r>
      <w:r>
        <w:rPr>
          <w:rFonts w:ascii="Times New Roman"/>
          <w:b w:val="false"/>
          <w:i w:val="false"/>
          <w:color w:val="000000"/>
          <w:sz w:val="28"/>
        </w:rPr>
        <w:t>– объем производства товарного газа, тысяч метров кубических;</w:t>
      </w:r>
      <w:r>
        <w:br/>
      </w:r>
      <w:r>
        <w:rPr>
          <w:rFonts w:ascii="Times New Roman"/>
          <w:b w:val="false"/>
          <w:i w:val="false"/>
          <w:color w:val="000000"/>
          <w:sz w:val="28"/>
        </w:rPr>
        <w:t>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объем сырого газа, направленного на переработку, тысяч метров кубических;</w:t>
      </w:r>
      <w:r>
        <w:br/>
      </w:r>
      <w:r>
        <w:rPr>
          <w:rFonts w:ascii="Times New Roman"/>
          <w:b w:val="false"/>
          <w:i w:val="false"/>
          <w:color w:val="000000"/>
          <w:sz w:val="28"/>
        </w:rPr>
        <w:t>
      </w:t>
      </w: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 cy="139700"/>
                    </a:xfrm>
                    <a:prstGeom prst="rect">
                      <a:avLst/>
                    </a:prstGeom>
                  </pic:spPr>
                </pic:pic>
              </a:graphicData>
            </a:graphic>
          </wp:inline>
        </w:drawing>
      </w:r>
      <w:r>
        <w:rPr>
          <w:rFonts w:ascii="Times New Roman"/>
          <w:b w:val="false"/>
          <w:i w:val="false"/>
          <w:color w:val="000000"/>
          <w:sz w:val="28"/>
        </w:rPr>
        <w:t>– стоимостной коэффициент в диапазоне от 0 до 1, определяемый по формуле:</w:t>
      </w:r>
    </w:p>
    <w:p>
      <w:pPr>
        <w:spacing w:after="0"/>
        <w:ind w:left="0"/>
        <w:jc w:val="both"/>
      </w:pPr>
      <w:r>
        <w:drawing>
          <wp:inline distT="0" distB="0" distL="0" distR="0">
            <wp:extent cx="109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495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41300"/>
                    </a:xfrm>
                    <a:prstGeom prst="rect">
                      <a:avLst/>
                    </a:prstGeom>
                  </pic:spPr>
                </pic:pic>
              </a:graphicData>
            </a:graphic>
          </wp:inline>
        </w:drawing>
      </w:r>
      <w:r>
        <w:rPr>
          <w:rFonts w:ascii="Times New Roman"/>
          <w:b w:val="false"/>
          <w:i w:val="false"/>
          <w:color w:val="000000"/>
          <w:sz w:val="28"/>
        </w:rPr>
        <w:t>– объем добычи сырого газа в рамках контракта на недропользование в предыдущем календарном году, тысяч метров кубических;</w:t>
      </w:r>
      <w:r>
        <w:br/>
      </w:r>
      <w:r>
        <w:rPr>
          <w:rFonts w:ascii="Times New Roman"/>
          <w:b w:val="false"/>
          <w:i w:val="false"/>
          <w:color w:val="000000"/>
          <w:sz w:val="28"/>
        </w:rPr>
        <w:t>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объем добычи сырой нефти в рамках контракта на недропользование в предыдущем календарном году, тонн;</w:t>
      </w:r>
      <w:r>
        <w:br/>
      </w:r>
      <w:r>
        <w:rPr>
          <w:rFonts w:ascii="Times New Roman"/>
          <w:b w:val="false"/>
          <w:i w:val="false"/>
          <w:color w:val="000000"/>
          <w:sz w:val="28"/>
        </w:rPr>
        <w:t>
      </w:t>
      </w: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241300"/>
                    </a:xfrm>
                    <a:prstGeom prst="rect">
                      <a:avLst/>
                    </a:prstGeom>
                  </pic:spPr>
                </pic:pic>
              </a:graphicData>
            </a:graphic>
          </wp:inline>
        </w:drawing>
      </w:r>
      <w:r>
        <w:rPr>
          <w:rFonts w:ascii="Times New Roman"/>
          <w:b w:val="false"/>
          <w:i w:val="false"/>
          <w:color w:val="000000"/>
          <w:sz w:val="28"/>
        </w:rPr>
        <w:t>– средневзвешенная экспортная цена товарного газа на границе Республики Казахстан в предыдущем календарном году, рассчитываемая по данным таможенной статистики, публикуемым Агентством Республики Казахстан по статистике, за вычетом расходов по транспортировке товарного газа от недропользователя до границы Республики Казахстан, определяемых на основании тарифов, утвержденных уполномоченным органом, осуществляющим регулирование в сферах естественных монополий и на регулируемых рынках, тенге за тысячу метров кубических;</w:t>
      </w:r>
      <w:r>
        <w:br/>
      </w:r>
      <w:r>
        <w:rPr>
          <w:rFonts w:ascii="Times New Roman"/>
          <w:b w:val="false"/>
          <w:i w:val="false"/>
          <w:color w:val="000000"/>
          <w:sz w:val="28"/>
        </w:rPr>
        <w:t>
      </w:t>
      </w: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241300"/>
                    </a:xfrm>
                    <a:prstGeom prst="rect">
                      <a:avLst/>
                    </a:prstGeom>
                  </pic:spPr>
                </pic:pic>
              </a:graphicData>
            </a:graphic>
          </wp:inline>
        </w:drawing>
      </w:r>
      <w:r>
        <w:rPr>
          <w:rFonts w:ascii="Times New Roman"/>
          <w:b w:val="false"/>
          <w:i w:val="false"/>
          <w:color w:val="000000"/>
          <w:sz w:val="28"/>
        </w:rPr>
        <w:t>– средневзвешенная экспортная цена сырой нефти на границе Республики Казахстан в предыдущем календарном году, рассчитываемая по данным таможенной статистики, публикуемым Агентством Республики Казахстан по статистике, за вычетом расходов по транспортировке сырой нефти от недропользователя до границы Республики Казахстан, определяемых на основании тарифов, утвержденных уполномоченным органом, осуществляющим регулирование в сферах естественных монополий и на регулируемых рынках, тенге за тонну;</w:t>
      </w:r>
      <w:r>
        <w:br/>
      </w:r>
      <w:r>
        <w:rPr>
          <w:rFonts w:ascii="Times New Roman"/>
          <w:b w:val="false"/>
          <w:i w:val="false"/>
          <w:color w:val="000000"/>
          <w:sz w:val="28"/>
        </w:rPr>
        <w:t>
      ТС – расходы на транспортировку товарного газа до планируемого места его реализации национальному оператору, определяемые на основании тарифов, утвержденных уполномоченным органом, осуществляющим регулирование в сферах естественных монополий и на регулируемых рынках, тенге за тысячу метров кубических;</w:t>
      </w:r>
      <w:r>
        <w:br/>
      </w:r>
      <w:r>
        <w:rPr>
          <w:rFonts w:ascii="Times New Roman"/>
          <w:b w:val="false"/>
          <w:i w:val="false"/>
          <w:color w:val="000000"/>
          <w:sz w:val="28"/>
        </w:rPr>
        <w:t>
      R – рентабельность недропользователя при реализации товарного газа национальному оператору в размере N%, которая рассчитывается по формуле:</w:t>
      </w:r>
    </w:p>
    <w:p>
      <w:pPr>
        <w:spacing w:after="0"/>
        <w:ind w:left="0"/>
        <w:jc w:val="both"/>
      </w:pPr>
      <w:r>
        <w:rPr>
          <w:rFonts w:ascii="Times New Roman"/>
          <w:b w:val="false"/>
          <w:i w:val="false"/>
          <w:color w:val="000000"/>
          <w:sz w:val="28"/>
        </w:rPr>
        <w:t>R =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 r x N</w:t>
      </w:r>
    </w:p>
    <w:bookmarkStart w:name="z4" w:id="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 – значение, устанавливаемое недропользователем, но не более 10 процентов.».</w:t>
      </w:r>
      <w:r>
        <w:br/>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C.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