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f77d" w14:textId="c50f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февраля 2013 года № 181 "О распределении средств по базовому финансированию субъектов научной и (или) научно-технической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2013 года № 1236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2013 года № 181 «О распределении средств по базовому финансированию субъектов научной и (или) научно-технической деятельности»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2013 года № 1236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№ 181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средств</w:t>
      </w:r>
      <w:r>
        <w:br/>
      </w:r>
      <w:r>
        <w:rPr>
          <w:rFonts w:ascii="Times New Roman"/>
          <w:b/>
          <w:i w:val="false"/>
          <w:color w:val="000000"/>
        </w:rPr>
        <w:t xml:space="preserve">
по базовому финансированию субъектов научной и (или) </w:t>
      </w:r>
      <w:r>
        <w:br/>
      </w:r>
      <w:r>
        <w:rPr>
          <w:rFonts w:ascii="Times New Roman"/>
          <w:b/>
          <w:i w:val="false"/>
          <w:color w:val="000000"/>
        </w:rPr>
        <w:t>
научно-технической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373"/>
        <w:gridCol w:w="5453"/>
      </w:tblGrid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администратора бюджетной программы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4 252 700,7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841 940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394 794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16 726,4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353 638,9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