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1132" w14:textId="c761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2013 года № 1096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займе (Обычные операции)</w:t>
      </w:r>
      <w:r>
        <w:br/>
      </w:r>
      <w:r>
        <w:rPr>
          <w:rFonts w:ascii="Times New Roman"/>
          <w:b/>
          <w:i w:val="false"/>
          <w:color w:val="000000"/>
        </w:rPr>
        <w:t>
Инвестиционная программа ЦАРЭС Коридор 2 [участки в</w:t>
      </w:r>
      <w:r>
        <w:br/>
      </w:r>
      <w:r>
        <w:rPr>
          <w:rFonts w:ascii="Times New Roman"/>
          <w:b/>
          <w:i w:val="false"/>
          <w:color w:val="000000"/>
        </w:rPr>
        <w:t>
Мангистауской области] – Проект 2) между Республикой Казахстан</w:t>
      </w:r>
      <w:r>
        <w:br/>
      </w:r>
      <w:r>
        <w:rPr>
          <w:rFonts w:ascii="Times New Roman"/>
          <w:b/>
          <w:i w:val="false"/>
          <w:color w:val="000000"/>
        </w:rPr>
        <w:t>
и Азиатским Банком Развития</w:t>
      </w:r>
    </w:p>
    <w:p>
      <w:pPr>
        <w:spacing w:after="0"/>
        <w:ind w:left="0"/>
        <w:jc w:val="both"/>
      </w:pPr>
      <w:r>
        <w:rPr>
          <w:rFonts w:ascii="Times New Roman"/>
          <w:b w:val="false"/>
          <w:i w:val="false"/>
          <w:color w:val="000000"/>
          <w:sz w:val="28"/>
        </w:rPr>
        <w:t>      Ратифицировать Соглашение о займе (Обычные операции) Инвестиционная программа ЦАРЭС Коридор 2 [участки в Мангистауской области] – Проект 2) между Республикой Казахстан и Азиатским Банком Развития, подписанное в Астане 18 июня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НОМЕР ЗАЙМА 2967-KAZ</w:t>
      </w:r>
    </w:p>
    <w:p>
      <w:pPr>
        <w:spacing w:after="0"/>
        <w:ind w:left="0"/>
        <w:jc w:val="both"/>
      </w:pPr>
      <w:r>
        <w:rPr>
          <w:rFonts w:ascii="Times New Roman"/>
          <w:b w:val="false"/>
          <w:i w:val="false"/>
          <w:color w:val="000000"/>
          <w:sz w:val="28"/>
        </w:rPr>
        <w:t>СОГЛАШЕНИЕ О ЗАЙМЕ</w:t>
      </w:r>
      <w:r>
        <w:br/>
      </w:r>
      <w:r>
        <w:rPr>
          <w:rFonts w:ascii="Times New Roman"/>
          <w:b w:val="false"/>
          <w:i w:val="false"/>
          <w:color w:val="000000"/>
          <w:sz w:val="28"/>
        </w:rPr>
        <w:t>
(Обычные операции)</w:t>
      </w:r>
    </w:p>
    <w:p>
      <w:pPr>
        <w:spacing w:after="0"/>
        <w:ind w:left="0"/>
        <w:jc w:val="both"/>
      </w:pPr>
      <w:r>
        <w:rPr>
          <w:rFonts w:ascii="Times New Roman"/>
          <w:b w:val="false"/>
          <w:i w:val="false"/>
          <w:color w:val="000000"/>
          <w:sz w:val="28"/>
        </w:rPr>
        <w:t>(Инвестиционная программа ЦАРЭС Коридор 2</w:t>
      </w:r>
      <w:r>
        <w:br/>
      </w:r>
      <w:r>
        <w:rPr>
          <w:rFonts w:ascii="Times New Roman"/>
          <w:b w:val="false"/>
          <w:i w:val="false"/>
          <w:color w:val="000000"/>
          <w:sz w:val="28"/>
        </w:rPr>
        <w:t>
[участки в Мангистауской области] – Проект 2)</w:t>
      </w:r>
    </w:p>
    <w:p>
      <w:pPr>
        <w:spacing w:after="0"/>
        <w:ind w:left="0"/>
        <w:jc w:val="both"/>
      </w:pPr>
      <w:r>
        <w:rPr>
          <w:rFonts w:ascii="Times New Roman"/>
          <w:b w:val="false"/>
          <w:i w:val="false"/>
          <w:color w:val="000000"/>
          <w:sz w:val="28"/>
        </w:rPr>
        <w:t xml:space="preserve">между </w:t>
      </w:r>
    </w:p>
    <w:p>
      <w:pPr>
        <w:spacing w:after="0"/>
        <w:ind w:left="0"/>
        <w:jc w:val="both"/>
      </w:pPr>
      <w:r>
        <w:rPr>
          <w:rFonts w:ascii="Times New Roman"/>
          <w:b w:val="false"/>
          <w:i w:val="false"/>
          <w:color w:val="000000"/>
          <w:sz w:val="28"/>
        </w:rPr>
        <w:t>РЕСПУБЛИКОЙ КАЗАХСТАН</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 xml:space="preserve">АЗИАТСКИМ БАНКОМ РАЗВИТИЯ </w:t>
      </w:r>
    </w:p>
    <w:p>
      <w:pPr>
        <w:spacing w:after="0"/>
        <w:ind w:left="0"/>
        <w:jc w:val="both"/>
      </w:pPr>
      <w:r>
        <w:rPr>
          <w:rFonts w:ascii="Times New Roman"/>
          <w:b w:val="false"/>
          <w:i w:val="false"/>
          <w:color w:val="000000"/>
          <w:sz w:val="28"/>
        </w:rPr>
        <w:t>ДАТА 18 июня 2013 года</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xml:space="preserve">
(Обычные операции) </w:t>
      </w:r>
    </w:p>
    <w:p>
      <w:pPr>
        <w:spacing w:after="0"/>
        <w:ind w:left="0"/>
        <w:jc w:val="both"/>
      </w:pPr>
      <w:r>
        <w:rPr>
          <w:rFonts w:ascii="Times New Roman"/>
          <w:b w:val="false"/>
          <w:i w:val="false"/>
          <w:color w:val="000000"/>
          <w:sz w:val="28"/>
        </w:rPr>
        <w:t>      СОГЛАШЕНИЕ О ЗАЙМЕ от 18 июня 2013 года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на основании рамочного соглашения о финансировании от 7 апреля 2011 года между Заемщиком и АБР, АБР согласился предоставить механизм мультитраншевого финансирования Заемщику для финансирования проектов в рамках Инвестиционной программы ЦАРЭС Коридор 2 (участки Мангистауской области) («Инвестиционная программа»);</w:t>
      </w:r>
      <w:r>
        <w:br/>
      </w:r>
      <w:r>
        <w:rPr>
          <w:rFonts w:ascii="Times New Roman"/>
          <w:b w:val="false"/>
          <w:i w:val="false"/>
          <w:color w:val="000000"/>
          <w:sz w:val="28"/>
        </w:rPr>
        <w:t>
      (B) на основании периодического запроса на финансирование от 30 октября 2012 года, как дополнено Заемщиком посредством протокола переговоров по займу от 28 ноября 2012 года, Заемщик обратился в АБР с просьбой о займе для реализации Проекта, описанного в приложении 1 к настоящему Соглашению о займе; и</w:t>
      </w:r>
      <w:r>
        <w:br/>
      </w:r>
      <w:r>
        <w:rPr>
          <w:rFonts w:ascii="Times New Roman"/>
          <w:b w:val="false"/>
          <w:i w:val="false"/>
          <w:color w:val="000000"/>
          <w:sz w:val="28"/>
        </w:rPr>
        <w:t>
      (C) АБР согласился предоставить Заемщику заем из обычных капитальных ресурсов АБР на условиях, изложенных в настоящем документе.</w:t>
      </w:r>
    </w:p>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left"/>
      </w:pPr>
      <w:r>
        <w:rPr>
          <w:rFonts w:ascii="Times New Roman"/>
          <w:b/>
          <w:i w:val="false"/>
          <w:color w:val="000000"/>
        </w:rPr>
        <w:t xml:space="preserve"> СТАТЬЯ I</w:t>
      </w:r>
      <w:r>
        <w:br/>
      </w:r>
      <w:r>
        <w:rPr>
          <w:rFonts w:ascii="Times New Roman"/>
          <w:b/>
          <w:i w:val="false"/>
          <w:color w:val="000000"/>
        </w:rPr>
        <w:t>
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изложены в тексте настоящего Соглашения, однако с соблюдением нижеследующих изменений:</w:t>
      </w:r>
      <w:r>
        <w:br/>
      </w:r>
      <w:r>
        <w:rPr>
          <w:rFonts w:ascii="Times New Roman"/>
          <w:b w:val="false"/>
          <w:i w:val="false"/>
          <w:color w:val="000000"/>
          <w:sz w:val="28"/>
        </w:rPr>
        <w:t xml:space="preserve">
      (а) Раздел 3.03 удален и заменен нижеследующим: </w:t>
      </w:r>
    </w:p>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r>
        <w:rPr>
          <w:rFonts w:ascii="Times New Roman"/>
          <w:b w:val="false"/>
          <w:i w:val="false"/>
          <w:color w:val="000000"/>
          <w:sz w:val="28"/>
        </w:rPr>
        <w:t> </w:t>
      </w:r>
      <w:r>
        <w:br/>
      </w:r>
      <w:r>
        <w:rPr>
          <w:rFonts w:ascii="Times New Roman"/>
          <w:b w:val="false"/>
          <w:i w:val="false"/>
          <w:color w:val="000000"/>
          <w:sz w:val="28"/>
        </w:rPr>
        <w:t xml:space="preserve">
      (a) Заемщик обязуется выплачивать комиссию за резервирование по невостребованной сумме займа по ставке и условиям, предусмотренным Соглашением о займе. </w:t>
      </w:r>
    </w:p>
    <w:p>
      <w:pPr>
        <w:spacing w:after="0"/>
        <w:ind w:left="0"/>
        <w:jc w:val="both"/>
      </w:pPr>
      <w:r>
        <w:rPr>
          <w:rFonts w:ascii="Times New Roman"/>
          <w:b w:val="false"/>
          <w:i w:val="false"/>
          <w:color w:val="000000"/>
          <w:sz w:val="28"/>
        </w:rPr>
        <w:t>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w:t>
      </w:r>
    </w:p>
    <w:p>
      <w:pPr>
        <w:spacing w:after="0"/>
        <w:ind w:left="0"/>
        <w:jc w:val="both"/>
      </w:pPr>
      <w:r>
        <w:rPr>
          <w:rFonts w:ascii="Times New Roman"/>
          <w:b w:val="false"/>
          <w:i w:val="false"/>
          <w:color w:val="000000"/>
          <w:sz w:val="28"/>
        </w:rPr>
        <w:t>      (b) Раздел 3.06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(c) Раздел 3.07 удален и заменен нижеследующим:</w:t>
      </w:r>
    </w:p>
    <w:p>
      <w:pPr>
        <w:spacing w:after="0"/>
        <w:ind w:left="0"/>
        <w:jc w:val="both"/>
      </w:pPr>
      <w:r>
        <w:rPr>
          <w:rFonts w:ascii="Times New Roman"/>
          <w:b w:val="false"/>
          <w:i w:val="false"/>
          <w:color w:val="000000"/>
          <w:sz w:val="28"/>
        </w:rPr>
        <w:t>      Дополнительная сумма. (a)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Размер данной дополнительной суммы будет определен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p>
    <w:p>
      <w:pPr>
        <w:spacing w:after="0"/>
        <w:ind w:left="0"/>
        <w:jc w:val="both"/>
      </w:pP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Размер данной дополнительной суммы будет определен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оплаты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p>
    <w:p>
      <w:pPr>
        <w:spacing w:after="0"/>
        <w:ind w:left="0"/>
        <w:jc w:val="both"/>
      </w:pPr>
      <w:r>
        <w:rPr>
          <w:rFonts w:ascii="Times New Roman"/>
          <w:b w:val="false"/>
          <w:i w:val="false"/>
          <w:color w:val="000000"/>
          <w:sz w:val="28"/>
        </w:rPr>
        <w:t xml:space="preserve">      (а) «ЦАРЭС» означает Центрально-Азиатское Региональное Экономическое Сотрудничество; </w:t>
      </w:r>
      <w:r>
        <w:br/>
      </w:r>
      <w:r>
        <w:rPr>
          <w:rFonts w:ascii="Times New Roman"/>
          <w:b w:val="false"/>
          <w:i w:val="false"/>
          <w:color w:val="000000"/>
          <w:sz w:val="28"/>
        </w:rPr>
        <w:t>
      (b) «Транспортный коридор ЦАРЭС 2» означает транспортный коридор, начинающийся в Стамбуле, Турция, и следующий через порты Баку в Азербайджане и Актау в Мангистауской области и территории Узбекистана, Таджикистана и Киргизской Республики в порты Ляньюньган, Тяньцзинь и Шанхай в Китайской Народной Республике;</w:t>
      </w:r>
      <w:r>
        <w:br/>
      </w:r>
      <w:r>
        <w:rPr>
          <w:rFonts w:ascii="Times New Roman"/>
          <w:b w:val="false"/>
          <w:i w:val="false"/>
          <w:color w:val="000000"/>
          <w:sz w:val="28"/>
        </w:rPr>
        <w:t>
      (c) «Руководство по привлечению консалтинговых услуг» означает руководство по использованию консультантов Азиатским банком развития и его заемщиками (2010 год с периодическими поправками);</w:t>
      </w:r>
      <w:r>
        <w:br/>
      </w:r>
      <w:r>
        <w:rPr>
          <w:rFonts w:ascii="Times New Roman"/>
          <w:b w:val="false"/>
          <w:i w:val="false"/>
          <w:color w:val="000000"/>
          <w:sz w:val="28"/>
        </w:rPr>
        <w:t>
      (d) «Консалтинговые услуги» означают услуги, которые будут финансироваться из средств займа, как описано в пункте 3(b) приложения 1 к настоящему Соглашению о займе;</w:t>
      </w:r>
      <w:r>
        <w:br/>
      </w:r>
      <w:r>
        <w:rPr>
          <w:rFonts w:ascii="Times New Roman"/>
          <w:b w:val="false"/>
          <w:i w:val="false"/>
          <w:color w:val="000000"/>
          <w:sz w:val="28"/>
        </w:rPr>
        <w:t>
      (e) «РДООС» означает рамочный документ по оценке окружающей среды, подготовленный для инвестиционной программы, в том числе вносимые в него изменения, согласованные между Заемщиком и АБР, и включенный путем ссылки в Рамочное соглашение о финансировании;</w:t>
      </w:r>
      <w:r>
        <w:br/>
      </w:r>
      <w:r>
        <w:rPr>
          <w:rFonts w:ascii="Times New Roman"/>
          <w:b w:val="false"/>
          <w:i w:val="false"/>
          <w:color w:val="000000"/>
          <w:sz w:val="28"/>
        </w:rPr>
        <w:t>
      (f) «ОВОС» означает оценку воздействия на окружающую среду в рамках проекта, в том числе вносимые в него изменения, подготовленную и представленную Заемщиком в соответствии с требованиями, изложенными в РДООС и разъясненными АБР;</w:t>
      </w:r>
      <w:r>
        <w:br/>
      </w:r>
      <w:r>
        <w:rPr>
          <w:rFonts w:ascii="Times New Roman"/>
          <w:b w:val="false"/>
          <w:i w:val="false"/>
          <w:color w:val="000000"/>
          <w:sz w:val="28"/>
        </w:rPr>
        <w:t>
      (g) «ПУОС» означает план управления окружающей средой, включенный в оценку воздействия на окружающую среду (ОВОС);</w:t>
      </w:r>
      <w:r>
        <w:br/>
      </w:r>
      <w:r>
        <w:rPr>
          <w:rFonts w:ascii="Times New Roman"/>
          <w:b w:val="false"/>
          <w:i w:val="false"/>
          <w:color w:val="000000"/>
          <w:sz w:val="28"/>
        </w:rPr>
        <w:t xml:space="preserve">
      (h) «Защитные меры по окружающей среде» означают принципы и требования, изложенные в главе V, приложении 1 и Приложении 4 (если применимо) ПМЗ; </w:t>
      </w:r>
      <w:r>
        <w:br/>
      </w:r>
      <w:r>
        <w:rPr>
          <w:rFonts w:ascii="Times New Roman"/>
          <w:b w:val="false"/>
          <w:i w:val="false"/>
          <w:color w:val="000000"/>
          <w:sz w:val="28"/>
        </w:rPr>
        <w:t>
      (i) «Механизм» означает механизм мультитраншевого финансирования, предоставляемого АБР Заемщику для финансирования проектов в рамках инвестиционной программы;</w:t>
      </w:r>
      <w:r>
        <w:br/>
      </w:r>
      <w:r>
        <w:rPr>
          <w:rFonts w:ascii="Times New Roman"/>
          <w:b w:val="false"/>
          <w:i w:val="false"/>
          <w:color w:val="000000"/>
          <w:sz w:val="28"/>
        </w:rPr>
        <w:t>
      (j) «РАМ» означает руководство по администрированию механизмом в рамках инвестиционной программы, согласованное между Заемщиком и АБР, с периодически вносимыми изменениями согласно соответствующим процедурам Заемщика и АБР;</w:t>
      </w:r>
      <w:r>
        <w:br/>
      </w:r>
      <w:r>
        <w:rPr>
          <w:rFonts w:ascii="Times New Roman"/>
          <w:b w:val="false"/>
          <w:i w:val="false"/>
          <w:color w:val="000000"/>
          <w:sz w:val="28"/>
        </w:rPr>
        <w:t>
      (k) «РСФ» означает рамочное соглашение о финансировании от 7 апреля 2011 года (с поправками и изменениями) между АБР и Заемщиком касательно механизма;</w:t>
      </w:r>
      <w:r>
        <w:br/>
      </w:r>
      <w:r>
        <w:rPr>
          <w:rFonts w:ascii="Times New Roman"/>
          <w:b w:val="false"/>
          <w:i w:val="false"/>
          <w:color w:val="000000"/>
          <w:sz w:val="28"/>
        </w:rPr>
        <w:t>
      (l) «Инвестиционная программа» означает Инвестиционную программу ЦАРЭС Коридор 2 (участки дороги в Мангистауской области);</w:t>
      </w:r>
      <w:r>
        <w:br/>
      </w:r>
      <w:r>
        <w:rPr>
          <w:rFonts w:ascii="Times New Roman"/>
          <w:b w:val="false"/>
          <w:i w:val="false"/>
          <w:color w:val="000000"/>
          <w:sz w:val="28"/>
        </w:rPr>
        <w:t>
      (m) «Политика в области вынужденного переселения» означает принципы и требования, изложенные в главе V, приложении 2 и приложении 4 (если применимо) ПМЗ;</w:t>
      </w:r>
      <w:r>
        <w:br/>
      </w:r>
      <w:r>
        <w:rPr>
          <w:rFonts w:ascii="Times New Roman"/>
          <w:b w:val="false"/>
          <w:i w:val="false"/>
          <w:color w:val="000000"/>
          <w:sz w:val="28"/>
        </w:rPr>
        <w:t>
      (n) «Км» означает место, обозначенное конкретным километром на указателе на проектной дороге, как определено ниже, а «км» означает километр;</w:t>
      </w:r>
      <w:r>
        <w:br/>
      </w:r>
      <w:r>
        <w:rPr>
          <w:rFonts w:ascii="Times New Roman"/>
          <w:b w:val="false"/>
          <w:i w:val="false"/>
          <w:color w:val="000000"/>
          <w:sz w:val="28"/>
        </w:rPr>
        <w:t>
      (o) «РДВЗП» означает рамочный документ по выкупу земель и переселению в рамках инвестиционной программы, включая любые вносимые в него изменения, согласованные между Заемщиком и АБР, и включенный путем ссылки в Рамочное соглашение о финансировании;</w:t>
      </w:r>
      <w:r>
        <w:br/>
      </w:r>
      <w:r>
        <w:rPr>
          <w:rFonts w:ascii="Times New Roman"/>
          <w:b w:val="false"/>
          <w:i w:val="false"/>
          <w:color w:val="000000"/>
          <w:sz w:val="28"/>
        </w:rPr>
        <w:t>
      (p) «ПВЗП» означает план выкупа земель и переселения в рамках проекта, включая любые вносимые в него изменения, составленный и представленный Заемщиком в соответствии с требованиями, изложенными в РДВЗП и разъясненными АБР;</w:t>
      </w:r>
      <w:r>
        <w:br/>
      </w:r>
      <w:r>
        <w:rPr>
          <w:rFonts w:ascii="Times New Roman"/>
          <w:b w:val="false"/>
          <w:i w:val="false"/>
          <w:color w:val="000000"/>
          <w:sz w:val="28"/>
        </w:rPr>
        <w:t>
      (q) «Справочник по выплатам средств займа» означает справочник АБР по выплатам средств займа (от 2012 года с периодическими поправками);</w:t>
      </w:r>
      <w:r>
        <w:br/>
      </w:r>
      <w:r>
        <w:rPr>
          <w:rFonts w:ascii="Times New Roman"/>
          <w:b w:val="false"/>
          <w:i w:val="false"/>
          <w:color w:val="000000"/>
          <w:sz w:val="28"/>
        </w:rPr>
        <w:t>
      (r) «МТК» означает Министерство транспорта и коммуникаций Заемщика или любого его правопреемника;</w:t>
      </w:r>
      <w:r>
        <w:br/>
      </w:r>
      <w:r>
        <w:rPr>
          <w:rFonts w:ascii="Times New Roman"/>
          <w:b w:val="false"/>
          <w:i w:val="false"/>
          <w:color w:val="000000"/>
          <w:sz w:val="28"/>
        </w:rPr>
        <w:t>
      (s) «Область» означает территориальную административную единицу Заемщика;</w:t>
      </w:r>
      <w:r>
        <w:br/>
      </w:r>
      <w:r>
        <w:rPr>
          <w:rFonts w:ascii="Times New Roman"/>
          <w:b w:val="false"/>
          <w:i w:val="false"/>
          <w:color w:val="000000"/>
          <w:sz w:val="28"/>
        </w:rPr>
        <w:t>
      (t) «ПЗФ» означает периодический запрос на финансирование, представленный или подлежащий представлению Заемщиком для получения каждого займа в соответствии с механизмом, а в рамках настоящего Соглашения о займе означает периодический запрос на финансирование от 30 октября 2012 года с учетом поправок и изменений, внесенных Заемщиком протоколом переговоров по займу для целей проекта от 28 ноября 2012 года;</w:t>
      </w:r>
      <w:r>
        <w:br/>
      </w:r>
      <w:r>
        <w:rPr>
          <w:rFonts w:ascii="Times New Roman"/>
          <w:b w:val="false"/>
          <w:i w:val="false"/>
          <w:color w:val="000000"/>
          <w:sz w:val="28"/>
        </w:rPr>
        <w:t>
      (u) «Руководство по закупкам» означает руководство по закупкам АБР (от 2010 года с периодическими поправками);</w:t>
      </w:r>
      <w:r>
        <w:br/>
      </w:r>
      <w:r>
        <w:rPr>
          <w:rFonts w:ascii="Times New Roman"/>
          <w:b w:val="false"/>
          <w:i w:val="false"/>
          <w:color w:val="000000"/>
          <w:sz w:val="28"/>
        </w:rPr>
        <w:t xml:space="preserve">
      (v) «План закупок» означает план закупок в рамках проекта от 16 ноября 2012 года, согласованный между Заемщиком и АБР, с периодическими изменениями в соответствии с руководством по закупкам, руководством по привлечению консультационных услуг и прочими мероприятиями, согласованными с АБР; </w:t>
      </w:r>
      <w:r>
        <w:br/>
      </w:r>
      <w:r>
        <w:rPr>
          <w:rFonts w:ascii="Times New Roman"/>
          <w:b w:val="false"/>
          <w:i w:val="false"/>
          <w:color w:val="000000"/>
          <w:sz w:val="28"/>
        </w:rPr>
        <w:t xml:space="preserve">
      (w) «Исполнительное агентство по проекту» для целей и в рамках определения Правил предоставления займа означает МТК, ответственное за исполнение проекта; </w:t>
      </w:r>
      <w:r>
        <w:br/>
      </w:r>
      <w:r>
        <w:rPr>
          <w:rFonts w:ascii="Times New Roman"/>
          <w:b w:val="false"/>
          <w:i w:val="false"/>
          <w:color w:val="000000"/>
          <w:sz w:val="28"/>
        </w:rPr>
        <w:t>
      (x) «Проектные объекты» означают объекты, строительство или предоставление которых определено по проекту;</w:t>
      </w:r>
      <w:r>
        <w:br/>
      </w:r>
      <w:r>
        <w:rPr>
          <w:rFonts w:ascii="Times New Roman"/>
          <w:b w:val="false"/>
          <w:i w:val="false"/>
          <w:color w:val="000000"/>
          <w:sz w:val="28"/>
        </w:rPr>
        <w:t>
      (y) «Проектная дорога» означает участок дороги, который предстоит реконструировать в соответствии с проектом, в соответствии с подробным описанием в подпункте 3(а) приложения 1 к настоящему Соглашению о займе;</w:t>
      </w:r>
      <w:r>
        <w:br/>
      </w:r>
      <w:r>
        <w:rPr>
          <w:rFonts w:ascii="Times New Roman"/>
          <w:b w:val="false"/>
          <w:i w:val="false"/>
          <w:color w:val="000000"/>
          <w:sz w:val="28"/>
        </w:rPr>
        <w:t>
      (z) «Отчет по мониторингу защитных мер» означает каждый отчет, подготовленный и представленный Заемщиком в АБР, описывающий результаты реализации и соответствия ПУОС и ПВЗП (если применимо), включая любые корректирующие и предупреждающие действия;</w:t>
      </w:r>
      <w:r>
        <w:br/>
      </w:r>
      <w:r>
        <w:rPr>
          <w:rFonts w:ascii="Times New Roman"/>
          <w:b w:val="false"/>
          <w:i w:val="false"/>
          <w:color w:val="000000"/>
          <w:sz w:val="28"/>
        </w:rPr>
        <w:t>
      (aa) «ПЗМ» означает политику по защитным мерам (от 2009 года); и</w:t>
      </w:r>
      <w:r>
        <w:br/>
      </w:r>
      <w:r>
        <w:rPr>
          <w:rFonts w:ascii="Times New Roman"/>
          <w:b w:val="false"/>
          <w:i w:val="false"/>
          <w:color w:val="000000"/>
          <w:sz w:val="28"/>
        </w:rPr>
        <w:t xml:space="preserve">
      (ab) «Работы» означают строительство или гражданско-строительные работы, финансируемые за счет средств займа, включая такие услуги как бурение или картографирование, а также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 </w:t>
      </w:r>
    </w:p>
    <w:p>
      <w:pPr>
        <w:spacing w:after="0"/>
        <w:ind w:left="0"/>
        <w:jc w:val="left"/>
      </w:pPr>
      <w:r>
        <w:rPr>
          <w:rFonts w:ascii="Times New Roman"/>
          <w:b/>
          <w:i w:val="false"/>
          <w:color w:val="000000"/>
        </w:rPr>
        <w:t xml:space="preserve"> СТАТЬЯ II</w:t>
      </w:r>
      <w:r>
        <w:br/>
      </w:r>
      <w:r>
        <w:rPr>
          <w:rFonts w:ascii="Times New Roman"/>
          <w:b/>
          <w:i w:val="false"/>
          <w:color w:val="000000"/>
        </w:rPr>
        <w:t>
Заем</w:t>
      </w:r>
    </w:p>
    <w:p>
      <w:pPr>
        <w:spacing w:after="0"/>
        <w:ind w:left="0"/>
        <w:jc w:val="both"/>
      </w:pPr>
      <w:r>
        <w:rPr>
          <w:rFonts w:ascii="Times New Roman"/>
          <w:b w:val="false"/>
          <w:i w:val="false"/>
          <w:color w:val="000000"/>
          <w:sz w:val="28"/>
        </w:rPr>
        <w:t xml:space="preserve">      Раздел 2.01. (a) АБР соглашается предоставить заем Заемщику из обычных капитальных ресурсов АБР на сумму триста семьдесят один миллион триста тысяч долларов США (371,300,000 долларов США), причем данная сумма может быть периодически конвертирована в рамках конвертации в соответствии с положениями раздела 2.06 настоящего Соглашения о займе. </w:t>
      </w:r>
    </w:p>
    <w:p>
      <w:pPr>
        <w:spacing w:after="0"/>
        <w:ind w:left="0"/>
        <w:jc w:val="both"/>
      </w:pPr>
      <w:r>
        <w:rPr>
          <w:rFonts w:ascii="Times New Roman"/>
          <w:b w:val="false"/>
          <w:i w:val="false"/>
          <w:color w:val="000000"/>
          <w:sz w:val="28"/>
        </w:rPr>
        <w:t xml:space="preserve">      (b) Заем предполагает период основного погашения 15 лет и льготный период, определенный в пункте (c) данного раздела. </w:t>
      </w:r>
      <w:r>
        <w:br/>
      </w:r>
      <w:r>
        <w:rPr>
          <w:rFonts w:ascii="Times New Roman"/>
          <w:b w:val="false"/>
          <w:i w:val="false"/>
          <w:color w:val="000000"/>
          <w:sz w:val="28"/>
        </w:rPr>
        <w:t>
      (c) Определение «льготный период», используемое в пункте (b) выше, означает период, предшествующий первой дате платежа в погашение основной суммы займа в соответствии с графиком погашения, изложенным в приложении 2 к настоящему Соглашению о займе.</w:t>
      </w:r>
    </w:p>
    <w:p>
      <w:pPr>
        <w:spacing w:after="0"/>
        <w:ind w:left="0"/>
        <w:jc w:val="both"/>
      </w:pP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w:t>
      </w:r>
    </w:p>
    <w:p>
      <w:pPr>
        <w:spacing w:after="0"/>
        <w:ind w:left="0"/>
        <w:jc w:val="both"/>
      </w:pPr>
      <w:r>
        <w:rPr>
          <w:rFonts w:ascii="Times New Roman"/>
          <w:b w:val="false"/>
          <w:i w:val="false"/>
          <w:color w:val="000000"/>
          <w:sz w:val="28"/>
        </w:rPr>
        <w:t>      (a) ЛИБОР; и</w:t>
      </w:r>
    </w:p>
    <w:p>
      <w:pPr>
        <w:spacing w:after="0"/>
        <w:ind w:left="0"/>
        <w:jc w:val="both"/>
      </w:pPr>
      <w:r>
        <w:rPr>
          <w:rFonts w:ascii="Times New Roman"/>
          <w:b w:val="false"/>
          <w:i w:val="false"/>
          <w:color w:val="000000"/>
          <w:sz w:val="28"/>
        </w:rPr>
        <w:t xml:space="preserve">      (b) 0,60 % в год согласно разделу 3.02 Правил предоставления займа минус кредит 0,20 % в год согласно Разделу 3.03 Правил предоставления займа. </w:t>
      </w:r>
    </w:p>
    <w:p>
      <w:pPr>
        <w:spacing w:after="0"/>
        <w:ind w:left="0"/>
        <w:jc w:val="both"/>
      </w:pP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60 (шестьдесят) дней после даты подписания данного Соглашения о займе.</w:t>
      </w:r>
    </w:p>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апреля и 15 октября каждого года.</w:t>
      </w:r>
    </w:p>
    <w:p>
      <w:pPr>
        <w:spacing w:after="0"/>
        <w:ind w:left="0"/>
        <w:jc w:val="both"/>
      </w:pPr>
      <w:r>
        <w:rPr>
          <w:rFonts w:ascii="Times New Roman"/>
          <w:b w:val="false"/>
          <w:i w:val="false"/>
          <w:color w:val="000000"/>
          <w:sz w:val="28"/>
        </w:rPr>
        <w:t>      Раздел 2.05. Заемщик обязуется выплатить основную сумму займа, востребованную из Счета займа в соответствии с положениями приложения 2 настоящего Соглашения о займе.</w:t>
      </w:r>
    </w:p>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займа с целью обеспечения рационального регулирования долга:</w:t>
      </w:r>
    </w:p>
    <w:p>
      <w:pPr>
        <w:spacing w:after="0"/>
        <w:ind w:left="0"/>
        <w:jc w:val="both"/>
      </w:pPr>
      <w:r>
        <w:rPr>
          <w:rFonts w:ascii="Times New Roman"/>
          <w:b w:val="false"/>
          <w:i w:val="false"/>
          <w:color w:val="000000"/>
          <w:sz w:val="28"/>
        </w:rPr>
        <w:t>      (i) изменение валюты займа полной или частичной суммы займа, выплаченной и невостребованной и или невыплаченной,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ставкой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p>
    <w:p>
      <w:pPr>
        <w:spacing w:after="0"/>
        <w:ind w:left="0"/>
        <w:jc w:val="both"/>
      </w:pPr>
      <w:r>
        <w:rPr>
          <w:rFonts w:ascii="Times New Roman"/>
          <w:b w:val="false"/>
          <w:i w:val="false"/>
          <w:color w:val="000000"/>
          <w:sz w:val="28"/>
        </w:rPr>
        <w:t>      (b) Любой запрос о конвертации в соответствии с пунктом (a)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p>
      <w:pPr>
        <w:spacing w:after="0"/>
        <w:ind w:left="0"/>
        <w:jc w:val="left"/>
      </w:pPr>
      <w:r>
        <w:rPr>
          <w:rFonts w:ascii="Times New Roman"/>
          <w:b/>
          <w:i w:val="false"/>
          <w:color w:val="000000"/>
        </w:rPr>
        <w:t xml:space="preserve"> Статья III</w:t>
      </w:r>
      <w:r>
        <w:br/>
      </w:r>
      <w:r>
        <w:rPr>
          <w:rFonts w:ascii="Times New Roman"/>
          <w:b/>
          <w:i w:val="false"/>
          <w:color w:val="000000"/>
        </w:rPr>
        <w:t>
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p>
    <w:p>
      <w:pPr>
        <w:spacing w:after="0"/>
        <w:ind w:left="0"/>
        <w:jc w:val="both"/>
      </w:pPr>
      <w:r>
        <w:rPr>
          <w:rFonts w:ascii="Times New Roman"/>
          <w:b w:val="false"/>
          <w:i w:val="false"/>
          <w:color w:val="000000"/>
          <w:sz w:val="28"/>
        </w:rPr>
        <w:t>      Раздел 3.02. Все средства займа должны распределяться и изыматься в соответствии с положениями приложения 3 настоящего Соглашения о займе, при этом допустимы периодические изменения в данном приложении по согласованию с заемщиком и АБР.</w:t>
      </w:r>
    </w:p>
    <w:p>
      <w:pPr>
        <w:spacing w:after="0"/>
        <w:ind w:left="0"/>
        <w:jc w:val="both"/>
      </w:pPr>
      <w:r>
        <w:rPr>
          <w:rFonts w:ascii="Times New Roman"/>
          <w:b w:val="false"/>
          <w:i w:val="false"/>
          <w:color w:val="000000"/>
          <w:sz w:val="28"/>
        </w:rPr>
        <w:t>      Раздел 3.03. Если АБР не указано иное, Заемщик проводит или организовывает проведение закупок всех статей расходов в соответствии с применяемыми положениями приложения 4 настоящего Соглашения о займе. АБР вправе отказать в финансировании контракта, по которому все такие статьи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p>
    <w:p>
      <w:pPr>
        <w:spacing w:after="0"/>
        <w:ind w:left="0"/>
        <w:jc w:val="both"/>
      </w:pPr>
      <w:r>
        <w:rPr>
          <w:rFonts w:ascii="Times New Roman"/>
          <w:b w:val="false"/>
          <w:i w:val="false"/>
          <w:color w:val="000000"/>
          <w:sz w:val="28"/>
        </w:rPr>
        <w:t>      Раздел 3.04. Если АБР не согласен на иное, Заемщик обязуется обеспечить, чтобы все статьи расходов, финансируемых за счет средств займа, были использованы исключительно в целях исполнения проекта.</w:t>
      </w:r>
    </w:p>
    <w:p>
      <w:pPr>
        <w:spacing w:after="0"/>
        <w:ind w:left="0"/>
        <w:jc w:val="both"/>
      </w:pPr>
      <w:r>
        <w:rPr>
          <w:rFonts w:ascii="Times New Roman"/>
          <w:b w:val="false"/>
          <w:i w:val="false"/>
          <w:color w:val="000000"/>
          <w:sz w:val="28"/>
        </w:rPr>
        <w:t>      Раздел 3.05. Датой закрытия для снятия средств со счета займа для целей, изложенных в разделе 9.02 Правил предоставления займа, считается 31 октября 2017 года либо такая другая дата, которая может периодически согласовываться между Заемщиком и АБР.</w:t>
      </w:r>
    </w:p>
    <w:p>
      <w:pPr>
        <w:spacing w:after="0"/>
        <w:ind w:left="0"/>
        <w:jc w:val="left"/>
      </w:pPr>
      <w:r>
        <w:rPr>
          <w:rFonts w:ascii="Times New Roman"/>
          <w:b/>
          <w:i w:val="false"/>
          <w:color w:val="000000"/>
        </w:rPr>
        <w:t xml:space="preserve"> СТАТЬЯ IV</w:t>
      </w:r>
      <w:r>
        <w:br/>
      </w:r>
      <w:r>
        <w:rPr>
          <w:rFonts w:ascii="Times New Roman"/>
          <w:b/>
          <w:i w:val="false"/>
          <w:color w:val="000000"/>
        </w:rPr>
        <w:t>
Особые условия</w:t>
      </w:r>
    </w:p>
    <w:p>
      <w:pPr>
        <w:spacing w:after="0"/>
        <w:ind w:left="0"/>
        <w:jc w:val="both"/>
      </w:pPr>
      <w:r>
        <w:rPr>
          <w:rFonts w:ascii="Times New Roman"/>
          <w:b w:val="false"/>
          <w:i w:val="false"/>
          <w:color w:val="000000"/>
          <w:sz w:val="28"/>
        </w:rPr>
        <w:t xml:space="preserve">      Раздел 4.01. (a) Заемщик обязуется обеспечить исполнение проекта с должной ответственностью и эффективностью и в соответствии с рациональными инженерными, финансовыми, экономическими и правовыми практиками, а также практиками развития. </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приложении 5 настоящего Соглашения о займе.</w:t>
      </w:r>
    </w:p>
    <w:p>
      <w:pPr>
        <w:spacing w:after="0"/>
        <w:ind w:left="0"/>
        <w:jc w:val="both"/>
      </w:pP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эксплуатации и технического обслуживания проектных объектов.</w:t>
      </w:r>
    </w:p>
    <w:p>
      <w:pPr>
        <w:spacing w:after="0"/>
        <w:ind w:left="0"/>
        <w:jc w:val="both"/>
      </w:pPr>
      <w:r>
        <w:rPr>
          <w:rFonts w:ascii="Times New Roman"/>
          <w:b w:val="false"/>
          <w:i w:val="false"/>
          <w:color w:val="000000"/>
          <w:sz w:val="28"/>
        </w:rPr>
        <w:t>      Раздел 4.03. (a) В процессе реализации проекта Заемщик обязуется обеспечить найм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проектными решениями, спецификациями, графиками работ и строительными методами, приемлемыми для Заемщика и АБР. Заемщик обязуется предоставить либо обеспечить предоставление АБР незамедлительно после их подготовки данных планов, проектных решений,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p>
    <w:p>
      <w:pPr>
        <w:spacing w:after="0"/>
        <w:ind w:left="0"/>
        <w:jc w:val="both"/>
      </w:pPr>
      <w:r>
        <w:rPr>
          <w:rFonts w:ascii="Times New Roman"/>
          <w:b w:val="false"/>
          <w:i w:val="false"/>
          <w:color w:val="000000"/>
          <w:sz w:val="28"/>
        </w:rPr>
        <w:t>      Раздел 4.04. Заемщик обязуется убедиться в том,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применимым законодательством Заемщика и рациональными административной политикой и процедурами.</w:t>
      </w:r>
    </w:p>
    <w:p>
      <w:pPr>
        <w:spacing w:after="0"/>
        <w:ind w:left="0"/>
        <w:jc w:val="both"/>
      </w:pPr>
      <w:r>
        <w:rPr>
          <w:rFonts w:ascii="Times New Roman"/>
          <w:b w:val="false"/>
          <w:i w:val="false"/>
          <w:color w:val="000000"/>
          <w:sz w:val="28"/>
        </w:rPr>
        <w:t>      Раздел 4.05. (a) Заемщик обязуется (i) вести отдельные счета и отчетности для проекта; (ii) подготовить годовую финансовую отчетность по проекту в соответствии с принципами бухгалтерского учета, приемлемыми для АБР; (iii) проводить ежегодный аудит финансовых отчетов независимыми аудиторами, чьи квалификация, опыт работы и сфера компетенции отвечают требованиям АБР в соответствии с международными стандартами аудита или национальными стандартами, приемлемыми для АБР; (iv) в рамках каждого такого аудита аудиторы должны подготовить отчет (в том числе заключение аудитора об использовании средств займа) и письмо руководству (в котором излагаются недостатки во внутреннем контроле проектов, которые были выявлены в ходе проверки, если таковые имеются); и (v) предоставить АБР в срок не позже чем по истечении шести месяцев с момента окончания каждого соответствующего фискального года копии финансовых отчетов, прошедших аудит, отчет аудиторов и письмо руководству на английском языке; а также прочую информацию, имеющую отношение к данным документам и аудиту по периодическому обоснованному требованию АБР.</w:t>
      </w:r>
      <w:r>
        <w:br/>
      </w:r>
      <w:r>
        <w:rPr>
          <w:rFonts w:ascii="Times New Roman"/>
          <w:b w:val="false"/>
          <w:i w:val="false"/>
          <w:color w:val="000000"/>
          <w:sz w:val="28"/>
        </w:rPr>
        <w:t>
      (b) АБР обязуется раскрывать годовую аудированную финансовую отчетность по проекту и заключение аудитора о финансовой отчетности в течение 30 дней с даты их получения, публикуя их на веб-сайте АБР.</w:t>
      </w:r>
      <w:r>
        <w:br/>
      </w:r>
      <w:r>
        <w:rPr>
          <w:rFonts w:ascii="Times New Roman"/>
          <w:b w:val="false"/>
          <w:i w:val="false"/>
          <w:color w:val="000000"/>
          <w:sz w:val="28"/>
        </w:rPr>
        <w:t>
      (c) Заемщик обязуется предоставить АБР право по требованию АБР обсуждать финансовые отчеты для проекта и финансовые дела Заемщика, имеющие отношение к проекту, с аудиторами, нанятыми Заемщиком в соответствии с вышеуказанным подразделом (a), (iii) и обязуется уполномочить и потребовать, чтобы любой из представителей аудиторов принял участие в данном обсуждении во время таких аудитов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p>
    <w:p>
      <w:pPr>
        <w:spacing w:after="0"/>
        <w:ind w:left="0"/>
        <w:jc w:val="both"/>
      </w:pP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а также любые соответствующие записи и документы.</w:t>
      </w:r>
    </w:p>
    <w:p>
      <w:pPr>
        <w:spacing w:after="0"/>
        <w:ind w:left="0"/>
        <w:jc w:val="both"/>
      </w:pP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с рациональными инженерными, финансовыми и коммерческими практиками, практиками развития, а также в соответствии с процедурами эксплуатации и технического обслуживания дорог.</w:t>
      </w:r>
    </w:p>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Раздел 5.01. Дата по истечении 90 (девяносто)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left"/>
      </w:pPr>
      <w:r>
        <w:rPr>
          <w:rFonts w:ascii="Times New Roman"/>
          <w:b/>
          <w:i w:val="false"/>
          <w:color w:val="000000"/>
        </w:rPr>
        <w:t xml:space="preserve"> СТАТЬЯ VI</w:t>
      </w:r>
      <w:r>
        <w:br/>
      </w:r>
      <w:r>
        <w:rPr>
          <w:rFonts w:ascii="Times New Roman"/>
          <w:b/>
          <w:i w:val="false"/>
          <w:color w:val="000000"/>
        </w:rPr>
        <w:t>
Прочие положения</w:t>
      </w:r>
    </w:p>
    <w:p>
      <w:pPr>
        <w:spacing w:after="0"/>
        <w:ind w:left="0"/>
        <w:jc w:val="both"/>
      </w:pPr>
      <w:r>
        <w:rPr>
          <w:rFonts w:ascii="Times New Roman"/>
          <w:b w:val="false"/>
          <w:i w:val="false"/>
          <w:color w:val="000000"/>
          <w:sz w:val="28"/>
        </w:rPr>
        <w:t xml:space="preserve">      Раздел 6.01. Министр финансов Заемщика выступает в качестве представителя Заемщика для целей, изложенных в разделе 12.02 Правил предоставления займа. </w:t>
      </w:r>
    </w:p>
    <w:p>
      <w:pPr>
        <w:spacing w:after="0"/>
        <w:ind w:left="0"/>
        <w:jc w:val="both"/>
      </w:pP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p>
    <w:p>
      <w:pPr>
        <w:spacing w:after="0"/>
        <w:ind w:left="0"/>
        <w:jc w:val="both"/>
      </w:pP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xml:space="preserve">
            (632) 636-2428. </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 </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_____________________________</w:t>
      </w:r>
      <w:r>
        <w:br/>
      </w: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Описание проекта</w:t>
      </w:r>
    </w:p>
    <w:p>
      <w:pPr>
        <w:spacing w:after="0"/>
        <w:ind w:left="0"/>
        <w:jc w:val="both"/>
      </w:pPr>
      <w:r>
        <w:rPr>
          <w:rFonts w:ascii="Times New Roman"/>
          <w:b w:val="false"/>
          <w:i w:val="false"/>
          <w:color w:val="000000"/>
          <w:sz w:val="28"/>
        </w:rPr>
        <w:t>      1. Целью Инвестиционной программы является увеличение транспортного сообщения и эффективности, а также институциональной эффективности за счет следующих мероприятий: (а) развитие дорог (реконструкция около 790 км участков дорог транспортного коридора ЦАРЭС 2 в Мангистауской области), (b) укрепление потенциала в области планирования, управления проектами и управления активами и (c) совершенствование приграничной инфраструктуры и объектов.</w:t>
      </w:r>
      <w:r>
        <w:br/>
      </w:r>
      <w:r>
        <w:rPr>
          <w:rFonts w:ascii="Times New Roman"/>
          <w:b w:val="false"/>
          <w:i w:val="false"/>
          <w:color w:val="000000"/>
          <w:sz w:val="28"/>
        </w:rPr>
        <w:t>
      2. В рамках Инвестиционной программы проект направлен на увеличение транспортного сообщения и эффективности в Мангистауской области.</w:t>
      </w:r>
      <w:r>
        <w:br/>
      </w:r>
      <w:r>
        <w:rPr>
          <w:rFonts w:ascii="Times New Roman"/>
          <w:b w:val="false"/>
          <w:i w:val="false"/>
          <w:color w:val="000000"/>
          <w:sz w:val="28"/>
        </w:rPr>
        <w:t>
      3. Проект включает в себя следующие компоненты:</w:t>
      </w:r>
      <w:r>
        <w:br/>
      </w:r>
      <w:r>
        <w:rPr>
          <w:rFonts w:ascii="Times New Roman"/>
          <w:b w:val="false"/>
          <w:i w:val="false"/>
          <w:color w:val="000000"/>
          <w:sz w:val="28"/>
        </w:rPr>
        <w:t>
      (a) реконструкцию участка дороги протяженностью около 170 км (от 632,3 Км до 802 Км) между населенным пунктом Шетпе и городом Актау; и</w:t>
      </w:r>
      <w:r>
        <w:br/>
      </w:r>
      <w:r>
        <w:rPr>
          <w:rFonts w:ascii="Times New Roman"/>
          <w:b w:val="false"/>
          <w:i w:val="false"/>
          <w:color w:val="000000"/>
          <w:sz w:val="28"/>
        </w:rPr>
        <w:t xml:space="preserve">
      (b) надзор за строительством; </w:t>
      </w:r>
      <w:r>
        <w:br/>
      </w:r>
      <w:r>
        <w:rPr>
          <w:rFonts w:ascii="Times New Roman"/>
          <w:b w:val="false"/>
          <w:i w:val="false"/>
          <w:color w:val="000000"/>
          <w:sz w:val="28"/>
        </w:rPr>
        <w:t>
которые подробно представлены в периодическом запросе на финансирование.</w:t>
      </w:r>
      <w:r>
        <w:br/>
      </w:r>
      <w:r>
        <w:rPr>
          <w:rFonts w:ascii="Times New Roman"/>
          <w:b w:val="false"/>
          <w:i w:val="false"/>
          <w:color w:val="000000"/>
          <w:sz w:val="28"/>
        </w:rPr>
        <w:t>
      4. Завершение проекта ожидается к 30 апреля 2017 года.</w:t>
      </w:r>
    </w:p>
    <w:p>
      <w:pPr>
        <w:spacing w:after="0"/>
        <w:ind w:left="0"/>
        <w:jc w:val="left"/>
      </w:pPr>
      <w:r>
        <w:rPr>
          <w:rFonts w:ascii="Times New Roman"/>
          <w:b/>
          <w:i w:val="false"/>
          <w:color w:val="000000"/>
        </w:rPr>
        <w:t xml:space="preserve"> ПРИЛОЖЕНИЕ 2 График погашения займа (Инвестиционная программа по автодорогам Коридора ЦАРЭС 2</w:t>
      </w:r>
      <w:r>
        <w:br/>
      </w:r>
      <w:r>
        <w:rPr>
          <w:rFonts w:ascii="Times New Roman"/>
          <w:b/>
          <w:i w:val="false"/>
          <w:color w:val="000000"/>
        </w:rPr>
        <w:t>
[участки в Мангистауской области] – Проект 2)</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(a)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валюты.</w:t>
      </w:r>
    </w:p>
    <w:p>
      <w:pPr>
        <w:spacing w:after="0"/>
        <w:ind w:left="0"/>
        <w:jc w:val="both"/>
      </w:pPr>
      <w:r>
        <w:rPr>
          <w:rFonts w:ascii="Times New Roman"/>
          <w:b w:val="false"/>
          <w:i w:val="false"/>
          <w:color w:val="000000"/>
          <w:sz w:val="28"/>
        </w:rPr>
        <w:t>        Дата платежа             Очередной взнос</w:t>
      </w:r>
      <w:r>
        <w:br/>
      </w:r>
      <w:r>
        <w:rPr>
          <w:rFonts w:ascii="Times New Roman"/>
          <w:b w:val="false"/>
          <w:i w:val="false"/>
          <w:color w:val="000000"/>
          <w:sz w:val="28"/>
        </w:rPr>
        <w:t>
                                 (выраженный в %)</w:t>
      </w:r>
    </w:p>
    <w:tbl>
      <w:tblPr>
        <w:tblW w:w="0" w:type="auto"/>
        <w:tblCellSpacing w:w="0" w:type="auto"/>
        <w:tblBorders>
          <w:top w:val="none"/>
          <w:left w:val="none"/>
          <w:bottom w:val="none"/>
          <w:right w:val="none"/>
          <w:insideH w:val="none"/>
          <w:insideV w:val="none"/>
        </w:tblBorders>
      </w:tblPr>
      <w:tblGrid>
        <w:gridCol w:w="4280"/>
        <w:gridCol w:w="1400"/>
        <w:gridCol w:w="5440"/>
      </w:tblGrid>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2022</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2023</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2023</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2024</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2024</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2025</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2025</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2026</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2026</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2027</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2027</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2028</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2028</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2029</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2029</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2030</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2030</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2031</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2031</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апреля 2032</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2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октября 2032</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3.333343</w:t>
            </w:r>
          </w:p>
        </w:tc>
      </w:tr>
      <w:tr>
        <w:trPr>
          <w:trHeight w:val="2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xml:space="preserve">      2. Если средства займа не были в полном объеме востребованы на момент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 </w:t>
      </w:r>
      <w:r>
        <w:br/>
      </w:r>
      <w:r>
        <w:rPr>
          <w:rFonts w:ascii="Times New Roman"/>
          <w:b w:val="false"/>
          <w:i w:val="false"/>
          <w:color w:val="000000"/>
          <w:sz w:val="28"/>
        </w:rPr>
        <w:t>
      (a) В той степени, в которой любые средства займа, которые следовало востребовать на момент первой даты платежа в погашение основного займа, Заемщик обязуется выплатить сумму, востребованную и невостребованную,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left"/>
      </w:pPr>
      <w:r>
        <w:rPr>
          <w:rFonts w:ascii="Times New Roman"/>
          <w:b/>
          <w:i w:val="false"/>
          <w:color w:val="000000"/>
        </w:rPr>
        <w:t xml:space="preserve"> ПРИЛОЖЕНИЕ 3 Распределение и снятие средств займа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в настоящем приложении излагает категории статей расходов, финансируемых за счет средств займа, а также распределение сумм займа для каждой такой категории (в дальнейшем именуется «Таблица»). (Упоминание понятий «Категория» в настоящем приложении относится к категории таблицы).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Основание для снятия средств со счета займа</w:t>
      </w:r>
    </w:p>
    <w:p>
      <w:pPr>
        <w:spacing w:after="0"/>
        <w:ind w:left="0"/>
        <w:jc w:val="both"/>
      </w:pPr>
      <w:r>
        <w:rPr>
          <w:rFonts w:ascii="Times New Roman"/>
          <w:b w:val="false"/>
          <w:i w:val="false"/>
          <w:color w:val="000000"/>
          <w:sz w:val="28"/>
        </w:rPr>
        <w:t>      2. Если АБР не согласовано иное, каждая из статей расходов будет финансироваться за счет средств займа на основе процентных значений, указанных в таблице.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p>
    <w:p>
      <w:pPr>
        <w:spacing w:after="0"/>
        <w:ind w:left="0"/>
        <w:jc w:val="both"/>
      </w:pP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p>
      <w:pPr>
        <w:spacing w:after="0"/>
        <w:ind w:left="0"/>
        <w:jc w:val="both"/>
      </w:pPr>
      <w:r>
        <w:rPr>
          <w:rFonts w:ascii="Times New Roman"/>
          <w:b w:val="false"/>
          <w:i w:val="false"/>
          <w:color w:val="000000"/>
          <w:sz w:val="28"/>
        </w:rPr>
        <w:t>      4. Если АБР не согласовано иное, средства займа подлежат выплате в соответствии со справочником по выплате средств займа АБР.</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3407"/>
        <w:gridCol w:w="3550"/>
        <w:gridCol w:w="5704"/>
      </w:tblGrid>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И СНЯТИЕ СРЕДСТВ ЗАЙМА </w:t>
            </w:r>
            <w:r>
              <w:br/>
            </w:r>
            <w:r>
              <w:rPr>
                <w:rFonts w:ascii="Times New Roman"/>
                <w:b w:val="false"/>
                <w:i w:val="false"/>
                <w:color w:val="000000"/>
                <w:sz w:val="20"/>
              </w:rPr>
              <w:t xml:space="preserve">
(Инвестиционная программа по автодорогам Коридора ЦАРЭС 2 </w:t>
            </w:r>
            <w:r>
              <w:br/>
            </w:r>
            <w:r>
              <w:rPr>
                <w:rFonts w:ascii="Times New Roman"/>
                <w:b w:val="false"/>
                <w:i w:val="false"/>
                <w:color w:val="000000"/>
                <w:sz w:val="20"/>
              </w:rPr>
              <w:t>
[участки в Мангистауской области] – Проект 2)</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финансирования АБР </w:t>
            </w:r>
          </w:p>
        </w:tc>
      </w:tr>
      <w:tr>
        <w:trPr>
          <w:trHeight w:val="465"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распределенная для финансирования АБР</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снятия со счета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(долл.США)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333 300 000</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общей запрашиваемой суммы затрат *</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Консалтинговые услуги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от общей запрашиваемой суммы затрат *</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 средства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33 300 000</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371 300 000</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*Без учета налога на добавленную стоимость, взимаемого на территории Заемщика.</w:t>
      </w:r>
    </w:p>
    <w:p>
      <w:pPr>
        <w:spacing w:after="0"/>
        <w:ind w:left="0"/>
        <w:jc w:val="left"/>
      </w:pPr>
      <w:r>
        <w:rPr>
          <w:rFonts w:ascii="Times New Roman"/>
          <w:b/>
          <w:i w:val="false"/>
          <w:color w:val="000000"/>
        </w:rPr>
        <w:t xml:space="preserve"> ПРИЛОЖЕНИЕ 4 Закупка работ и консалтинговых услуг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Закупка работ и консалтинговых услуг подлежит исполнению и контролю в соответствии с руководством по закупкам и руководством по привлечению консультантов, соответственно.</w:t>
      </w:r>
      <w:r>
        <w:br/>
      </w:r>
      <w:r>
        <w:rPr>
          <w:rFonts w:ascii="Times New Roman"/>
          <w:b w:val="false"/>
          <w:i w:val="false"/>
          <w:color w:val="000000"/>
          <w:sz w:val="28"/>
        </w:rPr>
        <w:t xml:space="preserve">
      2. Все термины, используемые в этом приложении и не определенные по другому в настоящем Соглашении о займе, определяются в руководстве по закупкам и (или) руководстве по привлечению консультантов в соответствующих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Закупка работ</w:t>
      </w:r>
    </w:p>
    <w:p>
      <w:pPr>
        <w:spacing w:after="0"/>
        <w:ind w:left="0"/>
        <w:jc w:val="both"/>
      </w:pPr>
      <w:r>
        <w:rPr>
          <w:rFonts w:ascii="Times New Roman"/>
          <w:b w:val="false"/>
          <w:i w:val="false"/>
          <w:color w:val="000000"/>
          <w:sz w:val="28"/>
        </w:rPr>
        <w:t>      3. Если АБР не согласовано иное, работы будут приобретаться на основе международных конкурсных торгов.</w:t>
      </w:r>
      <w:r>
        <w:br/>
      </w:r>
      <w:r>
        <w:rPr>
          <w:rFonts w:ascii="Times New Roman"/>
          <w:b w:val="false"/>
          <w:i w:val="false"/>
          <w:color w:val="000000"/>
          <w:sz w:val="28"/>
        </w:rPr>
        <w:t xml:space="preserve">
      4. Процедура закупок, помимо прочих условий, подлежит исполнению в соответствии с детальными договоренностями и пороговыми стоимостями, указанными в плане закупок. Заемщик вправе модифицировать процедуру закупок или пороговые стоимости только при условии предварительного согласования с АБР, при этом все изменения должны отражаться в дополнениях к плану закупок.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Условия по присуждению контракта</w:t>
      </w:r>
    </w:p>
    <w:p>
      <w:pPr>
        <w:spacing w:after="0"/>
        <w:ind w:left="0"/>
        <w:jc w:val="both"/>
      </w:pPr>
      <w:r>
        <w:rPr>
          <w:rFonts w:ascii="Times New Roman"/>
          <w:b w:val="false"/>
          <w:i w:val="false"/>
          <w:color w:val="000000"/>
          <w:sz w:val="28"/>
        </w:rPr>
        <w:t>      5. Заемщик не должен присуждать контракты на работы, включающие воздействие на окружающую среду, до тех пор пока:</w:t>
      </w:r>
      <w:r>
        <w:br/>
      </w:r>
      <w:r>
        <w:rPr>
          <w:rFonts w:ascii="Times New Roman"/>
          <w:b w:val="false"/>
          <w:i w:val="false"/>
          <w:color w:val="000000"/>
          <w:sz w:val="28"/>
        </w:rPr>
        <w:t>
      (а) завершенная ОВОС не была одобрена соответствующими органами Заемщика; и</w:t>
      </w:r>
      <w:r>
        <w:br/>
      </w:r>
      <w:r>
        <w:rPr>
          <w:rFonts w:ascii="Times New Roman"/>
          <w:b w:val="false"/>
          <w:i w:val="false"/>
          <w:color w:val="000000"/>
          <w:sz w:val="28"/>
        </w:rPr>
        <w:t>
      (b) пока Заемщик не включит соответствующие положения из ПУОС в контракт на работы.</w:t>
      </w:r>
      <w:r>
        <w:br/>
      </w:r>
      <w:r>
        <w:rPr>
          <w:rFonts w:ascii="Times New Roman"/>
          <w:b w:val="false"/>
          <w:i w:val="false"/>
          <w:color w:val="000000"/>
          <w:sz w:val="28"/>
        </w:rPr>
        <w:t>
      6. Заемщик не должен заключать контракты на работы, которые включают принудительное переселение, до того как Заемщик не подготовит и представит АБР окончательный ПВЗП на основе рабочего проекта и не получит одобрение АБР такого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Консалтинговые услуги</w:t>
      </w:r>
    </w:p>
    <w:p>
      <w:pPr>
        <w:spacing w:after="0"/>
        <w:ind w:left="0"/>
        <w:jc w:val="both"/>
      </w:pPr>
      <w:r>
        <w:rPr>
          <w:rFonts w:ascii="Times New Roman"/>
          <w:b w:val="false"/>
          <w:i w:val="false"/>
          <w:color w:val="000000"/>
          <w:sz w:val="28"/>
        </w:rPr>
        <w:t xml:space="preserve">      7. Если АБР не указано иное, Заемщик будет использовать метод отбора на основе соотношения качества и цены при отборе и привлечении консалтинговых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Права на промышленную или интеллектуальную собственность</w:t>
      </w:r>
    </w:p>
    <w:p>
      <w:pPr>
        <w:spacing w:after="0"/>
        <w:ind w:left="0"/>
        <w:jc w:val="both"/>
      </w:pPr>
      <w:r>
        <w:rPr>
          <w:rFonts w:ascii="Times New Roman"/>
          <w:b w:val="false"/>
          <w:i w:val="false"/>
          <w:color w:val="000000"/>
          <w:sz w:val="28"/>
        </w:rPr>
        <w:t>      8. (a) Заемщик обязуется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не ущемляли любое право третьих лиц на промышленную или интеллектуальную собственность.</w:t>
      </w:r>
      <w:r>
        <w:br/>
      </w:r>
      <w:r>
        <w:rPr>
          <w:rFonts w:ascii="Times New Roman"/>
          <w:b w:val="false"/>
          <w:i w:val="false"/>
          <w:color w:val="000000"/>
          <w:sz w:val="28"/>
        </w:rPr>
        <w:t>
      (b) Заемщик обязуется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(a) настоящего пункта.</w:t>
      </w:r>
      <w:r>
        <w:br/>
      </w:r>
      <w:r>
        <w:rPr>
          <w:rFonts w:ascii="Times New Roman"/>
          <w:b w:val="false"/>
          <w:i w:val="false"/>
          <w:color w:val="000000"/>
          <w:sz w:val="28"/>
        </w:rPr>
        <w:t>
      9. Заемщик обязуется убедиться в том, что все контракты с консультантами, финансируемыми АБР, содержат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или не ущемляют права или требования права третьих лиц на промышленную или интеллектуальную собственность.</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Рассмотрение АБР решений о закупках</w:t>
      </w:r>
    </w:p>
    <w:p>
      <w:pPr>
        <w:spacing w:after="0"/>
        <w:ind w:left="0"/>
        <w:jc w:val="both"/>
      </w:pPr>
      <w:r>
        <w:rPr>
          <w:rFonts w:ascii="Times New Roman"/>
          <w:b w:val="false"/>
          <w:i w:val="false"/>
          <w:color w:val="000000"/>
          <w:sz w:val="28"/>
        </w:rPr>
        <w:t>      10. Все контракты, приобретаемые в соответствии с международными конкурсными процедурами, и контракты по консалтинговым услугам подлежат предварительному рассмотрению АБР, если иное не оговорено между Заемщиком и АБР и не указано в плане закупок.</w:t>
      </w:r>
      <w:r>
        <w:br/>
      </w:r>
      <w:r>
        <w:rPr>
          <w:rFonts w:ascii="Times New Roman"/>
          <w:b w:val="false"/>
          <w:i w:val="false"/>
          <w:color w:val="000000"/>
          <w:sz w:val="28"/>
        </w:rPr>
        <w:t>
      11. В отношении контракта на выполнение работ, который должен быть заранее представлен АБР для ознакомления, Заемщик получает предварительное одобрение АБР на любые изменения или отказ по условиям контракта, в том числе:</w:t>
      </w:r>
      <w:r>
        <w:br/>
      </w:r>
      <w:r>
        <w:rPr>
          <w:rFonts w:ascii="Times New Roman"/>
          <w:b w:val="false"/>
          <w:i w:val="false"/>
          <w:color w:val="000000"/>
          <w:sz w:val="28"/>
        </w:rPr>
        <w:t>
      (a) продление установленного периода на завершение работ по контракту на период 1 месяца или более, или возможный перенос на более поздний срок даты закрытия для снятия средств со счета займа;</w:t>
      </w:r>
      <w:r>
        <w:br/>
      </w:r>
      <w:r>
        <w:rPr>
          <w:rFonts w:ascii="Times New Roman"/>
          <w:b w:val="false"/>
          <w:i w:val="false"/>
          <w:color w:val="000000"/>
          <w:sz w:val="28"/>
        </w:rPr>
        <w:t>
      (b) общая сумма увеличения первоначальной цены на более, чем 5 % (во избежание сомнений, такое увеличение должно учитывать все предыдущие изменения по данному контракту).</w:t>
      </w:r>
      <w:r>
        <w:br/>
      </w:r>
      <w:r>
        <w:rPr>
          <w:rFonts w:ascii="Times New Roman"/>
          <w:b w:val="false"/>
          <w:i w:val="false"/>
          <w:color w:val="000000"/>
          <w:sz w:val="28"/>
        </w:rPr>
        <w:t>
      12. В случае контракта на выполнение работ, который представляется в АБР для ознакомления, АБР рассматривает вопрос о внесении необходимых изменений в контракт или отказе от контракта и представляет ответ Заемщику в кратчайшие сроки, но не позднее 1 месяца после получения необходимого документа.</w:t>
      </w:r>
      <w:r>
        <w:br/>
      </w:r>
      <w:r>
        <w:rPr>
          <w:rFonts w:ascii="Times New Roman"/>
          <w:b w:val="false"/>
          <w:i w:val="false"/>
          <w:color w:val="000000"/>
          <w:sz w:val="28"/>
        </w:rPr>
        <w:t>
      13. Заемщик представляет в АБР копии всех документов по продлению сроков, изменениям и отступлениям от положений контрактов (включая изменения) в течение 1 месяца после внесения поправок в контракт.</w:t>
      </w:r>
    </w:p>
    <w:p>
      <w:pPr>
        <w:spacing w:after="0"/>
        <w:ind w:left="0"/>
        <w:jc w:val="left"/>
      </w:pPr>
      <w:r>
        <w:rPr>
          <w:rFonts w:ascii="Times New Roman"/>
          <w:b/>
          <w:i w:val="false"/>
          <w:color w:val="000000"/>
        </w:rPr>
        <w:t xml:space="preserve"> ПРИЛОЖЕНИЕ 5 Исполнение проекта; финансовые вопросы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Порядок реализации</w:t>
      </w:r>
    </w:p>
    <w:p>
      <w:pPr>
        <w:spacing w:after="0"/>
        <w:ind w:left="0"/>
        <w:jc w:val="both"/>
      </w:pPr>
      <w:r>
        <w:rPr>
          <w:rFonts w:ascii="Times New Roman"/>
          <w:b w:val="false"/>
          <w:i w:val="false"/>
          <w:color w:val="000000"/>
          <w:sz w:val="28"/>
        </w:rPr>
        <w:t xml:space="preserve">      1. Заемщик и МТК обязаны гарантировать, что проект реализуется в соответствии с определенными мероприятиями, изложенными в РАМ. Любые последующие изменения в РАМ вступают в силу только после утверждения таких изменений Заемщиком и АБР. В случае любого несоответствия между РАМ и настоящим Соглашением о займе, положения настоящего Соглашения о займе будут иметь преимущественную силу.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xml:space="preserve">      2. Заемщик должен поручить МТК гарантировать, что подготовка, проектирование, строительство, реализация, эксплуатация и вывод из эксплуатации проекта и всех проектных объектов соответствуют: (a) всем применимым законам и нормативным актам Заемщика, связанным с окружающей средой, здоровьем и безопасностью, (b) защитным мерам по окружающей среде, (с) РДООС; и (d) всем мерам и требованиям, изложенным в ОВОС и ПУОС, и любым корректирующим или превентивным действиям, изложенным в отчете по мониторингу защитных мер.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Выкуп земель и вынужденное переселение</w:t>
      </w:r>
    </w:p>
    <w:p>
      <w:pPr>
        <w:spacing w:after="0"/>
        <w:ind w:left="0"/>
        <w:jc w:val="both"/>
      </w:pPr>
      <w:r>
        <w:rPr>
          <w:rFonts w:ascii="Times New Roman"/>
          <w:b w:val="false"/>
          <w:i w:val="false"/>
          <w:color w:val="000000"/>
          <w:sz w:val="28"/>
        </w:rPr>
        <w:t>      3. Заемщик поручит местным исполнительным органам и МТК убедиться в том, что все земельные участки и полоса отвода, необходимые для проекта и проектных объектов, доступны для выполнения работ по контракту в соответствии с согласованным графиком в соответствующем контракте на работы, и все приобретенные земли и мероприятия по переселению осуществляются в соответствии с (a) всеми применимыми законами и нормативными актами Заемщика, связанными с приобретением земли и вынужденным переселением, (b) политикой в области вынужденного переселения, (c) РДВЗП; а также (d) всеми мерами и требованиями, изложенными в ПВЗП, а также любыми корректирующими или превентивными мерами, изложенными в отчетах по мониторингу защитных мер.</w:t>
      </w:r>
      <w:r>
        <w:br/>
      </w:r>
      <w:r>
        <w:rPr>
          <w:rFonts w:ascii="Times New Roman"/>
          <w:b w:val="false"/>
          <w:i w:val="false"/>
          <w:color w:val="000000"/>
          <w:sz w:val="28"/>
        </w:rPr>
        <w:t>
      4. Не ограничивая применение политики в области вынужденного переселения, РДВЗП или ПВЗП, Заемщик поручит местным исполнительным органам и МТК обеспечить, чтобы ни физическое, ни экономическое переселение не имело место в связи с проектом, пока:</w:t>
      </w:r>
      <w:r>
        <w:br/>
      </w:r>
      <w:r>
        <w:rPr>
          <w:rFonts w:ascii="Times New Roman"/>
          <w:b w:val="false"/>
          <w:i w:val="false"/>
          <w:color w:val="000000"/>
          <w:sz w:val="28"/>
        </w:rPr>
        <w:t>
      (а) компенсации или другие выплаты были предоставлены пострадавшим в соответствии с ПВЗП; а также</w:t>
      </w:r>
      <w:r>
        <w:br/>
      </w:r>
      <w:r>
        <w:rPr>
          <w:rFonts w:ascii="Times New Roman"/>
          <w:b w:val="false"/>
          <w:i w:val="false"/>
          <w:color w:val="000000"/>
          <w:sz w:val="28"/>
        </w:rPr>
        <w:t>
      (b) программа совокупного дохода и средства для существования были созданы в соответствии с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Местное население</w:t>
      </w:r>
    </w:p>
    <w:p>
      <w:pPr>
        <w:spacing w:after="0"/>
        <w:ind w:left="0"/>
        <w:jc w:val="both"/>
      </w:pPr>
      <w:r>
        <w:rPr>
          <w:rFonts w:ascii="Times New Roman"/>
          <w:b w:val="false"/>
          <w:i w:val="false"/>
          <w:color w:val="000000"/>
          <w:sz w:val="28"/>
        </w:rPr>
        <w:t>      5. Заемщик должен поручить местным исполнительным органам и МТК гарантировать, что проект не оказывает какого-либо воздействия на местное население в понимании ПМЗ. Если такое воздействие имеет место, то Заемщик должен поручить МТК подготовить, раскрыть и реализовывать план по местному населению в соответствии со всеми применимыми законами и правилами Заемщика, связанными с местным населением и ПЗМ.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Человеческие и финансовые ресурсы по реализации требований защитных мер</w:t>
      </w:r>
    </w:p>
    <w:p>
      <w:pPr>
        <w:spacing w:after="0"/>
        <w:ind w:left="0"/>
        <w:jc w:val="both"/>
      </w:pPr>
      <w:r>
        <w:rPr>
          <w:rFonts w:ascii="Times New Roman"/>
          <w:b w:val="false"/>
          <w:i w:val="false"/>
          <w:color w:val="000000"/>
          <w:sz w:val="28"/>
        </w:rPr>
        <w:t>      6. Заемщик обеспечивает наличие необходимых бюджетных и человеческих ресурсов для полного осуществления ПУОС и ПВЗП.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Положения, касающиеся защитных мер, в тендерной документации и контрактах на работы</w:t>
      </w:r>
    </w:p>
    <w:p>
      <w:pPr>
        <w:spacing w:after="0"/>
        <w:ind w:left="0"/>
        <w:jc w:val="both"/>
      </w:pPr>
      <w:r>
        <w:rPr>
          <w:rFonts w:ascii="Times New Roman"/>
          <w:b w:val="false"/>
          <w:i w:val="false"/>
          <w:color w:val="000000"/>
          <w:sz w:val="28"/>
        </w:rPr>
        <w:t>      7. Заемщик должен поручить МТК гарантировать, что все тендерные документы и контракты на работы содержат положения, которые обязуют подрядчиков:</w:t>
      </w:r>
      <w:r>
        <w:br/>
      </w:r>
      <w:r>
        <w:rPr>
          <w:rFonts w:ascii="Times New Roman"/>
          <w:b w:val="false"/>
          <w:i w:val="false"/>
          <w:color w:val="000000"/>
          <w:sz w:val="28"/>
        </w:rPr>
        <w:t>
      (a) соблюдать меры, имеющие отношение к подрядчику, изложенные в ОВОС, ПУОС и ПВЗП, и любые корректирующие или превентивные действия, изложенные в отчете по мониторингу защитных мер;</w:t>
      </w:r>
      <w:r>
        <w:br/>
      </w:r>
      <w:r>
        <w:rPr>
          <w:rFonts w:ascii="Times New Roman"/>
          <w:b w:val="false"/>
          <w:i w:val="false"/>
          <w:color w:val="000000"/>
          <w:sz w:val="28"/>
        </w:rPr>
        <w:t>
      (b) предоставлять бюджетные средства на все меры по экологической и социальной защите;</w:t>
      </w:r>
      <w:r>
        <w:br/>
      </w:r>
      <w:r>
        <w:rPr>
          <w:rFonts w:ascii="Times New Roman"/>
          <w:b w:val="false"/>
          <w:i w:val="false"/>
          <w:color w:val="000000"/>
          <w:sz w:val="28"/>
        </w:rPr>
        <w:t>
      (c) представлять МТК письменное уведомление о любых непредвиденных рисках, связанных с экологией, переселением или местным населением, и воздействием, которые возникают в процессе строительства, реализации или эксплуатации проекта и не были рассмотрены в ОВОС, ПУОС и ПВЗП;</w:t>
      </w:r>
      <w:r>
        <w:br/>
      </w:r>
      <w:r>
        <w:rPr>
          <w:rFonts w:ascii="Times New Roman"/>
          <w:b w:val="false"/>
          <w:i w:val="false"/>
          <w:color w:val="000000"/>
          <w:sz w:val="28"/>
        </w:rPr>
        <w:t>
      (d) обеспечивать соответствующую фиксацию документации о состоянии дорог, сельскохозяйственных земель и других объектов инфраструктуры до начала транспортировки материалов и строительства, а также</w:t>
      </w:r>
      <w:r>
        <w:br/>
      </w:r>
      <w:r>
        <w:rPr>
          <w:rFonts w:ascii="Times New Roman"/>
          <w:b w:val="false"/>
          <w:i w:val="false"/>
          <w:color w:val="000000"/>
          <w:sz w:val="28"/>
        </w:rPr>
        <w:t>
      (e) по завершению строительства восстанавливать пути, объекты местной инфраструктуры и сельскохозяйственные земли, по крайней мере, до состояния, в котором они находились до начала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защитных мер и отчетность</w:t>
      </w:r>
    </w:p>
    <w:p>
      <w:pPr>
        <w:spacing w:after="0"/>
        <w:ind w:left="0"/>
        <w:jc w:val="both"/>
      </w:pPr>
      <w:r>
        <w:rPr>
          <w:rFonts w:ascii="Times New Roman"/>
          <w:b w:val="false"/>
          <w:i w:val="false"/>
          <w:color w:val="000000"/>
          <w:sz w:val="28"/>
        </w:rPr>
        <w:t>      8. Заемщик поручает МТК выполнять следующее:</w:t>
      </w:r>
      <w:r>
        <w:br/>
      </w:r>
      <w:r>
        <w:rPr>
          <w:rFonts w:ascii="Times New Roman"/>
          <w:b w:val="false"/>
          <w:i w:val="false"/>
          <w:color w:val="000000"/>
          <w:sz w:val="28"/>
        </w:rPr>
        <w:t>
      (a) представлять в АБР отчеты по мониторингу защитных мер (i) раз в полгода в период строительства и (ii) ежегодно в течение первых 3 лет эксплуатации проектной дороги и раскрывать соответствующую информацию из таких отчетов лицам, чьи интересы затронуты, незамедлительно после представления;</w:t>
      </w:r>
      <w:r>
        <w:br/>
      </w:r>
      <w:r>
        <w:rPr>
          <w:rFonts w:ascii="Times New Roman"/>
          <w:b w:val="false"/>
          <w:i w:val="false"/>
          <w:color w:val="000000"/>
          <w:sz w:val="28"/>
        </w:rPr>
        <w:t>
      (b) если во время строительства или реализации проекта возникают какие-либо социальные риски и/или риски в отношении окружающей среды и воздействия, не предусмотренные в ОВОС, ПУОС и ПВЗП, необходимо своевременно информировать АБР о возникновении подобных рисков или воздействий с представлением подробного описания событий и плана корректирующих действий;</w:t>
      </w:r>
      <w:r>
        <w:br/>
      </w:r>
      <w:r>
        <w:rPr>
          <w:rFonts w:ascii="Times New Roman"/>
          <w:b w:val="false"/>
          <w:i w:val="false"/>
          <w:color w:val="000000"/>
          <w:sz w:val="28"/>
        </w:rPr>
        <w:t>
      (c) обеспечить, что квалифицированные и опытные независимые специалисты, приемлемые для АБР, выбраны и привлечены Заемщиком в рамках первого проекта Инвестиционной программы (заем № 2728) для подтверждения информации, полученной в результате мониторинга проекта, а также содействия проведению любой деятельности по проверке, выполняемой независимыми специалистами, а также</w:t>
      </w:r>
      <w:r>
        <w:br/>
      </w:r>
      <w:r>
        <w:rPr>
          <w:rFonts w:ascii="Times New Roman"/>
          <w:b w:val="false"/>
          <w:i w:val="false"/>
          <w:color w:val="000000"/>
          <w:sz w:val="28"/>
        </w:rPr>
        <w:t>
      (d) сообщать о любых фактических или потенциальных нарушениях соблюдения мер и требований, изложенных в ПУОС или ПВЗП сразу же после того как стало известно о таком нарушении.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Список запрещенных инвестиций</w:t>
      </w:r>
    </w:p>
    <w:p>
      <w:pPr>
        <w:spacing w:after="0"/>
        <w:ind w:left="0"/>
        <w:jc w:val="both"/>
      </w:pPr>
      <w:r>
        <w:rPr>
          <w:rFonts w:ascii="Times New Roman"/>
          <w:b w:val="false"/>
          <w:i w:val="false"/>
          <w:color w:val="000000"/>
          <w:sz w:val="28"/>
        </w:rPr>
        <w:t>      9. Заемщик должен обеспечить, чтобы никакие средства займа не использовались для финансирования какой-либо деятельности, включенной в список запрещенной инвестиционной деятельности, предусмотренной приложением 5 ПМЗ.</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труда и здоровья</w:t>
      </w:r>
    </w:p>
    <w:p>
      <w:pPr>
        <w:spacing w:after="0"/>
        <w:ind w:left="0"/>
        <w:jc w:val="both"/>
      </w:pPr>
      <w:r>
        <w:rPr>
          <w:rFonts w:ascii="Times New Roman"/>
          <w:b w:val="false"/>
          <w:i w:val="false"/>
          <w:color w:val="000000"/>
          <w:sz w:val="28"/>
        </w:rPr>
        <w:t>      10. Заемщик поручает, а МТК обеспечивает, чтобы во все контракты на выполнение работ были включены особые положения, которые обеспечивают (a) соблюдение подрядчиками действующего трудового законодательства и нормативных документов Заемщика; (b) содействие трудоустройству женского и местного населения, в том числе представителей уязвимых групп населения, проживающих в районе реализации проекта; (c) ознакомление работников, выполняющих строительные работы, с информацией о технике безопасности на рабочих площадках; (d) равную оплату труда женщинам и мужчинам, выполняющим одинаковую работу; (e) безопасные условия труда и раздельные места общего пользования для мужчин и женщин, а также (f) неиспользование детского труда. Заемщик поручает МТК обеспечить, чтобы проводился мониторинг всех воздействий социального характера, которые может оказать реализация проекта, и чтобы результаты данного мониторинга представлялись АБР один раз в полгода.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Софинансирование</w:t>
      </w:r>
    </w:p>
    <w:p>
      <w:pPr>
        <w:spacing w:after="0"/>
        <w:ind w:left="0"/>
        <w:jc w:val="both"/>
      </w:pPr>
      <w:r>
        <w:rPr>
          <w:rFonts w:ascii="Times New Roman"/>
          <w:b w:val="false"/>
          <w:i w:val="false"/>
          <w:color w:val="000000"/>
          <w:sz w:val="28"/>
        </w:rPr>
        <w:t>      11.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в МТК. Заемщик обязуется убедиться в том, что МТК включает все измененные потребности в финансировании для реализации проекта, которые были включены в его ежегодных программах развития.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Руководство и борьба с коррупцией</w:t>
      </w:r>
    </w:p>
    <w:p>
      <w:pPr>
        <w:spacing w:after="0"/>
        <w:ind w:left="0"/>
        <w:jc w:val="both"/>
      </w:pPr>
      <w:r>
        <w:rPr>
          <w:rFonts w:ascii="Times New Roman"/>
          <w:b w:val="false"/>
          <w:i w:val="false"/>
          <w:color w:val="000000"/>
          <w:sz w:val="28"/>
        </w:rPr>
        <w:t>      12. Заемщик и МТК обязуются: (a) следовать политике АБР по борьбе с коррупцией (от 1998 года с поправками по настоящее время) и соглашаются,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(b) сотрудничать в полной мере и содействовать любому такому расследованию в необходимой степени для оказания поддержки для удовлетворительного завершения любого такого расследования.</w:t>
      </w:r>
      <w:r>
        <w:br/>
      </w:r>
      <w:r>
        <w:rPr>
          <w:rFonts w:ascii="Times New Roman"/>
          <w:b w:val="false"/>
          <w:i w:val="false"/>
          <w:color w:val="000000"/>
          <w:sz w:val="28"/>
        </w:rPr>
        <w:t>
      13. Заемщик поручит МТК обеспечить, что положения по борьбе с коррупцией, приемлемые для АБР, были включены в тендерные документы и контракты, включая положения, определяющие право АБР проводить аудит и производить проверку записей и счетов всех подрядчиков, поставщиков, консультантов, а также прочих поставщиков услуг, относящихся к проекту.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p>
      <w:pPr>
        <w:spacing w:after="0"/>
        <w:ind w:left="0"/>
        <w:jc w:val="both"/>
      </w:pPr>
      <w:r>
        <w:rPr>
          <w:rFonts w:ascii="Times New Roman"/>
          <w:b w:val="false"/>
          <w:i w:val="false"/>
          <w:color w:val="000000"/>
          <w:sz w:val="28"/>
        </w:rPr>
        <w:t>      14. Заемщик поручит МТК обеспечить, чтобы проект исполнялся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Безопасность дороги</w:t>
      </w:r>
    </w:p>
    <w:p>
      <w:pPr>
        <w:spacing w:after="0"/>
        <w:ind w:left="0"/>
        <w:jc w:val="both"/>
      </w:pPr>
      <w:r>
        <w:rPr>
          <w:rFonts w:ascii="Times New Roman"/>
          <w:b w:val="false"/>
          <w:i w:val="false"/>
          <w:color w:val="000000"/>
          <w:sz w:val="28"/>
        </w:rPr>
        <w:t>      15. Заемщик поручит МТК (a) обеспечить, чтобы все контракты на выполнение работ включали в себя обязательство подрядчика соблюдать меры по обеспечению дорожной безопасности; и (b) проводит мониторинг частоты дорожных происшествий и интенсивность движения в ходе эксплуатации дорожного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Эксплуатация и обслуживание</w:t>
      </w:r>
    </w:p>
    <w:p>
      <w:pPr>
        <w:spacing w:after="0"/>
        <w:ind w:left="0"/>
        <w:jc w:val="both"/>
      </w:pPr>
      <w:r>
        <w:rPr>
          <w:rFonts w:ascii="Times New Roman"/>
          <w:b w:val="false"/>
          <w:i w:val="false"/>
          <w:color w:val="000000"/>
          <w:sz w:val="28"/>
        </w:rPr>
        <w:t xml:space="preserve">      16. Заемщик обеспечит, что проектная дорога должным образом эксплуатируется и обслуживается после завершения проекта.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