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4e5d" w14:textId="cd24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государств-членов Евразийского экономического сообщества в области борьбы с инфекционными болезнями</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2013 года № 1053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борьбы с инфекционными болезнями, совершенное в городе Ялте 28 сентября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октября 2013 года № 1053</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 экономического</w:t>
      </w:r>
      <w:r>
        <w:br/>
      </w:r>
      <w:r>
        <w:rPr>
          <w:rFonts w:ascii="Times New Roman"/>
          <w:b/>
          <w:i w:val="false"/>
          <w:color w:val="000000"/>
        </w:rPr>
        <w:t>
сообщества в области борьбы с инфекционными болезнями</w:t>
      </w:r>
    </w:p>
    <w:bookmarkEnd w:id="2"/>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в целях развития сотрудничества в области профилактики и борьбы с инфекционными болезнями, желая содействовать дальнейшему углублению взаимодействия в области охраны здоровья населения;</w:t>
      </w:r>
      <w:r>
        <w:br/>
      </w:r>
      <w:r>
        <w:rPr>
          <w:rFonts w:ascii="Times New Roman"/>
          <w:b w:val="false"/>
          <w:i w:val="false"/>
          <w:color w:val="000000"/>
          <w:sz w:val="28"/>
        </w:rPr>
        <w:t>
      сознавая целесообразность объединения усилий государств-членов ЕврАзЭС в решении проблем распространения, профилактики и борьбы с инфекционными болезнями,</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Стороны в соответствии с законодательством своих государств осуществляют взаимный обмен:</w:t>
      </w:r>
      <w:r>
        <w:br/>
      </w:r>
      <w:r>
        <w:rPr>
          <w:rFonts w:ascii="Times New Roman"/>
          <w:b w:val="false"/>
          <w:i w:val="false"/>
          <w:color w:val="000000"/>
          <w:sz w:val="28"/>
        </w:rPr>
        <w:t>
      информацией об эпидемиологической ситуации в соответствии с Перечнем сведений об инфекционных болезнях, подлежащих представлению в координирующий центр (учреждение) по мониторингу инфекционных болезней в государствах-членах ЕврАзЭС, согласно приложению с целью дальнейшей разработки и внедрения стандартизированной системы эпидемиологического мониторинга данных инфекционных болезней;</w:t>
      </w:r>
      <w:r>
        <w:br/>
      </w:r>
      <w:r>
        <w:rPr>
          <w:rFonts w:ascii="Times New Roman"/>
          <w:b w:val="false"/>
          <w:i w:val="false"/>
          <w:color w:val="000000"/>
          <w:sz w:val="28"/>
        </w:rPr>
        <w:t>
      штаммами возбудителей, вызывающих инфекции, в соответствии с отдельными международными договорами государств Сторон;</w:t>
      </w:r>
      <w:r>
        <w:br/>
      </w:r>
      <w:r>
        <w:rPr>
          <w:rFonts w:ascii="Times New Roman"/>
          <w:b w:val="false"/>
          <w:i w:val="false"/>
          <w:color w:val="000000"/>
          <w:sz w:val="28"/>
        </w:rPr>
        <w:t>
      специалистами заинтересованных организаций и учреждений государств Сторон и знаниями в области профилактики инфекционных болезней в соответствии с отдельными международными договорами между государствами Сторон.</w:t>
      </w:r>
    </w:p>
    <w:bookmarkStart w:name="z7"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координируют программы, проекты и мероприятия по профилактике и борьбе с гриппом, вызванным высокопатогенным вирусом, туберкулезом, ВИЧ/СПИДом, малярией и другими социально-значимыми инфекционными болезнями;</w:t>
      </w:r>
      <w:r>
        <w:br/>
      </w:r>
      <w:r>
        <w:rPr>
          <w:rFonts w:ascii="Times New Roman"/>
          <w:b w:val="false"/>
          <w:i w:val="false"/>
          <w:color w:val="000000"/>
          <w:sz w:val="28"/>
        </w:rPr>
        <w:t>
      осуществляют гармонизацию нормативных правовых актов в области профилактики и лечения инфекционных заболеваний, в том числе ВИЧ/СПИДа, туберкулеза.</w:t>
      </w:r>
    </w:p>
    <w:bookmarkStart w:name="z8"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обеспечивают доступ к добровольному и конфиденциальному консультированию, тестированию и профилактике ВИЧ/СПИДа граждан государств-членов ЕврАзЭС в соответствии с законодательством государств Сторон;</w:t>
      </w:r>
      <w:r>
        <w:br/>
      </w:r>
      <w:r>
        <w:rPr>
          <w:rFonts w:ascii="Times New Roman"/>
          <w:b w:val="false"/>
          <w:i w:val="false"/>
          <w:color w:val="000000"/>
          <w:sz w:val="28"/>
        </w:rPr>
        <w:t>
      поддерживают межгосударственное сотрудничество в области профилактики и борьбы с инфекционными болезнями в соответствии с законодательством государств-членов ЕврАзЭС;</w:t>
      </w:r>
      <w:r>
        <w:br/>
      </w:r>
      <w:r>
        <w:rPr>
          <w:rFonts w:ascii="Times New Roman"/>
          <w:b w:val="false"/>
          <w:i w:val="false"/>
          <w:color w:val="000000"/>
          <w:sz w:val="28"/>
        </w:rPr>
        <w:t>
      поддерживают разработку новых лекарственных препаратов, безопасных и эффективных методов лечения инфекционных заболеваний, в том числе ВИЧ/СПИДа, туберкулеза.</w:t>
      </w:r>
    </w:p>
    <w:bookmarkStart w:name="z9"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осуществляют согласованные комплексные противоэпидемические мероприятия в эндемичных по малярии районах приграничных территорий государств-членов ЕврАзЭС;</w:t>
      </w:r>
      <w:r>
        <w:br/>
      </w:r>
      <w:r>
        <w:rPr>
          <w:rFonts w:ascii="Times New Roman"/>
          <w:b w:val="false"/>
          <w:i w:val="false"/>
          <w:color w:val="000000"/>
          <w:sz w:val="28"/>
        </w:rPr>
        <w:t>
      поддерживают разработку новых безопасных и эффективных лекарственных препаратов по профилактике и лечению малярии.</w:t>
      </w:r>
    </w:p>
    <w:bookmarkStart w:name="z10"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принимают меры по совершенствованию систем мониторинга за распространением гриппа, вызванного высокопатогенным вирусом, на территории государств-членов ЕврАзЭС;</w:t>
      </w:r>
      <w:r>
        <w:br/>
      </w:r>
      <w:r>
        <w:rPr>
          <w:rFonts w:ascii="Times New Roman"/>
          <w:b w:val="false"/>
          <w:i w:val="false"/>
          <w:color w:val="000000"/>
          <w:sz w:val="28"/>
        </w:rPr>
        <w:t>
      наращивают совместные усилия в области исследований, разработки и производства противогриппозных вакцин, включая вакцины нового поколения, для иммунизации населения в необходимом объеме;</w:t>
      </w:r>
      <w:r>
        <w:br/>
      </w:r>
      <w:r>
        <w:rPr>
          <w:rFonts w:ascii="Times New Roman"/>
          <w:b w:val="false"/>
          <w:i w:val="false"/>
          <w:color w:val="000000"/>
          <w:sz w:val="28"/>
        </w:rPr>
        <w:t>
      обеспечивают скоординированные действия уполномоченных органов государств-членов ЕврАзЭС в целях противодействия гриппу, вызванному высокопатогенным вирусом, и снижения риска возникновения пандемии гриппа.</w:t>
      </w:r>
    </w:p>
    <w:bookmarkStart w:name="z11"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Стороны определяют следующие центры (учреждения) в качестве ответственных за координацию работ:</w:t>
      </w:r>
      <w:r>
        <w:br/>
      </w:r>
      <w:r>
        <w:rPr>
          <w:rFonts w:ascii="Times New Roman"/>
          <w:b w:val="false"/>
          <w:i w:val="false"/>
          <w:color w:val="000000"/>
          <w:sz w:val="28"/>
        </w:rPr>
        <w:t>
      по изучению и диагностике вирусов гриппа в государствах-членах ЕврАзЭС - Федеральное бюджетное учреждение науки «Государственный научный центр вирусологии и биотехнологий «Вектор» (р.п.. Кольцово, Новосибирская область, Российская Федерация);</w:t>
      </w:r>
      <w:r>
        <w:br/>
      </w:r>
      <w:r>
        <w:rPr>
          <w:rFonts w:ascii="Times New Roman"/>
          <w:b w:val="false"/>
          <w:i w:val="false"/>
          <w:color w:val="000000"/>
          <w:sz w:val="28"/>
        </w:rPr>
        <w:t>
      по осуществлению единого мониторинга заболеваемости гриппом в государствах-членах ЕврАзЭС - Федеральное государственное бюджетное учреждение «Научно-исследовательский институт вирусологии им. Д.И. Ивановского» Министерства здравоохранения Российской Федерации (г. Москва, Российская Федерация) и Федеральное государственное бюджетное учреждение «Научно-исследовательский институт гриппа» Министерства здравоохранения Российской Федерации (г. Санкт-Петербург, Российская Федерация).</w:t>
      </w:r>
      <w:r>
        <w:br/>
      </w:r>
      <w:r>
        <w:rPr>
          <w:rFonts w:ascii="Times New Roman"/>
          <w:b w:val="false"/>
          <w:i w:val="false"/>
          <w:color w:val="000000"/>
          <w:sz w:val="28"/>
        </w:rPr>
        <w:t>
      Стороны определяют национальные центры (учреждения) по мониторингу за заболеваемостью гриппом.</w:t>
      </w:r>
    </w:p>
    <w:bookmarkStart w:name="z12"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Стороны определяют в качестве координирующего центра (учреждения) по подготовке и переподготовке кадров по вопросам эпидемиологического надзора, профилактики, диагностики и лечения малярии в государствах-членах ЕврАзЭС государственное бюджетное образовательное учреждение высшего профессионального образования Первый Московский государственный медицинский университет им. И.М. Сеченова Министерства здравоохранения Российской Федерации (г. Москва, Российская Федерация), который взаимодействует с соответствующими профильными институтами (центрами) государств-членов ЕврАзЭС.</w:t>
      </w:r>
    </w:p>
    <w:bookmarkStart w:name="z13"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осуществляют коллективное реагирование при осложнении эпидемиологической ситуации в рамках международного сотрудничества по реагированию на чрезвычайные ситуации посредством согласованных действий;</w:t>
      </w:r>
      <w:r>
        <w:br/>
      </w:r>
      <w:r>
        <w:rPr>
          <w:rFonts w:ascii="Times New Roman"/>
          <w:b w:val="false"/>
          <w:i w:val="false"/>
          <w:color w:val="000000"/>
          <w:sz w:val="28"/>
        </w:rPr>
        <w:t>
      способствуют модернизации существующих и созданию новых мобильных противоэпидемических формирований, а также нормативно-правовому регулированию их деятельности в государствах-членах ЕврАзЭС;</w:t>
      </w:r>
      <w:r>
        <w:br/>
      </w:r>
      <w:r>
        <w:rPr>
          <w:rFonts w:ascii="Times New Roman"/>
          <w:b w:val="false"/>
          <w:i w:val="false"/>
          <w:color w:val="000000"/>
          <w:sz w:val="28"/>
        </w:rPr>
        <w:t>
      участвуют в разработке стратегии и тактики противодействия чрезвычайным ситуациям с учетом динамики эпидемиологической ситуации международного значения;</w:t>
      </w:r>
      <w:r>
        <w:br/>
      </w:r>
      <w:r>
        <w:rPr>
          <w:rFonts w:ascii="Times New Roman"/>
          <w:b w:val="false"/>
          <w:i w:val="false"/>
          <w:color w:val="000000"/>
          <w:sz w:val="28"/>
        </w:rPr>
        <w:t>
      совершенствуют методологии надзора и контроля чрезвычайных ситуаций на основе внедрения современных организационных, информационно-аналитических, прогнозно-моделирующих, диагностических, профилактических, лечебных, кадровых и производственных технологий.</w:t>
      </w:r>
    </w:p>
    <w:bookmarkStart w:name="z14"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Стороны определяют следующие центры (учреждения) ответственных за координацию работ:</w:t>
      </w:r>
      <w:r>
        <w:br/>
      </w:r>
      <w:r>
        <w:rPr>
          <w:rFonts w:ascii="Times New Roman"/>
          <w:b w:val="false"/>
          <w:i w:val="false"/>
          <w:color w:val="000000"/>
          <w:sz w:val="28"/>
        </w:rPr>
        <w:t>
      по проблемам коллективного реагирования при осложнении эпидемической ситуации в государствах-членах ЕврАзЭС - Федеральное казенное учреждение здравоохранения "Российский научно-исследовательский противочумный институт «Микроб» Федеральной службы по надзору в сфере защиты прав потребителей и благополучия человека (г. Саратов, Российская Федерация);</w:t>
      </w:r>
      <w:r>
        <w:br/>
      </w:r>
      <w:r>
        <w:rPr>
          <w:rFonts w:ascii="Times New Roman"/>
          <w:b w:val="false"/>
          <w:i w:val="false"/>
          <w:color w:val="000000"/>
          <w:sz w:val="28"/>
        </w:rPr>
        <w:t>
      по мониторингу инфекционных болезней в государствах-членах ЕврАзЭС - 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(г. Москва, Российская Федерация);</w:t>
      </w:r>
      <w:r>
        <w:br/>
      </w:r>
      <w:r>
        <w:rPr>
          <w:rFonts w:ascii="Times New Roman"/>
          <w:b w:val="false"/>
          <w:i w:val="false"/>
          <w:color w:val="000000"/>
          <w:sz w:val="28"/>
        </w:rPr>
        <w:t>
      по ведению регистра учреждений и специалистов-экспертов для осуществления консультативной и практической помощи государствам-членам ЕврАзЭС в области инфекционной патологии - Государственное учреждение "Республиканский научно-практический центр эпидемиологии и микробиологии» Министерства здравоохранения (г. Минск, Республика Беларусь).</w:t>
      </w:r>
      <w:r>
        <w:br/>
      </w:r>
      <w:r>
        <w:rPr>
          <w:rFonts w:ascii="Times New Roman"/>
          <w:b w:val="false"/>
          <w:i w:val="false"/>
          <w:color w:val="000000"/>
          <w:sz w:val="28"/>
        </w:rPr>
        <w:t>
      Стороны ежеквартально до 20-го числа месяца, следующего за отчетным кварталом, направляют информацию в соответствии с приложением к настоящему Соглашению, в 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(г. Москва, Российская Федерация).</w:t>
      </w:r>
    </w:p>
    <w:bookmarkStart w:name="z15"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Start w:name="z16"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являются ее государство.</w:t>
      </w:r>
    </w:p>
    <w:bookmarkStart w:name="z17" w:id="14"/>
    <w:p>
      <w:pPr>
        <w:spacing w:after="0"/>
        <w:ind w:left="0"/>
        <w:jc w:val="left"/>
      </w:pPr>
      <w:r>
        <w:rPr>
          <w:rFonts w:ascii="Times New Roman"/>
          <w:b/>
          <w:i w:val="false"/>
          <w:color w:val="000000"/>
        </w:rPr>
        <w:t xml:space="preserve"> 
Статья 12</w:t>
      </w:r>
    </w:p>
    <w:bookmarkEnd w:id="14"/>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которые оформляются соответствующими протоколами.</w:t>
      </w:r>
    </w:p>
    <w:bookmarkStart w:name="z18" w:id="15"/>
    <w:p>
      <w:pPr>
        <w:spacing w:after="0"/>
        <w:ind w:left="0"/>
        <w:jc w:val="left"/>
      </w:pPr>
      <w:r>
        <w:rPr>
          <w:rFonts w:ascii="Times New Roman"/>
          <w:b/>
          <w:i w:val="false"/>
          <w:color w:val="000000"/>
        </w:rPr>
        <w:t xml:space="preserve"> 
Статья 13</w:t>
      </w:r>
    </w:p>
    <w:bookmarkEnd w:id="15"/>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Start w:name="z19" w:id="16"/>
    <w:p>
      <w:pPr>
        <w:spacing w:after="0"/>
        <w:ind w:left="0"/>
        <w:jc w:val="left"/>
      </w:pPr>
      <w:r>
        <w:rPr>
          <w:rFonts w:ascii="Times New Roman"/>
          <w:b/>
          <w:i w:val="false"/>
          <w:color w:val="000000"/>
        </w:rPr>
        <w:t xml:space="preserve"> 
Статья 14</w:t>
      </w:r>
    </w:p>
    <w:bookmarkEnd w:id="16"/>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ставших членами ЕврАзЭС.</w:t>
      </w:r>
      <w:r>
        <w:br/>
      </w:r>
      <w:r>
        <w:rPr>
          <w:rFonts w:ascii="Times New Roman"/>
          <w:b w:val="false"/>
          <w:i w:val="false"/>
          <w:color w:val="000000"/>
          <w:sz w:val="28"/>
        </w:rPr>
        <w:t>
      Документы о присоединении сдаются на хранение депозитарию. Для присоединяющегося государства настоящее Соглашение вступает в силу с даты получения депозитарием документа о присоединении.</w:t>
      </w:r>
    </w:p>
    <w:bookmarkStart w:name="z20" w:id="17"/>
    <w:p>
      <w:pPr>
        <w:spacing w:after="0"/>
        <w:ind w:left="0"/>
        <w:jc w:val="left"/>
      </w:pPr>
      <w:r>
        <w:rPr>
          <w:rFonts w:ascii="Times New Roman"/>
          <w:b/>
          <w:i w:val="false"/>
          <w:color w:val="000000"/>
        </w:rPr>
        <w:t xml:space="preserve"> 
Статья 15</w:t>
      </w:r>
    </w:p>
    <w:bookmarkEnd w:id="17"/>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прекращается в отношении такой Стороны по истечении шести месяцев с даты получения депозитарием соответствующего уведомления.</w:t>
      </w:r>
      <w:r>
        <w:br/>
      </w:r>
      <w:r>
        <w:rPr>
          <w:rFonts w:ascii="Times New Roman"/>
          <w:b w:val="false"/>
          <w:i w:val="false"/>
          <w:color w:val="000000"/>
          <w:sz w:val="28"/>
        </w:rPr>
        <w:t>
      Совершено в г. __________________ «___» 201____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