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e627" w14:textId="eb5e6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2013 года № 895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r>
        <w:br/>
      </w:r>
      <w:r>
        <w:rPr>
          <w:rFonts w:ascii="Times New Roman"/>
          <w:b w:val="false"/>
          <w:i w:val="false"/>
          <w:color w:val="000000"/>
          <w:sz w:val="28"/>
        </w:rPr>
        <w:t>
</w:t>
      </w:r>
      <w:r>
        <w:rPr>
          <w:rFonts w:ascii="Times New Roman"/>
          <w:b w:val="false"/>
          <w:i w:val="false"/>
          <w:color w:val="000000"/>
          <w:sz w:val="28"/>
        </w:rPr>
        <w:t>
      2. Уполномочить Первого заместителя Премьер-Министра Республики Казахстан Сагинтаева Бакытжана Абдировича подписать от имени Правительства Республики Казахстан 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постановления Правительства РК от 05.08.2014 </w:t>
      </w:r>
      <w:r>
        <w:rPr>
          <w:rFonts w:ascii="Times New Roman"/>
          <w:b w:val="false"/>
          <w:i w:val="false"/>
          <w:color w:val="00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29 августа 2013 года № 895</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СОГЛАШЕНИЕ</w:t>
      </w:r>
      <w:r>
        <w:br/>
      </w:r>
      <w:r>
        <w:rPr>
          <w:rFonts w:ascii="Times New Roman"/>
          <w:b/>
          <w:i w:val="false"/>
          <w:color w:val="000000"/>
        </w:rPr>
        <w:t>
о введении единых форм паспорта транспортного средства</w:t>
      </w:r>
      <w:r>
        <w:br/>
      </w:r>
      <w:r>
        <w:rPr>
          <w:rFonts w:ascii="Times New Roman"/>
          <w:b/>
          <w:i w:val="false"/>
          <w:color w:val="000000"/>
        </w:rPr>
        <w:t>
(паспорта шасси транспортного средства) и паспорта самоходной</w:t>
      </w:r>
      <w:r>
        <w:br/>
      </w:r>
      <w:r>
        <w:rPr>
          <w:rFonts w:ascii="Times New Roman"/>
          <w:b/>
          <w:i w:val="false"/>
          <w:color w:val="000000"/>
        </w:rPr>
        <w:t>
машины и других видов техники и организации систем</w:t>
      </w:r>
      <w:r>
        <w:br/>
      </w:r>
      <w:r>
        <w:rPr>
          <w:rFonts w:ascii="Times New Roman"/>
          <w:b/>
          <w:i w:val="false"/>
          <w:color w:val="000000"/>
        </w:rPr>
        <w:t>
электронных паспортов</w:t>
      </w:r>
    </w:p>
    <w:bookmarkEnd w:id="3"/>
    <w:p>
      <w:pPr>
        <w:spacing w:after="0"/>
        <w:ind w:left="0"/>
        <w:jc w:val="both"/>
      </w:pPr>
      <w:r>
        <w:rPr>
          <w:rFonts w:ascii="Times New Roman"/>
          <w:b w:val="false"/>
          <w:i w:val="false"/>
          <w:color w:val="ff0000"/>
          <w:sz w:val="28"/>
        </w:rPr>
        <w:t xml:space="preserve">      Сноска. Соглашение в редакции постановления Правительства РК от 05.08.2014 </w:t>
      </w:r>
      <w:r>
        <w:rPr>
          <w:rFonts w:ascii="Times New Roman"/>
          <w:b w:val="false"/>
          <w:i w:val="false"/>
          <w:color w:val="ff0000"/>
          <w:sz w:val="28"/>
        </w:rPr>
        <w:t>№ 905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Правительства государств-членов Таможенного союза в рамках Евразийского экономического сообщества, именуемые в дальнейшем Сторонами, основываясь на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года, </w:t>
      </w:r>
      <w:r>
        <w:rPr>
          <w:rFonts w:ascii="Times New Roman"/>
          <w:b w:val="false"/>
          <w:i w:val="false"/>
          <w:color w:val="000000"/>
          <w:sz w:val="28"/>
        </w:rPr>
        <w:t>Договоре</w:t>
      </w:r>
      <w:r>
        <w:rPr>
          <w:rFonts w:ascii="Times New Roman"/>
          <w:b w:val="false"/>
          <w:i w:val="false"/>
          <w:color w:val="000000"/>
          <w:sz w:val="28"/>
        </w:rPr>
        <w:t xml:space="preserve"> о создании единой таможенной территории и формировании Таможенного союза от 6 октября 2007 года, </w:t>
      </w:r>
      <w:r>
        <w:rPr>
          <w:rFonts w:ascii="Times New Roman"/>
          <w:b w:val="false"/>
          <w:i w:val="false"/>
          <w:color w:val="000000"/>
          <w:sz w:val="28"/>
        </w:rPr>
        <w:t>Договоре</w:t>
      </w:r>
      <w:r>
        <w:rPr>
          <w:rFonts w:ascii="Times New Roman"/>
          <w:b w:val="false"/>
          <w:i w:val="false"/>
          <w:color w:val="000000"/>
          <w:sz w:val="28"/>
        </w:rPr>
        <w:t xml:space="preserve"> о Евразийской экономической комиссии от 18 ноября 2011 года,</w:t>
      </w:r>
      <w:r>
        <w:br/>
      </w:r>
      <w:r>
        <w:rPr>
          <w:rFonts w:ascii="Times New Roman"/>
          <w:b w:val="false"/>
          <w:i w:val="false"/>
          <w:color w:val="000000"/>
          <w:sz w:val="28"/>
        </w:rPr>
        <w:t>
      в целях создания условий для обеспечения свободного обращения транспортных средств (шасси транспортных средств), самоходных машин и других видов техники на единой таможенной территории Таможенного союза и определения порядка оформления паспортов транспортных средств (паспортов шасси транспортных средств) и паспортов самоходных машин и других видов техники по единым формам</w:t>
      </w:r>
      <w:r>
        <w:br/>
      </w:r>
      <w:r>
        <w:rPr>
          <w:rFonts w:ascii="Times New Roman"/>
          <w:b w:val="false"/>
          <w:i w:val="false"/>
          <w:color w:val="000000"/>
          <w:sz w:val="28"/>
        </w:rPr>
        <w:t>
      согласились о нижеследующем:</w:t>
      </w:r>
    </w:p>
    <w:bookmarkStart w:name="z7" w:id="4"/>
    <w:p>
      <w:pPr>
        <w:spacing w:after="0"/>
        <w:ind w:left="0"/>
        <w:jc w:val="left"/>
      </w:pPr>
      <w:r>
        <w:rPr>
          <w:rFonts w:ascii="Times New Roman"/>
          <w:b/>
          <w:i w:val="false"/>
          <w:color w:val="000000"/>
        </w:rPr>
        <w:t xml:space="preserve"> 
Статья 1</w:t>
      </w:r>
    </w:p>
    <w:bookmarkEnd w:id="4"/>
    <w:p>
      <w:pPr>
        <w:spacing w:after="0"/>
        <w:ind w:left="0"/>
        <w:jc w:val="both"/>
      </w:pPr>
      <w:r>
        <w:rPr>
          <w:rFonts w:ascii="Times New Roman"/>
          <w:b w:val="false"/>
          <w:i w:val="false"/>
          <w:color w:val="000000"/>
          <w:sz w:val="28"/>
        </w:rPr>
        <w:t>      Настоящее Соглашение регулирует следующие вопросы:</w:t>
      </w:r>
      <w:r>
        <w:br/>
      </w:r>
      <w:r>
        <w:rPr>
          <w:rFonts w:ascii="Times New Roman"/>
          <w:b w:val="false"/>
          <w:i w:val="false"/>
          <w:color w:val="000000"/>
          <w:sz w:val="28"/>
        </w:rPr>
        <w:t>
      применение единых форм паспорта транспортного средства (паспорта шасси транспортного средства) и паспорта самоходной машины и других видов техники, выдаваемых на транспортные средства (шасси транспортных средств), самоходные машины и другие виды техники, произведенные на территориях государств Сторон и подлежащие регистрации на территориях государств Сторон;</w:t>
      </w:r>
      <w:r>
        <w:br/>
      </w:r>
      <w:r>
        <w:rPr>
          <w:rFonts w:ascii="Times New Roman"/>
          <w:b w:val="false"/>
          <w:i w:val="false"/>
          <w:color w:val="000000"/>
          <w:sz w:val="28"/>
        </w:rPr>
        <w:t>
      применение электронных паспортов транспортных средств (паспортов шасси транспортных средств) и электронных паспортов самоходных машин и других видов техники, оформляемых на транспортные средства (шасси транспортных средств), самоходные машины и другие виды техники, подлежащие государственной регистрации на территориях государств Сторон.</w:t>
      </w:r>
    </w:p>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Используемые в настоящем Соглашении термины означают следующее:</w:t>
      </w:r>
      <w:r>
        <w:br/>
      </w:r>
      <w:r>
        <w:rPr>
          <w:rFonts w:ascii="Times New Roman"/>
          <w:b w:val="false"/>
          <w:i w:val="false"/>
          <w:color w:val="000000"/>
          <w:sz w:val="28"/>
        </w:rPr>
        <w:t>
      «администратор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 организация, на которую возложена функция координации действий по проектированию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включая ввод в эксплуатацию, эксплуатацию, оптимизацию производительности, обеспечение и контроль доступа, обеспечение безопасности, отслеживание вопросов технического обеспечения этих систем, взаимодействие с участниками систем и органами власти, включение в эти системы новых участников, а также инициирование мер, необходимых для гармонизации законодательства государств Сторон в области функций этих систем;</w:t>
      </w:r>
      <w:r>
        <w:br/>
      </w:r>
      <w:r>
        <w:rPr>
          <w:rFonts w:ascii="Times New Roman"/>
          <w:b w:val="false"/>
          <w:i w:val="false"/>
          <w:color w:val="000000"/>
          <w:sz w:val="28"/>
        </w:rPr>
        <w:t>
      «паспорт самоходной машины и других видов техники» - паспорт, выдаваемый на имеющие двигатель внутреннего сгорания с рабочим объемом свыше 50 куб. см или электродвигатель(ли) максимальной (суммарной) мощностью более 4 кВт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(за исключением предназначенных для движения по автомобильным дорогам общего пользования автомототранспортных средств, имеющих максимальную конструктивную скорость более 50 км/час) и прицепы к ним;</w:t>
      </w:r>
      <w:r>
        <w:br/>
      </w:r>
      <w:r>
        <w:rPr>
          <w:rFonts w:ascii="Times New Roman"/>
          <w:b w:val="false"/>
          <w:i w:val="false"/>
          <w:color w:val="000000"/>
          <w:sz w:val="28"/>
        </w:rPr>
        <w:t>
      «паспорт транспортного средства (паспорт шасси транспортного средства)» - паспорт, выдаваемый на предназначенные для движения по автомобильным дорогам общего пользования автомототранспортные средства, имеющие двигатель внутреннего сгорания с рабочим объемом свыше 50 куб. см или электродвигатель(ли) максимальной (суммарной) мощностью более 4 кВт и (или) максимальную конструктивную скорость более 50 км/ч, и прицепы к ним (паспорт, выдаваемый на шасси транспортного средства в случае поставки шасси их потребителям);</w:t>
      </w:r>
      <w:r>
        <w:br/>
      </w:r>
      <w:r>
        <w:rPr>
          <w:rFonts w:ascii="Times New Roman"/>
          <w:b w:val="false"/>
          <w:i w:val="false"/>
          <w:color w:val="000000"/>
          <w:sz w:val="28"/>
        </w:rPr>
        <w:t>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 структурированные комплексы, включающие вычислительное и коммуникационное оборудование, программное обеспечение, лингвистические средства, информационные ресурсы, системный персонал и взаимодействующих по установленным в этих системах правилам участников и пользователей, а также реализующие информационную технологию выполнения установленных функций этих систем;</w:t>
      </w:r>
      <w:r>
        <w:br/>
      </w:r>
      <w:r>
        <w:rPr>
          <w:rFonts w:ascii="Times New Roman"/>
          <w:b w:val="false"/>
          <w:i w:val="false"/>
          <w:color w:val="000000"/>
          <w:sz w:val="28"/>
        </w:rPr>
        <w:t>
      «электронный паспорт самоходной машины и других видов техники» - паспорт самоходной машины и других видов техники, оформленный в системе электронных паспортов самоходных машин и других видов техники в порядке, установленном в соответствии с настоящим Соглашением;</w:t>
      </w:r>
      <w:r>
        <w:br/>
      </w:r>
      <w:r>
        <w:rPr>
          <w:rFonts w:ascii="Times New Roman"/>
          <w:b w:val="false"/>
          <w:i w:val="false"/>
          <w:color w:val="000000"/>
          <w:sz w:val="28"/>
        </w:rPr>
        <w:t>
      «электронный паспорт транспортного средства (паспорт шасси транспортного средства) - паспорт транспортного средства (паспорт шасси транспортного средства), оформленный в системе электронных паспортов транспортных средств (паспортов шасси транспортных средств) в порядке, установленном в соответствии с настоящим Соглашением.</w:t>
      </w:r>
    </w:p>
    <w:bookmarkStart w:name="z9" w:id="6"/>
    <w:p>
      <w:pPr>
        <w:spacing w:after="0"/>
        <w:ind w:left="0"/>
        <w:jc w:val="left"/>
      </w:pPr>
      <w:r>
        <w:rPr>
          <w:rFonts w:ascii="Times New Roman"/>
          <w:b/>
          <w:i w:val="false"/>
          <w:color w:val="000000"/>
        </w:rPr>
        <w:t xml:space="preserve"> 
Статья 3</w:t>
      </w:r>
    </w:p>
    <w:bookmarkEnd w:id="6"/>
    <w:p>
      <w:pPr>
        <w:spacing w:after="0"/>
        <w:ind w:left="0"/>
        <w:jc w:val="both"/>
      </w:pPr>
      <w:r>
        <w:rPr>
          <w:rFonts w:ascii="Times New Roman"/>
          <w:b w:val="false"/>
          <w:i w:val="false"/>
          <w:color w:val="000000"/>
          <w:sz w:val="28"/>
        </w:rPr>
        <w:t>      Порядок функционирования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определяется Евразийской экономической комиссией.</w:t>
      </w:r>
      <w:r>
        <w:br/>
      </w:r>
      <w:r>
        <w:rPr>
          <w:rFonts w:ascii="Times New Roman"/>
          <w:b w:val="false"/>
          <w:i w:val="false"/>
          <w:color w:val="000000"/>
          <w:sz w:val="28"/>
        </w:rPr>
        <w:t>
      Правила оформления, структура и формат электронных паспортов транспортных средств (паспортов шасси транспортных средств) и электронных паспортов самоходных машин и других видов техники утверждаются Евразийской экономической комиссией.</w:t>
      </w:r>
      <w:r>
        <w:br/>
      </w:r>
      <w:r>
        <w:rPr>
          <w:rFonts w:ascii="Times New Roman"/>
          <w:b w:val="false"/>
          <w:i w:val="false"/>
          <w:color w:val="000000"/>
          <w:sz w:val="28"/>
        </w:rPr>
        <w:t>
      До введения в действие систем электронных паспортов транспортных средств (паспортов шасси транспортных средств) и электронных паспортов самоходных машин и других видов техники применяются единые формы паспорта транспортного средства (паспорта шасси транспортного средства), самоходной машины и других видов техники.</w:t>
      </w:r>
      <w:r>
        <w:br/>
      </w:r>
      <w:r>
        <w:rPr>
          <w:rFonts w:ascii="Times New Roman"/>
          <w:b w:val="false"/>
          <w:i w:val="false"/>
          <w:color w:val="000000"/>
          <w:sz w:val="28"/>
        </w:rPr>
        <w:t>
      Основные требования к единым формам паспорта транспортного средства (паспорта шасси транспортного средства), самоходной машины и других видов техники, порядок их заполнения и обмена сведениями о бланках паспортов транспортных средств (паспортов шасси транспортных средств) и паспортов самоходных машин и других видов техники, а также сроки начала их применения утверждаются Евразийской экономической комиссией.</w:t>
      </w:r>
      <w:r>
        <w:br/>
      </w:r>
      <w:r>
        <w:rPr>
          <w:rFonts w:ascii="Times New Roman"/>
          <w:b w:val="false"/>
          <w:i w:val="false"/>
          <w:color w:val="000000"/>
          <w:sz w:val="28"/>
        </w:rPr>
        <w:t>
      При заполнении единых форм паспорта транспортного средства (паспорта шасси транспортного средства), самоходной машины и других видов техники в строке «Особые отметки» указывается государство–член Таможенного союза, на территории которого конкретное транспортное средство (шасси транспортного средства), самоходная машина или другой вид техники предназначены для первичного обращения при подтвержденном соответствии требованиям, установленным в этом государстве–члене Таможенного союза.</w:t>
      </w:r>
      <w:r>
        <w:br/>
      </w:r>
      <w:r>
        <w:rPr>
          <w:rFonts w:ascii="Times New Roman"/>
          <w:b w:val="false"/>
          <w:i w:val="false"/>
          <w:color w:val="000000"/>
          <w:sz w:val="28"/>
        </w:rPr>
        <w:t>
      До начала применения единых форм паспорт транспортного средства (паспорта шасси транспортного средства), самоходной машины и других видов техники транспортных средств (паспорт шасси транспортных средств) оформляется в соответствии со статьей 8 настоящего Соглашения.</w:t>
      </w:r>
    </w:p>
    <w:bookmarkStart w:name="z10" w:id="7"/>
    <w:p>
      <w:pPr>
        <w:spacing w:after="0"/>
        <w:ind w:left="0"/>
        <w:jc w:val="left"/>
      </w:pPr>
      <w:r>
        <w:rPr>
          <w:rFonts w:ascii="Times New Roman"/>
          <w:b/>
          <w:i w:val="false"/>
          <w:color w:val="000000"/>
        </w:rPr>
        <w:t xml:space="preserve"> 
Статья 4</w:t>
      </w:r>
    </w:p>
    <w:bookmarkEnd w:id="7"/>
    <w:p>
      <w:pPr>
        <w:spacing w:after="0"/>
        <w:ind w:left="0"/>
        <w:jc w:val="both"/>
      </w:pPr>
      <w:r>
        <w:rPr>
          <w:rFonts w:ascii="Times New Roman"/>
          <w:b w:val="false"/>
          <w:i w:val="false"/>
          <w:color w:val="000000"/>
          <w:sz w:val="28"/>
        </w:rPr>
        <w:t>      В целях реализации настоящего Соглашения формируется единый реестр уполномоченных органов (организаций) государств–членов Таможенного союза и организаций-изготовителей транспортных средств (шасси транспортных средств), самоходных машин и других видов техники, осуществляющих оформление паспортов транспортных средств (паспортов шасси транспортных средств) и паспортов самоходных машин и других видов техники, в том числе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единый реестр).</w:t>
      </w:r>
      <w:r>
        <w:br/>
      </w:r>
      <w:r>
        <w:rPr>
          <w:rFonts w:ascii="Times New Roman"/>
          <w:b w:val="false"/>
          <w:i w:val="false"/>
          <w:color w:val="000000"/>
          <w:sz w:val="28"/>
        </w:rPr>
        <w:t>
      Порядок формирования и ведения Единого реестра утверждается Евразийской экономической комиссией.</w:t>
      </w:r>
      <w:r>
        <w:br/>
      </w:r>
      <w:r>
        <w:rPr>
          <w:rFonts w:ascii="Times New Roman"/>
          <w:b w:val="false"/>
          <w:i w:val="false"/>
          <w:color w:val="000000"/>
          <w:sz w:val="28"/>
        </w:rPr>
        <w:t>
      Формирование и ведение единого реестра осуществляет Евразийская экономическая комиссия.</w:t>
      </w:r>
    </w:p>
    <w:bookmarkStart w:name="z11" w:id="8"/>
    <w:p>
      <w:pPr>
        <w:spacing w:after="0"/>
        <w:ind w:left="0"/>
        <w:jc w:val="left"/>
      </w:pPr>
      <w:r>
        <w:rPr>
          <w:rFonts w:ascii="Times New Roman"/>
          <w:b/>
          <w:i w:val="false"/>
          <w:color w:val="000000"/>
        </w:rPr>
        <w:t xml:space="preserve"> 
Статья 5</w:t>
      </w:r>
    </w:p>
    <w:bookmarkEnd w:id="8"/>
    <w:p>
      <w:pPr>
        <w:spacing w:after="0"/>
        <w:ind w:left="0"/>
        <w:jc w:val="both"/>
      </w:pP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оформляются организациями-изготовителями транспортных средств (шасси транспортных средств), самоходных машин и других видов техники (далее - организации-изготовители), включенными в Единый реестр, на произведенные ими транспортные средства (шасси транспортных средств), самоходные машины и другие виды техники.</w:t>
      </w:r>
      <w:r>
        <w:br/>
      </w:r>
      <w:r>
        <w:rPr>
          <w:rFonts w:ascii="Times New Roman"/>
          <w:b w:val="false"/>
          <w:i w:val="false"/>
          <w:color w:val="000000"/>
          <w:sz w:val="28"/>
        </w:rPr>
        <w:t>
      До начала применения электронных паспортов транспортных средств (паспортов шасси транспортных средств) и электронных паспортов самоходных машин и других видов техники, паспорта транспортных средств (паспорта шасси транспортных средств) и паспорта самоходных машин и других видов техники в случаях, предусмотренных законодательством государств Сторон, оформляются также уполномоченными органами (организациями) государств Сторон.</w:t>
      </w:r>
      <w:r>
        <w:br/>
      </w:r>
      <w:r>
        <w:rPr>
          <w:rFonts w:ascii="Times New Roman"/>
          <w:b w:val="false"/>
          <w:i w:val="false"/>
          <w:color w:val="000000"/>
          <w:sz w:val="28"/>
        </w:rPr>
        <w:t>
      Электронные паспорта транспортных средств (паспорта шасси транспортных средств) и электронные паспорта самоходных машин и других видов техники оформляются с 1 июля 2015 года уполномоченными органами (организациями) государств Сторон и организациями-изготовителями, включенными в Единый реестр, в порядке, утверждаемом Евразийской экономической комиссией.</w:t>
      </w:r>
    </w:p>
    <w:bookmarkStart w:name="z12" w:id="9"/>
    <w:p>
      <w:pPr>
        <w:spacing w:after="0"/>
        <w:ind w:left="0"/>
        <w:jc w:val="left"/>
      </w:pPr>
      <w:r>
        <w:rPr>
          <w:rFonts w:ascii="Times New Roman"/>
          <w:b/>
          <w:i w:val="false"/>
          <w:color w:val="000000"/>
        </w:rPr>
        <w:t xml:space="preserve"> 
Статья 6</w:t>
      </w:r>
    </w:p>
    <w:bookmarkEnd w:id="9"/>
    <w:p>
      <w:pPr>
        <w:spacing w:after="0"/>
        <w:ind w:left="0"/>
        <w:jc w:val="both"/>
      </w:pPr>
      <w:r>
        <w:rPr>
          <w:rFonts w:ascii="Times New Roman"/>
          <w:b w:val="false"/>
          <w:i w:val="false"/>
          <w:color w:val="000000"/>
          <w:sz w:val="28"/>
        </w:rPr>
        <w:t>      Органы (организации), устанавливаемые Сторонами, определяют требования к элементам защиты паспорта транспортного средства (паспорта шасси транспортного средства) и паспорта самоходной машины и других видов техники в соответствии с основными требованиями к единым формам паспорта транспортного средства (паспорта шасси транспортного средства) и паспорта самоходной машины и других видов техники и доводят их до сведения органов государств Сторон, осуществляющих государственную регистрацию транспортных средств, органов государств Сторон, осуществляющих государственную регистрацию самоходных машин и других видов техники.</w:t>
      </w:r>
    </w:p>
    <w:bookmarkStart w:name="z13" w:id="10"/>
    <w:p>
      <w:pPr>
        <w:spacing w:after="0"/>
        <w:ind w:left="0"/>
        <w:jc w:val="left"/>
      </w:pPr>
      <w:r>
        <w:rPr>
          <w:rFonts w:ascii="Times New Roman"/>
          <w:b/>
          <w:i w:val="false"/>
          <w:color w:val="000000"/>
        </w:rPr>
        <w:t xml:space="preserve"> 
Статья 7</w:t>
      </w:r>
    </w:p>
    <w:bookmarkEnd w:id="10"/>
    <w:p>
      <w:pPr>
        <w:spacing w:after="0"/>
        <w:ind w:left="0"/>
        <w:jc w:val="both"/>
      </w:pPr>
      <w:r>
        <w:rPr>
          <w:rFonts w:ascii="Times New Roman"/>
          <w:b w:val="false"/>
          <w:i w:val="false"/>
          <w:color w:val="000000"/>
          <w:sz w:val="28"/>
        </w:rPr>
        <w:t>      Системы электронных паспортов транспортных средств (паспортов шасси транспортных средств), самоходных машин и других видов техники обеспечивают поддержку единой динамической информационной модели процесса оформления электронных паспортов транспортных средств (паспортов шасси транспортных средств), самоходных машин и других видов техники и реализуют информационную технологию выполнения установленных функций для удовлетворения информационных потребностей участников этих систем. Посредством указанных систем обеспечиваются единство информационного поля, единый контроль доступа, единые мероприятия по обеспечению безопасности, целостности и достоверности данных, организуются централизованное взаимодействие с участниками этих систем и органами власти, инициация дополнительных мер, необходимых для гармонизации законодательства государств Сторон на этапе оформления электронных паспортов транспортных средств (паспортов шасси транспортных средств), самоходных машин и других видов техники, единый контроль за исполнением взаимно признаваемых Сторонами обязательных требований технических регламентов, а также централизованная проверка достоверности информации, централизованный мониторинг обеспечения единства обязательных требований Сторон и применения единых форм и правил оценки соответствия транспортных средств (шасси транспортных средств), самоходных машин и других видов техники.</w:t>
      </w:r>
      <w:r>
        <w:br/>
      </w:r>
      <w:r>
        <w:rPr>
          <w:rFonts w:ascii="Times New Roman"/>
          <w:b w:val="false"/>
          <w:i w:val="false"/>
          <w:color w:val="000000"/>
          <w:sz w:val="28"/>
        </w:rPr>
        <w:t>
      Евразийская экономическая комиссия определяет организацию одного из государств Сторон в качестве администратора систем электронных паспортов транспортных средств (паспортов шасси транспортных средств) и самоходных машин и других видов техники.</w:t>
      </w:r>
    </w:p>
    <w:bookmarkStart w:name="z14" w:id="11"/>
    <w:p>
      <w:pPr>
        <w:spacing w:after="0"/>
        <w:ind w:left="0"/>
        <w:jc w:val="left"/>
      </w:pPr>
      <w:r>
        <w:rPr>
          <w:rFonts w:ascii="Times New Roman"/>
          <w:b/>
          <w:i w:val="false"/>
          <w:color w:val="000000"/>
        </w:rPr>
        <w:t xml:space="preserve"> 
Статья 8</w:t>
      </w:r>
    </w:p>
    <w:bookmarkEnd w:id="11"/>
    <w:p>
      <w:pPr>
        <w:spacing w:after="0"/>
        <w:ind w:left="0"/>
        <w:jc w:val="both"/>
      </w:pPr>
      <w:r>
        <w:rPr>
          <w:rFonts w:ascii="Times New Roman"/>
          <w:b w:val="false"/>
          <w:i w:val="false"/>
          <w:color w:val="000000"/>
          <w:sz w:val="28"/>
        </w:rPr>
        <w:t>      До начала применения единых форм паспорта транспортного средства (паспорта шасси транспортного средства), самоходной машины и других видов техники уполномоченные органы Республики Беларусь и Республики Казахстан, определяемые Сторонами, обеспечиваются уполномоченным органом Российской Федерации в порядке, определяемом Российской Стороной, необходимым количеством бланков паспортов транспортных средств (паспортов шасси транспортных средств) Российской Федерации для поставки транспортных средств (шасси транспортных средств) в Российскую Федерацию в соответствии с заявками уполномоченных органов Республики Беларусь и Республики Казахстан.</w:t>
      </w:r>
      <w:r>
        <w:br/>
      </w:r>
      <w:r>
        <w:rPr>
          <w:rFonts w:ascii="Times New Roman"/>
          <w:b w:val="false"/>
          <w:i w:val="false"/>
          <w:color w:val="000000"/>
          <w:sz w:val="28"/>
        </w:rPr>
        <w:t>
      Условием оформления паспорта транспортного средства (паспорта шасси транспортного средства) Российской Федерации является наличие одобрения типа транспортного средства или одобрения типа шасси транспортного средства, подтверждающего соответствие транспортного средства или шасси транспортного средства требованиям законодательства Российской Федерации в области технического регулирования колесных транспортных средств.</w:t>
      </w:r>
      <w:r>
        <w:br/>
      </w:r>
      <w:r>
        <w:rPr>
          <w:rFonts w:ascii="Times New Roman"/>
          <w:b w:val="false"/>
          <w:i w:val="false"/>
          <w:color w:val="000000"/>
          <w:sz w:val="28"/>
        </w:rPr>
        <w:t>
      Заполнение бланка паспорта транспортного средства (паспорта шасси транспортного средства) Российской Федерации осуществляется организациями-изготовителями Республики Беларусь и Республики Казахстан в порядке, определяемом уполномоченным органом Российской Федерации.</w:t>
      </w:r>
      <w:r>
        <w:br/>
      </w:r>
      <w:r>
        <w:rPr>
          <w:rFonts w:ascii="Times New Roman"/>
          <w:b w:val="false"/>
          <w:i w:val="false"/>
          <w:color w:val="000000"/>
          <w:sz w:val="28"/>
        </w:rPr>
        <w:t>
      Учет и контроль использования бланков паспортов транспортных средств (паспортов шасси транспортных средств) Российской Федерации осуществляют уполномоченные органы государств Сторон. Порядок осуществления обмена сведениями об использовании бланков паспортов транспортных средств (паспортов шасси транспортных средств) Российской Федерации согласовывается уполномоченными органами государств Сторон.</w:t>
      </w:r>
    </w:p>
    <w:bookmarkStart w:name="z15" w:id="12"/>
    <w:p>
      <w:pPr>
        <w:spacing w:after="0"/>
        <w:ind w:left="0"/>
        <w:jc w:val="left"/>
      </w:pPr>
      <w:r>
        <w:rPr>
          <w:rFonts w:ascii="Times New Roman"/>
          <w:b/>
          <w:i w:val="false"/>
          <w:color w:val="000000"/>
        </w:rPr>
        <w:t xml:space="preserve"> 
Статья 9</w:t>
      </w:r>
    </w:p>
    <w:bookmarkEnd w:id="12"/>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путем проведения консультаций и переговоров.</w:t>
      </w:r>
      <w:r>
        <w:br/>
      </w:r>
      <w:r>
        <w:rPr>
          <w:rFonts w:ascii="Times New Roman"/>
          <w:b w:val="false"/>
          <w:i w:val="false"/>
          <w:color w:val="000000"/>
          <w:sz w:val="28"/>
        </w:rPr>
        <w:t>
      Если спор не будет урегулирован Сторонами в течение 6 месяцев с даты поступления официальной письменной просьбы о проведении консультаций и переговоров, направленной одной из Сторон другой Стороне, то при отсутствии другой договоренности между Сторонами относительно способа разрешения спора любая из Сторон передает этот спор для рассмотрения в суд Евразийского экономического сообщества.</w:t>
      </w:r>
    </w:p>
    <w:bookmarkStart w:name="z16" w:id="13"/>
    <w:p>
      <w:pPr>
        <w:spacing w:after="0"/>
        <w:ind w:left="0"/>
        <w:jc w:val="left"/>
      </w:pPr>
      <w:r>
        <w:rPr>
          <w:rFonts w:ascii="Times New Roman"/>
          <w:b/>
          <w:i w:val="false"/>
          <w:color w:val="000000"/>
        </w:rPr>
        <w:t xml:space="preserve"> 
Статья 10</w:t>
      </w:r>
    </w:p>
    <w:bookmarkEnd w:id="13"/>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w:t>
      </w:r>
    </w:p>
    <w:bookmarkStart w:name="z17" w:id="14"/>
    <w:p>
      <w:pPr>
        <w:spacing w:after="0"/>
        <w:ind w:left="0"/>
        <w:jc w:val="left"/>
      </w:pPr>
      <w:r>
        <w:rPr>
          <w:rFonts w:ascii="Times New Roman"/>
          <w:b/>
          <w:i w:val="false"/>
          <w:color w:val="000000"/>
        </w:rPr>
        <w:t xml:space="preserve"> 
Статья 11</w:t>
      </w:r>
    </w:p>
    <w:bookmarkEnd w:id="14"/>
    <w:p>
      <w:pPr>
        <w:spacing w:after="0"/>
        <w:ind w:left="0"/>
        <w:jc w:val="both"/>
      </w:pPr>
      <w:r>
        <w:rPr>
          <w:rFonts w:ascii="Times New Roman"/>
          <w:b w:val="false"/>
          <w:i w:val="false"/>
          <w:color w:val="000000"/>
          <w:sz w:val="28"/>
        </w:rPr>
        <w:t>      Настоящее Соглашение подлежит ратификации и временно применяется по истечении 60 дней с даты подписания и вступает в силу по истечении 5 календарных дней после дня получения депозитарием по дипломатическим каналам последнего письменного уведомления о выполнении государствами Сторон внутригосударственных процедур, необходимых для вступления настоящего Соглашения в силу.</w:t>
      </w:r>
      <w:r>
        <w:br/>
      </w:r>
      <w:r>
        <w:rPr>
          <w:rFonts w:ascii="Times New Roman"/>
          <w:b w:val="false"/>
          <w:i w:val="false"/>
          <w:color w:val="000000"/>
          <w:sz w:val="28"/>
        </w:rPr>
        <w:t>
      Подлинный экземпляр настоящего Соглашения хранится в Евразийской экономической комиссии, которая, являясь депозитарием настоящего Соглашения, направит каждой Стороне заверенную копию.</w:t>
      </w:r>
    </w:p>
    <w:p>
      <w:pPr>
        <w:spacing w:after="0"/>
        <w:ind w:left="0"/>
        <w:jc w:val="both"/>
      </w:pPr>
      <w:r>
        <w:rPr>
          <w:rFonts w:ascii="Times New Roman"/>
          <w:b w:val="false"/>
          <w:i w:val="false"/>
          <w:color w:val="000000"/>
          <w:sz w:val="28"/>
        </w:rPr>
        <w:t>Совершено в городе «___» _____________ 20___ года в одном подлинном экземпляре на русском языке.</w:t>
      </w:r>
    </w:p>
    <w:tbl>
      <w:tblPr>
        <w:tblW w:w="0" w:type="auto"/>
        <w:tblCellSpacing w:w="0" w:type="auto"/>
        <w:tblBorders>
          <w:top w:val="none"/>
          <w:left w:val="none"/>
          <w:bottom w:val="none"/>
          <w:right w:val="none"/>
          <w:insideH w:val="none"/>
          <w:insideV w:val="none"/>
        </w:tblBorders>
      </w:tblPr>
      <w:tblGrid>
        <w:gridCol w:w="4380"/>
        <w:gridCol w:w="4380"/>
        <w:gridCol w:w="4380"/>
      </w:tblGrid>
      <w:tr>
        <w:trPr>
          <w:trHeight w:val="30" w:hRule="atLeast"/>
        </w:trPr>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