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a2e2" w14:textId="174a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областными бюджетами, бюджетами городов Астаны и Алматы на 2013 год на повышение доступности товаров, работ и услуг для субъектов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2013 года № 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ноября 2012 года "О республиканском бюджете на 2013 - 2015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областными бюджетами, бюджетами городов Астаны и Алматы на 2013 год на повышение доступности товаров, работ и услуг для субъектов агропромышленного комплекса.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Акимам областей, городов Астаны и Алматы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своевременное и целевое использование выделенных сумм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представление в Министерство сельского хозяйства Республики Казахстан отчетов об использовании выделенных сумм целевых текущих трансфертов по итогам полугодия и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 1 января 2013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872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областными бюджетами, бюджетами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2013 год на повышение доступности товаров, работ и услуг</w:t>
      </w:r>
      <w:r>
        <w:br/>
      </w:r>
      <w:r>
        <w:rPr>
          <w:rFonts w:ascii="Times New Roman"/>
          <w:b/>
          <w:i w:val="false"/>
          <w:color w:val="000000"/>
        </w:rPr>
        <w:t>для субъектов агропромышленного комплекса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использования целевых текущих трансфертов областными бюджетами, бюджетами городов Астаны и Алматы на 2013 год на повышение доступности товаров, работ и услуг для субъектов агропромышленного комплекса (далее - Правила) определяют порядок использования целевых текущих трансфертов из республиканского бюджета областными бюджетами, бюджетами городов Астаны и Алматы по республиканской бюджетной программе 226 "Целевые текущие трансферты областным бюджетам, бюджетам городов Астаны и Алматы на повышение доступности товаров, работ и услуг для субъектов агропромышленного комплекса", подпрограмме 100 "Целевые текущие трансферты областным бюджетам, бюджетам городов Астаны и Алматы на повышение экономической доступности садовых работ" и подпрограмме 101 "Целевые текущие трансферты областным бюджетам, бюджетам городов Астаны и Алматы на повышение экономической доступности гербицидов".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Использование целевых текущих трансфертов осуществляется посредством выплаты субсидий сельхозтоваропроизводителям (далее - СХТП) по следующим направлениям: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частичное возмещение (до 40 %) стоимости затрат на закладку многолетних насаждений яблони сорта "Апорт";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удешевление (до 50 %) стоимости гербицидов.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Субсидии выплачиваются СХТП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 постановлением Правительства Республики Казахстан от 4 марта 2011 года № 221.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Финансирование и реализация мероприятий по использованию целевых текущих трансфертов будут производиться в пределах средств,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2013 год.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Министерство сельского хозяйства Республики Казахстан (далее - Министерство), как администратор бюджетной программы, перечисляет целевые текущие трансферты областным бюджетам, бюджетам городов Астаны и Алматы в соответствии с индивидуальным планом финансирования по платежам и подписанным соглашением о результатах по целевым текущим трансфертам между акимом области и Министром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Местные исполнительные органы областей, городов Астаны и Алматы по итогам года представляют в Министерство отчет о прямых и конечных результатах, достигнутых за счет использования выделенных целевых текущих трансфертов, в соответствии с соглашениями о результатах по целевым текущим трансфертам.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Министерство представляет в Министерство финансов Республики Казахстан отчетность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872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 отчет</w:t>
      </w:r>
      <w:r>
        <w:br/>
      </w:r>
      <w:r>
        <w:rPr>
          <w:rFonts w:ascii="Times New Roman"/>
          <w:b/>
          <w:i w:val="false"/>
          <w:color w:val="000000"/>
        </w:rPr>
        <w:t>о достижении показателей результатов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целевого трансферта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 отчета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Полученная сумма средств из вышестоящего бюджета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(наименование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(код бюджетной программы (подпрограммы)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489"/>
        <w:gridCol w:w="2607"/>
        <w:gridCol w:w="1234"/>
        <w:gridCol w:w="1578"/>
        <w:gridCol w:w="1579"/>
        <w:gridCol w:w="1579"/>
      </w:tblGrid>
      <w:tr>
        <w:trPr>
          <w:trHeight w:val="3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(планируемые мероприятия)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результатов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 тысяча тенге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в тысяча тенге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тысяча тенге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(фамилия, имя, отчество (при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872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отчет</w:t>
      </w:r>
      <w:r>
        <w:br/>
      </w:r>
      <w:r>
        <w:rPr>
          <w:rFonts w:ascii="Times New Roman"/>
          <w:b/>
          <w:i w:val="false"/>
          <w:color w:val="000000"/>
        </w:rPr>
        <w:t>о достижении показателей результатов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целевого трансферта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 отчета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Полученная сумма средств из вышестоящего бюджета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(наименование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(код бюджетной программы (подпрограммы)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489"/>
        <w:gridCol w:w="2607"/>
        <w:gridCol w:w="1234"/>
        <w:gridCol w:w="1578"/>
        <w:gridCol w:w="1579"/>
        <w:gridCol w:w="1579"/>
      </w:tblGrid>
      <w:tr>
        <w:trPr>
          <w:trHeight w:val="3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(планируемые мероприятия)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результатов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 тысяча тенге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в тысяча тенге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тысяча тенге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5402"/>
        <w:gridCol w:w="3107"/>
        <w:gridCol w:w="31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показатели (мероприятия)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достижение результатов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результатов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(фамилия, имя, отчество (при наличии))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руководитель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администратор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 нижестоящего бюджета 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(фамилия, имя, отчество (при наличии))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