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d313" w14:textId="e0ad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февраля 2011 года № 129 "О Стратегическом плане Министерства транспорта и коммуникаций Республики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840. Утратило силу постановлением Правительства Республики Казахстан от 31 декабря 2013 года № 1561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2011 года № 129 «О Стратегическом плане Министерства транспорта и коммуникаций Республики Казахстан на 2011 – 2015 годы» (САПП Республики Казахстан, 2011 г., № 20, ст. 240)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. «Анализ текущей ситуации и тенденции развития»: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«Развитие транспортной инфраструктуры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основных проблем»: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«Автомобильный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целом наблюдается неразвитость автоматизированных информационных систем, позволяющих осуществлять полноценно мониторинг пассажирских перевозок с помощью современных телекоммуникационных и спутниковых систем.»;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седьмую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отсутствие повсеместного функционирования систем мониторинга регулярных междугородних и международных автобусных перевозок посредством современных телекоммуникационных и спутниковых систем.»;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 деятельности, цели, целевые индикаторы, задачи, мероприятия,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«Развитие транспортной инфраструктуры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«Достижение опережающих темпов развития транспортно-коммуникационного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«Коды бюджетных программ, направленных на достижение данной цели» дополнить цифрами «013», «017», «021», «051», «052»;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«Повышение уровня развития инфраструктуры автодорожной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 в показателях прямых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«3. Протяженность дорог республиканского значения, охваченных всеми видами ремонта» цифры «1 632» заменить цифрами «1 638»;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4"/>
        <w:gridCol w:w="705"/>
        <w:gridCol w:w="705"/>
        <w:gridCol w:w="705"/>
        <w:gridCol w:w="705"/>
        <w:gridCol w:w="706"/>
      </w:tblGrid>
      <w:tr>
        <w:trPr>
          <w:trHeight w:val="405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проектно-сметной документации пункта пропуска на автомобильной дороге «Западная Европа-Западный Китай» Алматинской области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Обслуживание автомобильных дорог общего пользования республиканского значения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межгосударственных стандартов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«1.1.5. Повышение уровня развития инфраструктуры автотранспортной отрасли»;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9"/>
        <w:gridCol w:w="728"/>
        <w:gridCol w:w="684"/>
        <w:gridCol w:w="685"/>
        <w:gridCol w:w="707"/>
        <w:gridCol w:w="707"/>
      </w:tblGrid>
      <w:tr>
        <w:trPr>
          <w:trHeight w:val="270" w:hRule="atLeast"/>
        </w:trPr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Развитие систем мониторинга междугородних и международных регулярных автомобильных пассажирских перевозок в режиме реального времени с помощью современных телекоммуникационных и спутниковых систем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Создание и внедрение системы ЭВАК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Создание центров обработки вызовов системы ЭВАК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>. «Развитие услуг, производства и инфраструктуры ИКТ, инновации, базирующейся на современных технологиях, ориентированной на предоставление мультимедийных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достижения роста доли сектора ИКТ в ВВП, включая развитие инфокоммуникационной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«Уровень доступности базовых услуг в сфере ИКТ и обеспечение 100-процентного охвата домохозяйств Республики Казахстан услугами телефонной связи, широкополосного доступа к Интернету»: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«6. Количество абонентов в сельских населенных пунктах, обеспеченных универсальными услугами связи» цифры «1 053 710» заменить цифрами «1 059 042»;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3.1.4. «Доведение уровня отраслевой стандартизации до международных норм и формирование правовой основы, способствующей развитию ИКТ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Количество гармонизированных стандартов от общего количества стандартов в области ИКТ» цифры «75,5» заменить цифрами «74,4»;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Количество разрабатываемых государственных стандартов в области ИКТ» цифры «24»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4</w:t>
      </w:r>
      <w:r>
        <w:rPr>
          <w:rFonts w:ascii="Times New Roman"/>
          <w:b w:val="false"/>
          <w:i w:val="false"/>
          <w:color w:val="000000"/>
          <w:sz w:val="28"/>
        </w:rPr>
        <w:t>. «Совершенствование процессов предоставления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4.1</w:t>
      </w:r>
      <w:r>
        <w:rPr>
          <w:rFonts w:ascii="Times New Roman"/>
          <w:b w:val="false"/>
          <w:i w:val="false"/>
          <w:color w:val="000000"/>
          <w:sz w:val="28"/>
        </w:rPr>
        <w:t>. «Повышение качества оказания государственных услуг в электронном формате и уровня функционирования центров обслуживания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4"/>
        <w:gridCol w:w="1335"/>
        <w:gridCol w:w="498"/>
        <w:gridCol w:w="498"/>
        <w:gridCol w:w="498"/>
        <w:gridCol w:w="719"/>
        <w:gridCol w:w="719"/>
        <w:gridCol w:w="719"/>
        <w:gridCol w:w="720"/>
        <w:gridCol w:w="720"/>
      </w:tblGrid>
      <w:tr>
        <w:trPr>
          <w:trHeight w:val="405" w:hRule="atLeast"/>
        </w:trPr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переведенных в электронный формат социально значимых государственных услуг от общего количества социально значимых услуг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1"/>
        <w:gridCol w:w="924"/>
        <w:gridCol w:w="503"/>
        <w:gridCol w:w="525"/>
        <w:gridCol w:w="525"/>
        <w:gridCol w:w="725"/>
        <w:gridCol w:w="703"/>
        <w:gridCol w:w="658"/>
        <w:gridCol w:w="770"/>
        <w:gridCol w:w="726"/>
      </w:tblGrid>
      <w:tr>
        <w:trPr>
          <w:trHeight w:val="405" w:hRule="atLeast"/>
        </w:trPr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переведенных в электронный формат социально значимых государственных услуг от общего количества социально значимых услуг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Доля переведенных в электронный формат государственных услуг от общего количества услуг, подлежащих оптимизации и автоматизации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4.1.1 «Обеспечение безопасного доступа граждан и организаций к государственным электронным услугам посредством цифровых сертификатов»: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3"/>
        <w:gridCol w:w="1142"/>
        <w:gridCol w:w="479"/>
        <w:gridCol w:w="636"/>
        <w:gridCol w:w="545"/>
        <w:gridCol w:w="722"/>
        <w:gridCol w:w="678"/>
        <w:gridCol w:w="656"/>
        <w:gridCol w:w="789"/>
        <w:gridCol w:w="680"/>
      </w:tblGrid>
      <w:tr>
        <w:trPr>
          <w:trHeight w:val="405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оказанных в электронном виде социально значимых государственных услуг от общего количества переведенных в электронный формат социально значимых государственных услуг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выданных электронных документов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3"/>
        <w:gridCol w:w="1009"/>
        <w:gridCol w:w="901"/>
        <w:gridCol w:w="622"/>
        <w:gridCol w:w="533"/>
        <w:gridCol w:w="707"/>
        <w:gridCol w:w="685"/>
        <w:gridCol w:w="642"/>
        <w:gridCol w:w="794"/>
        <w:gridCol w:w="644"/>
      </w:tblGrid>
      <w:tr>
        <w:trPr>
          <w:trHeight w:val="405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оказанных в электронном виде социально значимых государственных услуг от общего количества переведенных в электронный формат социально значимых государственных услуг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Доля оказанных в электронном виде государственных услуг от общего количества услуг, подлежащих оптимизации и автоматизации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Ежегодный рост количества оказанных электронных услуг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«Мероприятиях для достижения показателей прямых результатов»: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«9. Создание информационной системы и инфраструктуры Оперативного центра обеспечения информационной безопасности критически важных объектов информатизации» значение «х»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840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Раздел 7. Бюджетные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7.1. Бюджетные программы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2290"/>
        <w:gridCol w:w="823"/>
        <w:gridCol w:w="1102"/>
        <w:gridCol w:w="1102"/>
        <w:gridCol w:w="1072"/>
        <w:gridCol w:w="1084"/>
        <w:gridCol w:w="1091"/>
        <w:gridCol w:w="1073"/>
        <w:gridCol w:w="1073"/>
      </w:tblGrid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«Услуги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«Обеспечение деятельности уполномоченного органа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«Обеспечение функционирования информационных систем и информационно-техническое обеспечение государственных органов»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аппарата, ведомств и территориальных органов Министерства, разработка государственных и отраслевых (секторальных) программ развития транспортно-коммуникационного комплекса, связи и информатизации; разработка законодательных актов, предложений по совершенствованию применения законодательства, а также разработка и принятие нормативных правовых актов, технических условий и иных нормативов в области транспортно-коммуникационного комплекса, связи и информатизации по вопросам, входящим в компетенцию Министерства; разработка прогнозов и своевременное качественное обеспечение потребностей государственных нужд и экономики в перевозках и коммуникациях; разработка стандартов и правил; по решениям Правительства осуществление функций, связанных с владением и пользованием государственными долями и пакетами акций юридических лиц транспортно-коммуникационного комплекса, связи и информатизации;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Системно-техническое обслуживание и ремонт системно-вычислительной техники. Администрирование, сопровождение локально-вычислительной сети, информационных систем и программных продуктов</w:t>
            </w:r>
          </w:p>
        </w:tc>
      </w:tr>
      <w:tr>
        <w:trPr>
          <w:trHeight w:val="30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услуг по формированию политики в области транспорта, коммуникаций, связи и информатизации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Рассматриваемые технические документации (технико-экономическое обоснование, техническое задание, технические спецификации) на информационные ресурсы и информационные системы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приема граждан в режиме online первыми руководителям центральных и местных государственных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Заключение и подписание меморандумов, совместных приказов с государственными органами и общественными объединениями по улучшению деятельности ЦОН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Правил оказания услуг связи (телефонной, сотовой, передачи данных и доступа к сети Интернет)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разрабатываемых государственных стандартов в области ИКТ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аналитического исследования мирового опыта развития ИКТ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Разработка словаря ИКТ терминов на государственном языке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Создание отраслевой рамки квалификаций по 3 направлениям ИКТ (ИТ сфера, электронная техника и автоматизация, связь и коммуникаций согласовано ГК 05-2008)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Оценка потребности рынка труда в ИКТ специалистах на краткосрочный (5 лет) и долгосрочный (10 и более лет) периоды, определение потребностей в новых специальностях и внесение изменений и дополнения в государственный классификатор занятий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Эффективная реализация государственной политики в области транспорта, коммуникаций, связи и информатизации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Гармонизированные стандарты с международными требованиями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Степень удовлетворенности граждан предоставлением государственных услуг ЦОН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 качества принятия управленческих решений и ускорение процесса принятия решений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Безотказное функционирование сетей телекоммуникаций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 затраты на содержание одного государственного служащего в год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Эффективное выполнение возложенных на Министерство задач и функций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Средние затраты на разработку 1 стандарта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2 167 081,8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2 504 480,0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3 004 287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3 830 637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4 041 854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4 158 287</w:t>
            </w:r>
          </w:p>
        </w:tc>
      </w:tr>
    </w:tbl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1779"/>
        <w:gridCol w:w="654"/>
        <w:gridCol w:w="1355"/>
        <w:gridCol w:w="1144"/>
        <w:gridCol w:w="1144"/>
        <w:gridCol w:w="1105"/>
        <w:gridCol w:w="1285"/>
        <w:gridCol w:w="1175"/>
        <w:gridCol w:w="1093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«Развитие автомобильных дорог 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республиканского значения, отвечающей современным требованиям, для безопасного и бесперебойного проезда транспортных средств</w:t>
            </w:r>
          </w:p>
        </w:tc>
      </w:tr>
      <w:tr>
        <w:trPr>
          <w:trHeight w:val="30" w:hRule="atLeast"/>
        </w:trPr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дорожно-строительных работ на автомобильных дорогах республиканского значения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Завершенные участки по строительству и реконструкции дорог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предписаний по устранению замечаний ГУ «Облжоллаборатория»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Затраты на 1 км автомобильной дороги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 км строительства дорог: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I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II категории реконструкции дорог: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I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II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70 566 507,5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123 681 027,4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157 704 285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172 529 182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206 547 651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222 169 348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52 661 000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1775"/>
        <w:gridCol w:w="845"/>
        <w:gridCol w:w="1120"/>
        <w:gridCol w:w="1225"/>
        <w:gridCol w:w="1092"/>
        <w:gridCol w:w="1092"/>
        <w:gridCol w:w="1197"/>
        <w:gridCol w:w="1197"/>
        <w:gridCol w:w="1197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 «Капитальный,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значения»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 озеленению, содержанию, управлению эксплуатацией автомобильных дорог и мостов республиканского значения, проектно-изыскательские работы по капитальному ремонту дорог и мостов и прохождение государственной экспертизы</w:t>
            </w:r>
          </w:p>
        </w:tc>
      </w:tr>
      <w:tr>
        <w:trPr>
          <w:trHeight w:val="30" w:hRule="atLeast"/>
        </w:trPr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дорожно-ремонтных работ на автомобильных дорогах республиканского значения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платной системы на отдельных участках автомобильных дорог республиканского значения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среднем автомобильных дорог республиканского значения в хорошем и удовлетворительном состоянии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дорог, где завершены ремонтно-восстановительные работы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предписаний по устранению замечаний ГУ «Облжоллаборатория»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км автомобильной дороги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21 318 096,6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21 948 865,4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31 879 056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1998"/>
        <w:gridCol w:w="846"/>
        <w:gridCol w:w="1092"/>
        <w:gridCol w:w="1120"/>
        <w:gridCol w:w="1092"/>
        <w:gridCol w:w="1092"/>
        <w:gridCol w:w="1092"/>
        <w:gridCol w:w="1092"/>
        <w:gridCol w:w="1092"/>
      </w:tblGrid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 «Обеспечение безопасности полетов воздушных судов»</w:t>
            </w:r>
          </w:p>
        </w:tc>
      </w:tr>
      <w:tr>
        <w:trPr>
          <w:trHeight w:val="72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на реализацию стратегического направления по обеспечению безопасности транспортных процессов, достижение целей по обеспечению безопасности условий передвижения пассажиров и грузов на всех видах транспорта и выполнение задач по повышению безопасности в гражданской авиации</w:t>
            </w:r>
          </w:p>
        </w:tc>
      </w:tr>
      <w:tr>
        <w:trPr>
          <w:trHeight w:val="30" w:hRule="atLeast"/>
        </w:trPr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квалификации персонала РГП «Центр по обеспечению безопасности полетов» с выдачей подтверждающих сертификатов (кол-во курсов)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Приобретение библиотеки ИКАО для получения и формирования базы руководящих документов в области гражданской авиации для РГП «Центр по обеспечению безопасности полетов»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Сертификационные и инспекционные работы, в том числе: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авиакомпаниях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аэропортах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работников РГП «Центр по обеспечению безопасности полетов», прошедших повышение квалификации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Сертификационные и инспекционные работы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полученных сертификатов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Квалифицированный персонал - допуски по типам воздушных судов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поправок к стандартам ИКАО и уведомление ИКАО о существующих различиях со стандартами ИКАО (кол-во различий)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107 331,4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2070"/>
        <w:gridCol w:w="938"/>
        <w:gridCol w:w="1110"/>
        <w:gridCol w:w="1111"/>
        <w:gridCol w:w="1111"/>
        <w:gridCol w:w="1111"/>
        <w:gridCol w:w="1111"/>
        <w:gridCol w:w="1111"/>
        <w:gridCol w:w="1111"/>
      </w:tblGrid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 «Обеспечение водных путей в судоходном состоянии и содержание шлюзов»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судоходства на внутренних водных путях.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гарантированных габаритов судового хода посредством выставления (снятия) и содержания знаков навигационного оборудования; выполнения дноуглубительных (землечерпательных), выправительных, дноочистительных и тральных работ; содержания судоходных гидротехнических сооружений (шлюзов) в безопасном рабочем состоянии</w:t>
            </w:r>
          </w:p>
        </w:tc>
      </w:tr>
      <w:tr>
        <w:trPr>
          <w:trHeight w:val="30" w:hRule="atLeast"/>
        </w:trPr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Выставление (снятие) и обслуживание знаков навигационного оборудования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 сут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784 825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792 355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Работы по дноуглублению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Выправительные работы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Дноочистительные работы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Тральные работы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русловых проектно-изыскательских работ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Содержание, текущий ремонт и обеспечение безаварийной работы судоходных шлюзов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Ремонт флота (текущий, средний, капитальный)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Обновление и модернизация государственного технического речного флота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навигационного периода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 сут.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784 825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аварийных случаев, связанных с обеспечением безопасности судоходства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Протяженность водных путей с гарантированными габаритами судового хода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Обеспеченность водных путей гарантированными габаритами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5 256 235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4 540 012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5 009 782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5 018 655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5 121 016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4 934 288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4 766 865</w:t>
            </w:r>
          </w:p>
        </w:tc>
      </w:tr>
    </w:tbl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6"/>
        <w:gridCol w:w="2346"/>
        <w:gridCol w:w="854"/>
        <w:gridCol w:w="1102"/>
        <w:gridCol w:w="1102"/>
        <w:gridCol w:w="1072"/>
        <w:gridCol w:w="1072"/>
        <w:gridCol w:w="1072"/>
        <w:gridCol w:w="1072"/>
        <w:gridCol w:w="1072"/>
      </w:tblGrid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 «Строительство и реконструкция инфраструктуры воздушного транспорта»</w:t>
            </w:r>
          </w:p>
        </w:tc>
      </w:tr>
      <w:tr>
        <w:trPr>
          <w:trHeight w:val="555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модернизации и развития объектов наземной инфраструктуры аэропортов Республики Казахстан для приведения в соответствие с международными требованиями по обеспечению безопасности полетов</w:t>
            </w:r>
          </w:p>
        </w:tc>
      </w:tr>
      <w:tr>
        <w:trPr>
          <w:trHeight w:val="405" w:hRule="atLeast"/>
        </w:trPr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 пассажиров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реконструированных аэропортов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проекты: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Реконструкция искусственной взлетно-посадочной полосы (категория ИКАО)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Реконструкция аэровокзала аэропорта (пропускная способность)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 час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 реконструкции увеличивается классификационное число искусственного покрытия (PCN), характеризующее несущую способность ВПП. Чем больше PCN, тем больше и тяжелее типы воздушных судов может принимать данный аэропорт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PCN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Пропускная способность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 час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2 159 999,7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5 476 205,5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2 530 149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4 631 420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1760"/>
        <w:gridCol w:w="737"/>
        <w:gridCol w:w="1088"/>
        <w:gridCol w:w="1189"/>
        <w:gridCol w:w="1212"/>
        <w:gridCol w:w="1212"/>
        <w:gridCol w:w="1212"/>
        <w:gridCol w:w="1157"/>
        <w:gridCol w:w="1088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 «Субсидирование железнодорожных пассажирских перевозок по социально значимым межобластным сообщениям»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убытков перевозчиков, связанных с организацией железнодорожных пассажирских перевозок по социально значимым сообщениям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маршрутов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Перевезено пассажиров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чел.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Пассажирооборот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пкм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выполнения пассажирских перевозок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КВР и приобретение вагонов АО «ПЛВК» за счет увеличения арендной ставки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КВР ваг./ приобр. ваг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41/0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113/0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19/41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30/49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0/53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временно-понижающего коэффициента к тарифу МЖС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платы за услуги локомотивной тяги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к базовому 2011 году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Увеличение тарифов на ж/д пассажирские перевозки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Объем субсидий на 1 пкм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25 507 115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28 000 000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31 000 000</w:t>
            </w:r>
          </w:p>
        </w:tc>
      </w:tr>
    </w:tbl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1800"/>
        <w:gridCol w:w="683"/>
        <w:gridCol w:w="1205"/>
        <w:gridCol w:w="1134"/>
        <w:gridCol w:w="1123"/>
        <w:gridCol w:w="1194"/>
        <w:gridCol w:w="1194"/>
        <w:gridCol w:w="1170"/>
        <w:gridCol w:w="1099"/>
      </w:tblGrid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 «Прикладные научные исследования в области транспорта и коммуникаций»</w:t>
            </w:r>
          </w:p>
        </w:tc>
      </w:tr>
      <w:tr>
        <w:trPr>
          <w:trHeight w:val="39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 в области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 в области транспорта и коммуникаций,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темы: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автодорожная отрасль;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 транспорт;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транзитный потенциал;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железнодорожная отрасль;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гражданская авиация;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темы: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 транспорт;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пилотный проект «Разработка технологий грид-облачной инфраструктуры и их приложений для создания прототипа грид-облачной инфраструктуры и проектных решений по модернизации единой информационной системы здравоохранения»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проведенных прикладных научных исследований в области транспорта и коммуникаций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Отчеты НИР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Положительное заключение государственной научно-технической экспертизы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Средняя стоимость проведения прикладных научных исследований по одной теме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 чел/час привлекаемых консультантов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2220"/>
        <w:gridCol w:w="741"/>
        <w:gridCol w:w="1092"/>
        <w:gridCol w:w="1092"/>
        <w:gridCol w:w="1092"/>
        <w:gridCol w:w="1092"/>
        <w:gridCol w:w="1120"/>
        <w:gridCol w:w="1092"/>
        <w:gridCol w:w="1092"/>
      </w:tblGrid>
      <w:tr>
        <w:trPr>
          <w:trHeight w:val="255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 «Капитальные расходы Министерства транспорта и коммуникаций Республики Казахстан»</w:t>
            </w:r>
          </w:p>
        </w:tc>
      </w:tr>
      <w:tr>
        <w:trPr>
          <w:trHeight w:val="60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технических средств, лицензионного программного обеспечения для обеспечения деятельности сотрудников центрального аппарата, ведомств и территориальных подразделений. Капитальный ремонт и разработка проектно-сметной документации зданий территориальных подразделений комитетов Министерства транспорта и коммуникаций Республики Казахстан для создания нормальных трудовых и социально-бытовых условий для государственных служащих. Оснащение органов транспортного контроля</w:t>
            </w:r>
          </w:p>
        </w:tc>
      </w:tr>
      <w:tr>
        <w:trPr>
          <w:trHeight w:val="285" w:hRule="atLeast"/>
        </w:trPr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капитального ремонта и разработка проектно-сметной документации зданий территориальных подразделений комитетов Министерства транспорта и коммуникаций Республики Казахстан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Оснащение органов транспортного контроля передвижными постами транспортного контроля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Оснащение центрального аппарата и территориальных подразделений комитетов Министерства транспорта и коммуникаций Республики Казахстан офисной мебелью, вычислительным и другим оборудованием, транспортными средствами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Приобретение служебно-разъездных катеров для территориальных инспекций Комитета транспортного контроля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Приобретение передвижных постов транспортного контроля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 офисной мебели, вычислительного и другого оборудования, транспортных средств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Оснащение служебно-разъездными катерами для территориальных инспекций Комитета транспортного контроля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Приобретение передвижных постов транспортного контроля, оснащенных весовым оборудованием, газоанализатором, дымомером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Материально-техническое оснащение Министерства транспорта и коммуникаций Республики Казахстан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 служебно-разъездных катеров для территориальных инспекций Комитета транспортного контроля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Средние затраты на приобретение одного передвижного поста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Средние затраты на приобретение основных средств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Средние затраты на приобретение служебно-разъездного катера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1897"/>
        <w:gridCol w:w="791"/>
        <w:gridCol w:w="1242"/>
        <w:gridCol w:w="1194"/>
        <w:gridCol w:w="1064"/>
        <w:gridCol w:w="1135"/>
        <w:gridCol w:w="1290"/>
        <w:gridCol w:w="993"/>
        <w:gridCol w:w="1100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 «Целевые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пунктов»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 озеленению, содержанию, управлению эксплуатацией автомобильных дорог и мостов республиканского значения, проектно-изыскательские работы по капитальному ремонту дорог и мостов и прохождение государственной экспертизы</w:t>
            </w:r>
          </w:p>
        </w:tc>
      </w:tr>
      <w:tr>
        <w:trPr>
          <w:trHeight w:val="315" w:hRule="atLeast"/>
        </w:trPr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дорожно-ремонтных работ на автомобильных дорогах областного и районного значения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дорог, где завершены ремонтно-восстановительные работы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предписаний по устранению замечаний ГУ «Облжоллаборатория»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1 км автомобильной дороги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15 629 356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22 137 335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18 322 675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19 412 481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20 405 477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23 704 264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19 512 114</w:t>
            </w:r>
          </w:p>
        </w:tc>
      </w:tr>
    </w:tbl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781"/>
        <w:gridCol w:w="677"/>
        <w:gridCol w:w="1093"/>
        <w:gridCol w:w="1199"/>
        <w:gridCol w:w="1258"/>
        <w:gridCol w:w="1140"/>
        <w:gridCol w:w="1199"/>
        <w:gridCol w:w="1222"/>
        <w:gridCol w:w="1058"/>
      </w:tblGrid>
      <w:tr>
        <w:trPr>
          <w:trHeight w:val="25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 «Строительство пунктов пропуска через государственную границу Республики Казахстан на автомобильных дорогах республиканского значения</w:t>
            </w:r>
          </w:p>
        </w:tc>
      </w:tr>
      <w:tr>
        <w:trPr>
          <w:trHeight w:val="25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пункта пропуска на автомобильной дороге «Западная Европа-Западный Китай» Алматинской области</w:t>
            </w:r>
          </w:p>
        </w:tc>
      </w:tr>
      <w:tr>
        <w:trPr>
          <w:trHeight w:val="45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бюджетная программа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проектно-изыскательских работ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 по разработке проектно-сметной документации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заключения Госэкспертизы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1876"/>
        <w:gridCol w:w="887"/>
        <w:gridCol w:w="1174"/>
        <w:gridCol w:w="1220"/>
        <w:gridCol w:w="1192"/>
        <w:gridCol w:w="1088"/>
        <w:gridCol w:w="1116"/>
        <w:gridCol w:w="1116"/>
        <w:gridCol w:w="1088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 «Обеспечение классификации и технической безопасности судов внутреннего водного плавания «река-море»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государственного учреждения «Регистр судоходства».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 безопасности судов и других инженерных сооружений, участвующих в процессе судоходства</w:t>
            </w:r>
          </w:p>
        </w:tc>
      </w:tr>
      <w:tr>
        <w:trPr>
          <w:trHeight w:val="30" w:hRule="atLeast"/>
        </w:trPr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судов и проведение освидетельствований судов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происшествия по техническому состоянию флота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флота требованиям технической безопасности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Безаварийная работа флота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судов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Средние затраты на 1 освидетельствование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101 951,1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113 679,9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92 316</w:t>
            </w:r>
          </w:p>
        </w:tc>
      </w:tr>
    </w:tbl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881"/>
        <w:gridCol w:w="873"/>
        <w:gridCol w:w="1201"/>
        <w:gridCol w:w="1095"/>
        <w:gridCol w:w="1095"/>
        <w:gridCol w:w="1095"/>
        <w:gridCol w:w="1201"/>
        <w:gridCol w:w="1084"/>
        <w:gridCol w:w="1201"/>
      </w:tblGrid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 «Целевые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</w:tr>
      <w:tr>
        <w:trPr>
          <w:trHeight w:val="45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легкорельсовой транспортной системы города Астаны</w:t>
            </w:r>
          </w:p>
        </w:tc>
      </w:tr>
      <w:tr>
        <w:trPr>
          <w:trHeight w:val="30" w:hRule="atLeast"/>
        </w:trPr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новых рабочих мест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комплекса легкорельсовой транспортной системы первой очереди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Переустройство инженерных сетей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Соответствие систем и конструкций легкорельсового транспорта казахстанским и международным стандартам качества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на объект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эстакады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10 234 976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1883"/>
        <w:gridCol w:w="786"/>
        <w:gridCol w:w="1176"/>
        <w:gridCol w:w="1152"/>
        <w:gridCol w:w="1089"/>
        <w:gridCol w:w="1090"/>
        <w:gridCol w:w="1118"/>
        <w:gridCol w:w="1118"/>
        <w:gridCol w:w="1118"/>
      </w:tblGrid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 «Обеспечение качества выполнения дорожно-строительных и ремонтных работ»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качеством выполняемых работ по строительству, реконструкции, капитальному, среднему, текущему ремонту автомобильных дорог республиканского значения и применяемыми дорожно-строительными материалами</w:t>
            </w:r>
          </w:p>
        </w:tc>
      </w:tr>
      <w:tr>
        <w:trPr>
          <w:trHeight w:val="630" w:hRule="atLeast"/>
        </w:trPr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качества дорожно-ремонтных работ на автомобильных дорогах республиканского значения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реконструированных и отремонтированных участков автомобильных дорог республиканского значения, прошедших контроль качества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выезда на объект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затрат на единицу оказанных услуг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216 572,6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259 397,3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325 237</w:t>
            </w:r>
          </w:p>
        </w:tc>
      </w:tr>
    </w:tbl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770"/>
        <w:gridCol w:w="844"/>
        <w:gridCol w:w="1090"/>
        <w:gridCol w:w="1195"/>
        <w:gridCol w:w="1137"/>
        <w:gridCol w:w="1137"/>
        <w:gridCol w:w="1195"/>
        <w:gridCol w:w="1090"/>
        <w:gridCol w:w="1184"/>
      </w:tblGrid>
      <w:tr>
        <w:trPr>
          <w:trHeight w:val="255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 «Увеличение уставного капитала АО «Казавтожол» на обеспечение обслуживания автомобильных дорог общего пользования»</w:t>
            </w:r>
          </w:p>
        </w:tc>
      </w:tr>
      <w:tr>
        <w:trPr>
          <w:trHeight w:val="255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обслуживания автомобильных дорог общего пользования республиканского значения</w:t>
            </w:r>
          </w:p>
        </w:tc>
      </w:tr>
      <w:tr>
        <w:trPr>
          <w:trHeight w:val="45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дорожно-эксплуатационной техники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и бесперебойного проезда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оперативности содержания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покупку техники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1827"/>
        <w:gridCol w:w="725"/>
        <w:gridCol w:w="1075"/>
        <w:gridCol w:w="1104"/>
        <w:gridCol w:w="1075"/>
        <w:gridCol w:w="1104"/>
        <w:gridCol w:w="1264"/>
        <w:gridCol w:w="1376"/>
        <w:gridCol w:w="126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 «Субсидирование регулярных внутренних авиаперевозок»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услуг авиатранспорта на регулярные внутренние авиаперевозки для среднестатистического потребителя путем осуществления гибкой тарифной политики, направленной на поэтапное снижение объемов субсидирования и в дальнейшем переход на полную самоокупаемость</w:t>
            </w:r>
          </w:p>
        </w:tc>
      </w:tr>
      <w:tr>
        <w:trPr>
          <w:trHeight w:val="30" w:hRule="atLeast"/>
        </w:trPr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субсидируемых авиамаршрутов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Загрузка пассажиров на воздушном судне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Пассажирооборот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пкм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выполнения пассажирских перевозок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субсидируемых рейсов на коммерческую основу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Объем субсидий на 1 пкм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31,816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877 415,3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701 749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1 513 585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899"/>
        <w:gridCol w:w="1070"/>
        <w:gridCol w:w="1094"/>
        <w:gridCol w:w="1094"/>
        <w:gridCol w:w="1199"/>
        <w:gridCol w:w="1094"/>
        <w:gridCol w:w="1094"/>
        <w:gridCol w:w="1094"/>
        <w:gridCol w:w="1094"/>
      </w:tblGrid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 «Строительство и реконструкция инфраструктуры водного транспорта»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водного транспорта, отвечающего современным требованиям, для безопасного и бесперебойного обслуживания судов морского и внутреннего водного транспорта</w:t>
            </w:r>
          </w:p>
        </w:tc>
      </w:tr>
      <w:tr>
        <w:trPr>
          <w:trHeight w:val="57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судоходных шлюзов, в том числе: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проекты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запланированных мероприятий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износа шлюзов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Увеличение пропускной способности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шлюзование судов в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317 066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1767"/>
        <w:gridCol w:w="854"/>
        <w:gridCol w:w="1089"/>
        <w:gridCol w:w="1090"/>
        <w:gridCol w:w="1090"/>
        <w:gridCol w:w="1299"/>
        <w:gridCol w:w="1264"/>
        <w:gridCol w:w="1125"/>
        <w:gridCol w:w="1218"/>
      </w:tblGrid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021 «Разработка технических регламентов и стандартов в области транспорта и коммуникаций» 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государственной системы стандартизации в автодорожной отрасли. Разработка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автомобильных дорог» и осуществления оценки (подтверждения) соответствия продукции</w:t>
            </w:r>
          </w:p>
        </w:tc>
      </w:tr>
      <w:tr>
        <w:trPr>
          <w:trHeight w:val="30" w:hRule="atLeast"/>
        </w:trPr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межгосударственных стандартов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разрабатываемых регламентов и стандартов в железнодорожной отрасли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требований технического регламента Таможенного союза «Безопасность автомобильных дорог»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стандарты и регламенты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исполнения требований технического регламента Таможенного союза «Безопасность автомобильных дорог»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 межгосударственного стандарта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1896"/>
        <w:gridCol w:w="788"/>
        <w:gridCol w:w="1179"/>
        <w:gridCol w:w="1186"/>
        <w:gridCol w:w="1186"/>
        <w:gridCol w:w="1116"/>
        <w:gridCol w:w="1093"/>
        <w:gridCol w:w="1093"/>
        <w:gridCol w:w="1093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 «Строительство и реконструкция сети постов транспортного контроля»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постов транспортного контроля стационарным весовым оборудованием, включая обустройство дорожного полотна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постов транспортного контроля, оснащенных стационарным весовым оборудованием, в том числе: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проекты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стационарных постов транспортного контроля весовым оборудованием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весового оборудования на стационарных постах транспортного контроля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строительство и оснащение одного поста транспортного контроля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108 223,6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2010"/>
        <w:gridCol w:w="967"/>
        <w:gridCol w:w="1072"/>
        <w:gridCol w:w="1083"/>
        <w:gridCol w:w="1107"/>
        <w:gridCol w:w="1095"/>
        <w:gridCol w:w="1095"/>
        <w:gridCol w:w="1095"/>
        <w:gridCol w:w="1095"/>
      </w:tblGrid>
      <w:tr>
        <w:trPr>
          <w:trHeight w:val="24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024 «Организация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</w:tr>
      <w:tr>
        <w:trPr>
          <w:trHeight w:val="28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центров обслуживания населения</w:t>
            </w:r>
          </w:p>
        </w:tc>
      </w:tr>
      <w:tr>
        <w:trPr>
          <w:trHeight w:val="54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план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 сотрудников центров обслуживания населения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оказанных услуг населению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млн.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8,5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Открытие специализированных центров обслуживания населения в гг. Астане, Караганде, Алматы и Актау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видеоконференций с ЦОН по координации деятельности ЦОН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Эффективное предоставление государственных услуг населению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граждан предоставлением государственных услуг ЦОНами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Бесперебойная работа центров обслуживания населения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производительность одного сотрудника ЦОН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в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1 000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ЦОН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15 580 082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14 847 623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14 693 029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14 693 029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2027"/>
        <w:gridCol w:w="720"/>
        <w:gridCol w:w="1111"/>
        <w:gridCol w:w="1100"/>
        <w:gridCol w:w="1111"/>
        <w:gridCol w:w="1159"/>
        <w:gridCol w:w="1171"/>
        <w:gridCol w:w="1088"/>
        <w:gridCol w:w="1112"/>
      </w:tblGrid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025 «Сопровождение системы управления и мониторинга сетей операторов связи»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525" w:hRule="atLeast"/>
        </w:trPr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4 287 306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1862"/>
        <w:gridCol w:w="648"/>
        <w:gridCol w:w="1111"/>
        <w:gridCol w:w="1100"/>
        <w:gridCol w:w="1123"/>
        <w:gridCol w:w="1100"/>
        <w:gridCol w:w="1123"/>
        <w:gridCol w:w="1266"/>
        <w:gridCol w:w="1266"/>
      </w:tblGrid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026 «Модернизация системы мониторинга радиочастотного спектра Республики Казахстан»</w:t>
            </w:r>
          </w:p>
        </w:tc>
      </w:tr>
      <w:tr>
        <w:trPr>
          <w:trHeight w:val="22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420" w:hRule="atLeast"/>
        </w:trPr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4 769 682</w:t>
            </w:r>
          </w:p>
        </w:tc>
      </w:tr>
    </w:tbl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1990"/>
        <w:gridCol w:w="808"/>
        <w:gridCol w:w="1101"/>
        <w:gridCol w:w="1079"/>
        <w:gridCol w:w="1180"/>
        <w:gridCol w:w="1135"/>
        <w:gridCol w:w="1124"/>
        <w:gridCol w:w="1101"/>
        <w:gridCol w:w="1135"/>
      </w:tblGrid>
      <w:tr>
        <w:trPr>
          <w:trHeight w:val="255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 «Международно-правовая защита и координация орбитально-частотного ресурса Республики Казахстан»</w:t>
            </w:r>
          </w:p>
        </w:tc>
      </w:tr>
      <w:tr>
        <w:trPr>
          <w:trHeight w:val="255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54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55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4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Экспертиза заявляемых в МСЭ зарубежных спутниковых сетей на предмет их совместимости со спутниковыми сетями системы «KazSat»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экспертиз, ед.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технических заключений по обоснованию необходимости координации спутниковых систем «KazSat»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заключений, ед.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Внедрение специального программного обеспечения по расчету ЭМС между геостационарными спутниковыми сетями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координационных работ частотных присвоений с зарубежными администрациями связи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протокол/ отчет, ед.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специалистов в области международно-правовой защиты орбитально-частотного ресурса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 координации частотных присвоений между спутниковыми сетями системы «KazSat» и зарубежными спутниковыми сетями с целью определения условий их использования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предложений, ед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частотных присвоений в международную таблицу распределения частот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частотных присвоений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Признание орбитально-частотной позиции Республики Казахстан на международном уровне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Координационное соглашение, достигнутое администрацией связи Республики Казахстан с зарубежными администрациями связи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соглашений, ед.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136 991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63 237</w:t>
            </w:r>
          </w:p>
        </w:tc>
      </w:tr>
    </w:tbl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1970"/>
        <w:gridCol w:w="787"/>
        <w:gridCol w:w="1105"/>
        <w:gridCol w:w="1151"/>
        <w:gridCol w:w="1128"/>
        <w:gridCol w:w="1221"/>
        <w:gridCol w:w="1163"/>
        <w:gridCol w:w="1116"/>
        <w:gridCol w:w="1116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 «Целевые трансферты на развитие областным бюджетам, бюджетам городов Астаны и Алматы на развитие транспортной инфраструктуры»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местного значения, отвечающей современным требованиям, для безопасного и бесперебойного проезда транспортных средств</w:t>
            </w:r>
          </w:p>
        </w:tc>
      </w:tr>
      <w:tr>
        <w:trPr>
          <w:trHeight w:val="30" w:hRule="atLeast"/>
        </w:trPr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дорожно-ремонтных работ на автомобильных дорогах областного и районного значения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Завершенные участки по строительству и реконструкции дорог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предписаний по устранению замечаний ГУ «Облжоллаборатория»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км. автомобильной дороги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69 051 064,7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78 613 165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90 532 645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77 390 103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72 799 002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79 907 317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45 421 160</w:t>
            </w:r>
          </w:p>
        </w:tc>
      </w:tr>
    </w:tbl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1861"/>
        <w:gridCol w:w="901"/>
        <w:gridCol w:w="1095"/>
        <w:gridCol w:w="1084"/>
        <w:gridCol w:w="1084"/>
        <w:gridCol w:w="1216"/>
        <w:gridCol w:w="1216"/>
        <w:gridCol w:w="1239"/>
        <w:gridCol w:w="1296"/>
      </w:tblGrid>
      <w:tr>
        <w:trPr>
          <w:trHeight w:val="5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 «Субсидирование убытков операторов сельской связи по предоставлению универсальных услуг связи»</w:t>
            </w:r>
          </w:p>
        </w:tc>
      </w:tr>
      <w:tr>
        <w:trPr>
          <w:trHeight w:val="58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субсидий на компенсацию убытков операторов сельской связи по предоставлению универсальных услуг связи в сельских населенных пунктах</w:t>
            </w:r>
          </w:p>
        </w:tc>
      </w:tr>
      <w:tr>
        <w:trPr>
          <w:trHeight w:val="480" w:hRule="atLeast"/>
        </w:trPr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абонентов в сельских населенных пунктах, обеспеченных универсальными услугами связи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абонентов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1 059 042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1 066 750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1 073 430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сельского населения к универсальным услугам телекоммуникаций во всех сельских населенных пунктах и достижение телефонной плотности на селе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абон. на 100 жителей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устранения повреждений с момента обнаружения неисправности обслуживающим персоналом или с момента поступления заявки от клиента: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кабельных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линейно-абонентских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станционных: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на обслуживаемых АТС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на необслуживаемых АТС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 аналоговых и цифровых системах передачи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на одного сельского абонента в год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5 308 626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5 028 584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3 589 722</w:t>
            </w:r>
          </w:p>
        </w:tc>
      </w:tr>
    </w:tbl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232"/>
        <w:gridCol w:w="696"/>
        <w:gridCol w:w="1107"/>
        <w:gridCol w:w="1122"/>
        <w:gridCol w:w="1118"/>
        <w:gridCol w:w="1107"/>
        <w:gridCol w:w="1107"/>
        <w:gridCol w:w="1119"/>
        <w:gridCol w:w="1119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 «Содержание здания административно-технологического комплекса «Transport tower»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техническое и хозяйственное обслуживание здания, а также прилегающей к нему территории. Обслуживание инженерных и коммуникационных сетей, систем водоснабжения, кондиционирования и отопления. Обеспечение пожарной безопасности здания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хозяйственное обслуживание здания с целью создания необходимых социально-бытовых условий государственным служащим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работы по обслуживанию здания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безопасности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1 кв.м по содержанию здания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431 349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425 560,8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385 240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475 657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474 112</w:t>
            </w:r>
          </w:p>
        </w:tc>
      </w:tr>
    </w:tbl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1639"/>
        <w:gridCol w:w="663"/>
        <w:gridCol w:w="704"/>
        <w:gridCol w:w="684"/>
        <w:gridCol w:w="688"/>
        <w:gridCol w:w="660"/>
        <w:gridCol w:w="660"/>
        <w:gridCol w:w="660"/>
        <w:gridCol w:w="660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033 «Целевые текущие трансферты областным бюджетам на изъятие земельных участков для государственных нужд»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по выкупу земельных участков и строений на них для государственных нужд под строительство и реконструкцию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и строений, попадающих под полосу отвода автодорог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102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127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334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118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по выкупу земельных участков и строений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102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127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334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118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Процентное соотношение количества договоров, заключенных по решениям суда, к общему количеству выкупаемых земельных участков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выкупа земельных участков с учетом закрытия финансового года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102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127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334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118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прогнозируется 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894 823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2 809 508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3 813 443</w:t>
            </w:r>
          </w:p>
        </w:tc>
      </w:tr>
    </w:tbl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1761"/>
        <w:gridCol w:w="853"/>
        <w:gridCol w:w="1088"/>
        <w:gridCol w:w="1088"/>
        <w:gridCol w:w="1088"/>
        <w:gridCol w:w="1325"/>
        <w:gridCol w:w="1262"/>
        <w:gridCol w:w="1123"/>
        <w:gridCol w:w="1216"/>
      </w:tblGrid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034 «Целевые текущие трансферты бюджету города Алматы на субсидирование пассажирских перевозок метрополитеном»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убытков перевозчиков, связанных с организацией пассажирских перевозок на подземном транспорте Метрополитен по городскому сообщению в городе Алматы</w:t>
            </w:r>
          </w:p>
        </w:tc>
      </w:tr>
      <w:tr>
        <w:trPr>
          <w:trHeight w:val="30" w:hRule="atLeast"/>
        </w:trPr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маршрутов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рейсов в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перевезенных пассажиров в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чел.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пропускной способности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Пассажирооборот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пкм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Регулярность перевозок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 на 1 пкм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2 933 277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2 816 477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2 733 277</w:t>
            </w:r>
          </w:p>
        </w:tc>
      </w:tr>
    </w:tbl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770"/>
        <w:gridCol w:w="739"/>
        <w:gridCol w:w="1195"/>
        <w:gridCol w:w="1195"/>
        <w:gridCol w:w="1137"/>
        <w:gridCol w:w="1137"/>
        <w:gridCol w:w="1195"/>
        <w:gridCol w:w="1218"/>
        <w:gridCol w:w="1056"/>
      </w:tblGrid>
      <w:tr>
        <w:trPr>
          <w:trHeight w:val="255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036 «Сопровождение системы мониторинга информационно-коммуникационных сетей»</w:t>
            </w:r>
          </w:p>
        </w:tc>
      </w:tr>
      <w:tr>
        <w:trPr>
          <w:trHeight w:val="255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сопровождение службы реагирования на компьютерные инциденты</w:t>
            </w:r>
          </w:p>
        </w:tc>
      </w:tr>
      <w:tr>
        <w:trPr>
          <w:trHeight w:val="45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меморандума в сфере противодействия компьютерным инцидентам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отработанных заявок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Отработка инцидентов ИБ по заявкам владельцев интернет-ресурсов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Отработка инцидентов ИБ по заявкам пользователей интернет-пользователей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интернет-ресурсов, сканированных на наличие вредоносного ПО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255 938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255 938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255 938</w:t>
            </w:r>
          </w:p>
        </w:tc>
      </w:tr>
    </w:tbl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1770"/>
        <w:gridCol w:w="834"/>
        <w:gridCol w:w="1059"/>
        <w:gridCol w:w="1081"/>
        <w:gridCol w:w="1081"/>
        <w:gridCol w:w="1081"/>
        <w:gridCol w:w="1503"/>
        <w:gridCol w:w="967"/>
        <w:gridCol w:w="968"/>
      </w:tblGrid>
      <w:tr>
        <w:trPr>
          <w:trHeight w:val="25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 «Услуги по обучению населения в рамках «электронного правительства»</w:t>
            </w:r>
          </w:p>
        </w:tc>
      </w:tr>
      <w:tr>
        <w:trPr>
          <w:trHeight w:val="112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и оказанию консультационной поддержки населению, бизнес-сообществу, государственным служащим по продвижению электронных услуг портала «электронного правительства»; популяризация проекта «электронного правительства»; организация мероприятий по поддержке развития профессионального ИКТ-сообщества; проведение олимпиад по актуальным темам ИКТ среди учащихся и студентов</w:t>
            </w:r>
          </w:p>
        </w:tc>
      </w:tr>
      <w:tr>
        <w:trPr>
          <w:trHeight w:val="525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обученного населения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проведенных мероприятий, направленных на продвижение электронных услуг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Обучающие семинары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Пресс-конференции, пресс-туры, демонстрации для журналистов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Круглые столы и конференции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Участие в выставках, в том числе международных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Олимпиады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 Промо-акции и конкурсы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учебных материалов (учебные программы, инструкции)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Мероприятия по популяризации «электронного правительства»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Подготовка материалов и размещение в СМИ (опубликованных материалов в двух республиканских газетах)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Рекламная полиграфическая продукция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Продвижение в сети Интернет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3-х интернет-спецпроектов в Казнете до конца 2013 года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Уровень компьютерной грамотности населения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уровня осведомленности населения об «электронном правительстве» (промо-акции)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доверия к бренду «электронное правительство» (размещение аудиороликов на радиостанциях – 6 мес., видеороликов на телеканалах – 5 мес.)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посещений портала «электронного правительства» (количество посещений в год)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439 265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2065"/>
        <w:gridCol w:w="980"/>
        <w:gridCol w:w="1095"/>
        <w:gridCol w:w="1060"/>
        <w:gridCol w:w="1141"/>
        <w:gridCol w:w="1060"/>
        <w:gridCol w:w="1095"/>
        <w:gridCol w:w="1095"/>
        <w:gridCol w:w="1106"/>
      </w:tblGrid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038 «Техническое сопровождение системы мониторинга радиочастотного спектра и радиоэлектронных средств»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сопровождения системы мониторинга радиочастотного спектра 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Плотность абонентов сотовой связи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аб. на 100 жителей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эфирным цифровым телерадиовещанием населения Казахстана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измерительных комплексов, обеспеченных техническим сопровождением, в том числе: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стационарных радиоконтрольных пунктов (СРКП)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передвижных измерительных пеленгационных комплексов (ПИПК)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Количество расчетов ЭМС РЭС для различных служб при проведении процедуры международной координации и подбору частот ТВ РВ вещания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Бесперебойное функционирование СРКП и ПИПК с целью устранения обнаруженных радиопомех и мониторинга радиочастотного спектра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Время на обнаружение источника радиопомех, в зависимости от удаленности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замечаний на блог-платформе Министра транспорта и коммуникаций по неустранению помех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более, шт.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радиомониторингом населенных пунктов Республики Казахстан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Защита радиоэфира субъектов рынка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Средние затраты на содержание ПИПК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Средние затраты на содержание СРКП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Средние затраты на расчет ЭМС одного РЭС различных служб для проведения международной координации частотных присвоений с приграничными государствами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313 939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283 431</w:t>
            </w:r>
          </w:p>
        </w:tc>
      </w:tr>
    </w:tbl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1143"/>
        <w:gridCol w:w="695"/>
        <w:gridCol w:w="889"/>
        <w:gridCol w:w="761"/>
        <w:gridCol w:w="718"/>
        <w:gridCol w:w="961"/>
        <w:gridCol w:w="772"/>
        <w:gridCol w:w="772"/>
        <w:gridCol w:w="773"/>
      </w:tblGrid>
      <w:tr>
        <w:trPr>
          <w:trHeight w:val="25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039 «Обеспечение функционирования межведомственных информационных систем»</w:t>
            </w:r>
          </w:p>
        </w:tc>
      </w:tr>
      <w:tr>
        <w:trPr>
          <w:trHeight w:val="102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информационной инфраструктуры «электронного правительства» Республики Казахстан, приобретение технических средств и лицензионного программного обеспечения, оплата услуг связи, и аренды помещения, услуги по сопровождению, системно-техническому обслуживанию информационных систем, услуги по обеспечению информационной безопасности инфраструктуры «электронного правительства».</w:t>
            </w:r>
          </w:p>
        </w:tc>
      </w:tr>
      <w:tr>
        <w:trPr>
          <w:trHeight w:val="600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Ежегодный рост количества оказанных электронных услуг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сопровождаемых и подключаемых к ЕСЭДО территориальных подразделений ГО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не менее 100 ТГО, сопровождение- не менее 350 ТГО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не менее 80 ТГО, сопровождение- не менее 430 ТГО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не менее 64 ТГО, сопровождение- не менее 494 ТГО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не менее 32 ТГО, сопровождение- не менее 526 ТГО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электронных документов, отправленных через ЕСЭДО-Ц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сопровождаемых информационных систем и ресурсов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оборудований, подлежащих системно-техническому обслуживанию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проведенных испытаний программных средств и баз данных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объектов подключенных к системе е-лицензирование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выданных электронных цифровых подписей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аттестуемых информационных систем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Количество объектов, обеспеченных сетью VPN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Количество проведенных сеансов видеоконференцсвязи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Количество лицензионного программного обеспечения, подлежащего технической поддержке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Консалтинговые услуги по формированию рекомендаций на оценку технико-экономических обоснований на создание информационных систем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Консалтинговые услуги по анализу бизнес-процессов оказания услуг, оказываемых государственными органами на возможность автоматизации с рекомендациями и предложениями по их дальнейшей реализации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Количество проведенных он-лайн конференций и консультаций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Количество индексированных веб-ресурсов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веб-ресурсов, 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Количество обследуемых государственных органов на предмет перехода на G-Cloud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переведенных в электронный формат социально значимых государственных услуг от общего количества социально значимых услуг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переведенных в электронный формат государственных услуг от общего количества услуг подлежащих оптимизации и автоматизации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Рост обращений пользователей к сервисам интранет-портала государственных органов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Количество зарегистрированных пользователей ИПГО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Сумма транзакций платежного шлюза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заявок по услугам лицензирования и выдачи разрешительных документов, поданных в электронном виде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лицензий, выданных в электронном виде от общего количества выдаваемых лицензий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Сокращение времени на обработку заявлений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2.Удовлетворенность клиентов уровнем оказания услуг по сопровождению ИС ГБД ЕЛ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разрешительных документов в области связи в электронном виде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Отсутствие сбоев аппаратно-программного комплекса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Отсутствие критических уязвимостей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количества пользователей электронных услуг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административных барьеров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6 130 715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7 777 375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7 733 373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7 733 373</w:t>
            </w:r>
          </w:p>
        </w:tc>
      </w:tr>
    </w:tbl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707"/>
        <w:gridCol w:w="651"/>
        <w:gridCol w:w="1285"/>
        <w:gridCol w:w="1183"/>
        <w:gridCol w:w="1285"/>
        <w:gridCol w:w="1069"/>
        <w:gridCol w:w="1183"/>
        <w:gridCol w:w="1103"/>
        <w:gridCol w:w="1103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 «Создание информационной инфраструктуры государственных органов»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межгосударственных и межведомственных информационных систем при обмене данных между Казахстаном, Россией и Белоруссией; создание национального сегмента интегрированной информационной системы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подключенных центров обслуживания населения к системе Интегрированной информационной системе для центров обслуживания населения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проанализированных государственных услуг для подключения к ИИС ЦОН для осуществления мониторинга оказания государственных услуг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ИС ГО, интегрированных с ИИС ЦОН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Межгосударственный шлюз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доверенной третьей стороны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интегрированных ИС ГО с межгосударственным шлюзом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Объем переданных сообщений через межгосударственный шлюз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государственных услуг подключенных к ИИС ЦОН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Интеграция национального шлюза Республики Казахстан с национальным сегментом Республики Беларусь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национального шлюза Республики Казахстан с национальным сегментом Российской Федерации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среднего времени ожидания для получения государственной услуги в ЦОН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Бесперебойная работа функционирования шлюза и ДТС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Сокращение времени оформления документов на импорт/экспорт (IRR)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документов, переведенных в электронный вид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2 838 681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1 979 972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2129"/>
        <w:gridCol w:w="841"/>
        <w:gridCol w:w="1087"/>
        <w:gridCol w:w="1088"/>
        <w:gridCol w:w="1088"/>
        <w:gridCol w:w="1088"/>
        <w:gridCol w:w="1296"/>
        <w:gridCol w:w="1088"/>
        <w:gridCol w:w="1088"/>
      </w:tblGrid>
      <w:tr>
        <w:trPr>
          <w:trHeight w:val="2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041 «Увеличение уставных капиталов юридических лиц, осуществляющих деятельность в области транспорта и коммуникации»</w:t>
            </w:r>
          </w:p>
        </w:tc>
      </w:tr>
      <w:tr>
        <w:trPr>
          <w:trHeight w:val="4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уставных капиталов АО «Казтелерадио» для внедрения и развития цифрового эфирного телерадиовещания в Республике Казахстан </w:t>
            </w:r>
          </w:p>
        </w:tc>
      </w:tr>
      <w:tr>
        <w:trPr>
          <w:trHeight w:val="255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РТС (радиотелевизионных станций), установленных для цифрового эфирного вещания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эфирным цифровым телерадиовещанием населения Казахстана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 охваченного эфирным цифровым вещанием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транслируемых телеканалов цифрового эфирного телерадиовещания в гг. Алматы, Астане и областных центрах 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остальных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12 902 272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20 314 519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14 302 272</w:t>
            </w:r>
          </w:p>
        </w:tc>
      </w:tr>
    </w:tbl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977"/>
        <w:gridCol w:w="1059"/>
        <w:gridCol w:w="1087"/>
        <w:gridCol w:w="1087"/>
        <w:gridCol w:w="1087"/>
        <w:gridCol w:w="1087"/>
        <w:gridCol w:w="1191"/>
        <w:gridCol w:w="1087"/>
        <w:gridCol w:w="1099"/>
      </w:tblGrid>
      <w:tr>
        <w:trPr>
          <w:trHeight w:val="55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042 «Услуги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технологий»</w:t>
            </w:r>
          </w:p>
        </w:tc>
      </w:tr>
      <w:tr>
        <w:trPr>
          <w:trHeight w:val="115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услуги независимых неправительственных организаций по проведению оценки эффективности деятельности центральных государственных органов и местных исполнительных органов областей, города республиканского значения, столицы по критериям реализации функций государственных органов в электронном формате и оказания государственных услуг в электронном формате</w:t>
            </w:r>
          </w:p>
        </w:tc>
      </w:tr>
      <w:tr>
        <w:trPr>
          <w:trHeight w:val="495" w:hRule="atLeast"/>
        </w:trPr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0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рассмотренных отчетных форм государственных органов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оцененных государственных органов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Ежегодный рост количества оказанных электронных услуг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независимых экспертов и неправительственных организаций по результатам оценки эффективности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проведения оценки и выдачи заключений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экспертное заключение одного государственного органа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</w:t>
            </w:r>
          </w:p>
        </w:tc>
      </w:tr>
    </w:tbl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2008"/>
        <w:gridCol w:w="954"/>
        <w:gridCol w:w="1086"/>
        <w:gridCol w:w="1086"/>
        <w:gridCol w:w="1075"/>
        <w:gridCol w:w="1086"/>
        <w:gridCol w:w="1190"/>
        <w:gridCol w:w="1190"/>
        <w:gridCol w:w="1086"/>
      </w:tblGrid>
      <w:tr>
        <w:trPr>
          <w:trHeight w:val="2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043 «Развитие государственной базы данных «Е-лицензирование»</w:t>
            </w:r>
          </w:p>
        </w:tc>
      </w:tr>
      <w:tr>
        <w:trPr>
          <w:trHeight w:val="21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ИС ГБД ЕЛ в части автоматизации разрешительных документов</w:t>
            </w:r>
          </w:p>
        </w:tc>
      </w:tr>
      <w:tr>
        <w:trPr>
          <w:trHeight w:val="495" w:hRule="atLeast"/>
        </w:trPr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 ИС ГБД ЕЛ во всех уполномоченных государственных органах и территориальных подразделениях, в 14 областных акиматах, 2 акиматах городов республиканского значения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автоматизированных разрешительных документов (процедур)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разрешительных документов, выданных в электронном виде от общего количества выданных разрешительных документов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услуг по выдаче разрешительных документов, доступных на веб-портале для населения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Удовлетворенность клиентов (пользователей ГБД «Е-лицензирование») качеством реализации программного обеспечения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видов документов, сокращенных в результате оптимизации и автоматизации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613 075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1 059 849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1905"/>
        <w:gridCol w:w="734"/>
        <w:gridCol w:w="1085"/>
        <w:gridCol w:w="1292"/>
        <w:gridCol w:w="1189"/>
        <w:gridCol w:w="1189"/>
        <w:gridCol w:w="1189"/>
        <w:gridCol w:w="1085"/>
        <w:gridCol w:w="1085"/>
      </w:tblGrid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044 «Создание информационной системы «Мобильный офис Правительства Республики Казахстан»</w:t>
            </w:r>
          </w:p>
        </w:tc>
      </w:tr>
      <w:tr>
        <w:trPr>
          <w:trHeight w:val="49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информационно-обменных видов деятельности (отправка/получение электронных почтовых сообщений, обмен информацией и обсуждения вопросов посредством мгновенных сообщений, форумов)</w:t>
            </w:r>
          </w:p>
        </w:tc>
      </w:tr>
      <w:tr>
        <w:trPr>
          <w:trHeight w:val="495" w:hRule="atLeast"/>
        </w:trPr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 ИС «Мобильный офис Правительства РК» в промышленную эксплуатацию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Подключение пользователей к ИС «Мобильный офис Правительства РК»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эффективности совместной работы руководителей Канцелярии Премьер-Министра РК, центральных и местных исполнительных органов и государственных холдингов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передачи сообщений ИС МОПРК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взаимодействия в режиме 24 часа 7 дней в неделю (далее - 24х7) вне зависимости от местонахождения пользователей ИС Мобильный Офис Правительства РК.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1774"/>
        <w:gridCol w:w="865"/>
        <w:gridCol w:w="1169"/>
        <w:gridCol w:w="1192"/>
        <w:gridCol w:w="1088"/>
        <w:gridCol w:w="1193"/>
        <w:gridCol w:w="1088"/>
        <w:gridCol w:w="1193"/>
        <w:gridCol w:w="1193"/>
      </w:tblGrid>
      <w:tr>
        <w:trPr>
          <w:trHeight w:val="24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048 «Увеличение уставного капитала республиканского государственного предприятия «Центр обслуживания населения» </w:t>
            </w:r>
          </w:p>
        </w:tc>
      </w:tr>
      <w:tr>
        <w:trPr>
          <w:trHeight w:val="21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рабочих мест пользователей интегрированной информационной системы для ЦОН и обеспечение каналов связи в рамках развития ИИС ЦОН, создание специализированных Центров обслуживания населения по вопросам регистрации автотранспорта и выдачи водительских удостоверений </w:t>
            </w:r>
          </w:p>
        </w:tc>
      </w:tr>
      <w:tr>
        <w:trPr>
          <w:trHeight w:val="495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Открытие специализированных центров обслуживания населения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ИИС ЦОН в центрах обслуживания населения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Эффективное предоставление государственных услуг населению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граждан предоставлением государственных услуг ЦОНами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Бесперебойная работа центров обслуживания населения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1 708 935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1846"/>
        <w:gridCol w:w="804"/>
        <w:gridCol w:w="1127"/>
        <w:gridCol w:w="1115"/>
        <w:gridCol w:w="1151"/>
        <w:gridCol w:w="1092"/>
        <w:gridCol w:w="1197"/>
        <w:gridCol w:w="1092"/>
        <w:gridCol w:w="1092"/>
      </w:tblGrid>
      <w:tr>
        <w:trPr>
          <w:trHeight w:val="24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049 «Подготовка и сопровождение концессионного проекта строительства «Большая Алматинская кольцевая автомобильная дорога»</w:t>
            </w:r>
          </w:p>
        </w:tc>
      </w:tr>
      <w:tr>
        <w:trPr>
          <w:trHeight w:val="21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Республике Казахстан в реализации сделки ГЧП посредством открытого, конкурентного и прозрачного тендерного процесса путем привлечения солидных инвесторов, имеющих достаточные ресурсы для осуществления пилотного концессионного проекта «БАКАД»</w:t>
            </w:r>
          </w:p>
        </w:tc>
      </w:tr>
      <w:tr>
        <w:trPr>
          <w:trHeight w:val="495" w:hRule="atLeast"/>
        </w:trPr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Корректировка ТЭО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конкурсной документации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Заключения соответствующих экспертиз на ТЭО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Заключение экспертизы АО «КЦ ГЧП», согласование с МЭРТ и МФ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Утверждение ТЭО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Утверждение конкурсной документации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концессии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869"/>
        <w:gridCol w:w="677"/>
        <w:gridCol w:w="1132"/>
        <w:gridCol w:w="1086"/>
        <w:gridCol w:w="1189"/>
        <w:gridCol w:w="1304"/>
        <w:gridCol w:w="1189"/>
        <w:gridCol w:w="1189"/>
        <w:gridCol w:w="1132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 «Целевые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населения»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специализированного центра обслуживания населения в городах Алматы и Астане</w:t>
            </w:r>
          </w:p>
        </w:tc>
      </w:tr>
      <w:tr>
        <w:trPr>
          <w:trHeight w:val="3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специализированного центра обслуживания населения в городах Алматы и Астане по регистрации автотранспорта и выдаче водительских удостоверений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Снижение среднего времени по регистрации, перерегистрации автотранспорта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Снижение среднего времени оформления документов по выдаче водительских удостоверений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предоставления государственных услуг в сфере регистрации автотранспорта и выдаче водительских удостоверений в центр обслуживания населения в целях улучшения качества и удобства при получении услуг населением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функционирования специализированного центра обслуживания населения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770"/>
        <w:gridCol w:w="844"/>
        <w:gridCol w:w="1195"/>
        <w:gridCol w:w="1195"/>
        <w:gridCol w:w="1137"/>
        <w:gridCol w:w="1137"/>
        <w:gridCol w:w="1195"/>
        <w:gridCol w:w="1090"/>
        <w:gridCol w:w="1184"/>
      </w:tblGrid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051 «Услуги по организации работ по строительству, реконструкции, ремонту и содержанию автомобильных дорог»</w:t>
            </w:r>
          </w:p>
        </w:tc>
      </w:tr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акционерного общества «Казавтожол»</w:t>
            </w:r>
          </w:p>
        </w:tc>
      </w:tr>
      <w:tr>
        <w:trPr>
          <w:trHeight w:val="45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формированию политики в области автомобильных дорог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реализация государственной политики в области автомобильных дорог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принятия управленческих решений и ускорение процесса принятия решений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одного работника АО «Казавтожол» в год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бюджетной программы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1878"/>
        <w:gridCol w:w="784"/>
        <w:gridCol w:w="1146"/>
        <w:gridCol w:w="1181"/>
        <w:gridCol w:w="1181"/>
        <w:gridCol w:w="1216"/>
        <w:gridCol w:w="1088"/>
        <w:gridCol w:w="1088"/>
        <w:gridCol w:w="1089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052 «Создание информационной системы экстренного вызова при авариях и катастрофах»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реагирования экстренных оперативных служб на дорожно-транспортные происшествия на автотранспортных средств, оснащенных устройствами вызова экстренных оперативных служб</w:t>
            </w:r>
          </w:p>
        </w:tc>
      </w:tr>
      <w:tr>
        <w:trPr>
          <w:trHeight w:val="435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бюджетной программы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Заключение договора на оказание консалтинговых услуг по созданию и внедрению системы ЭВАК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проектом (разработка и утверждение документации с описанием системы ЭВАК и ее компонентов, а также механизмами создания и внедрения системы ЭВАК)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Получение необходимой информации и консультаций для эффективного и оперативного внедрения системы ЭВАК (отчеты, материалы, техническая документация, нормативные правовые акты и т.д.)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Утверждение документации с описанием системы ЭВАК и ее компонентов, а также механизмами создания и внедрения системы ЭВАК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Полнота и своевременность исполнения договора на оказание консалтинговых услуг по созданию и внедрению системы ЭВАК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Своевременность разработки и утверждения документации с описанием системы ЭВАК и ее компонентов, а также механизмами создания и внедрения системы ЭВАК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7.2. Свод бюджетных расходов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674"/>
        <w:gridCol w:w="1549"/>
        <w:gridCol w:w="1550"/>
        <w:gridCol w:w="1550"/>
        <w:gridCol w:w="1417"/>
        <w:gridCol w:w="1312"/>
        <w:gridCol w:w="1417"/>
        <w:gridCol w:w="1417"/>
      </w:tblGrid>
      <w:tr>
        <w:trPr>
          <w:trHeight w:val="18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3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252 435 552,1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310 508 007,7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352 159 200,3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371 844 774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430 653 901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458 295 438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242 382 051</w:t>
            </w:r>
          </w:p>
        </w:tc>
      </w:tr>
      <w:tr>
        <w:trPr>
          <w:trHeight w:val="1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бюджетные программы: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105 399 347,5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100 786 178,9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89 078 938,6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111 867 382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127 613 217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128 223 163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125 227 937</w:t>
            </w:r>
          </w:p>
        </w:tc>
      </w:tr>
      <w:tr>
        <w:trPr>
          <w:trHeight w:val="25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программы развития: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147 036 204,6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209 721 828,8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263 080 261,7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259 977 392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303 040 684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330 072 275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117 154 114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