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7f63" w14:textId="4ca7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апреля 2013 года № 385 "О программно-целевом финансировании вне конкурсных процедур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3 года № 385 «О программно-целевом финансировании вне конкурсных процедур на 2013 - 2015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, что программно-целевое финансирование на 2013 - 2015 годы из республиканского бюджета вне конкурсных процедур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аучно-технической программе «Прикладные научные исследования в области анализа фитосанитарных рисков карантинных вредных организмов на 2013 - 2015 год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аучно-техническому проекту «Научно-экспериментальное обоснование эффективного использования пастбищ и развития животноводства Казахстана с применением возобновляемых источников энергии на 2013 -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