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87e" w14:textId="e9cc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2013 года № 647. Утратило силу постановлением Правительства Республики Казахстан от 21 января 2014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 (САПП Республики Казахстан, 2009 г., № 59, ст. 519):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2013 года № 647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>
обязательной государственной регистрации, и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регистрации залога движимого имущества, не</w:t>
      </w:r>
      <w:r>
        <w:br/>
      </w:r>
      <w:r>
        <w:rPr>
          <w:rFonts w:ascii="Times New Roman"/>
          <w:b/>
          <w:i w:val="false"/>
          <w:color w:val="000000"/>
        </w:rPr>
        <w:t>
подлежащего обязательной государственной регистрации»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регистрации» (далее – государственная услуга) оказывается республиканскими государственными казенными предприятиями «Центры по недвижимости областей, городов Астаны и Алматы» и их филиалами (далее – уполномоченный орган) через центры обслуживания населения (далее – центр), адреса которых указаны в приложениях 1 и 2 к настоящему стандарту, а также посредством информационной системы «Банков второго уровня» (далее – ИС БВУ) в случае заключения физическими или юридическими лицами договора о залоге или иного договора, содержащего сведения о залоге с банком второго уровня (далее – электронная регистрация).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юстиции Республики Казахстан: электронный адрес www.minjust.kz в разделе «Информационные материалы»;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зданиях центров, согласно приложению 2 к настоящему стандарту, на интернет-ресурсе www.con.gov.kz, также в зданиях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порядке оказания государственной услуги, также предоставляется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залога или иной договор, содержащий условия залога с отметкой о регистрации и свидетельства о регистрации залога движимого имущества, не подлежащего обязательной государственной регистрации (на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дубликат свидетельства о регистрации залога движимого имущества взамен утраченного в отношении выданных свидетельств (на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письменный мотивированный отказ в предоставлении услуги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регистрации залога движимого имущества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регистрации, удостоверенные электронной цифровой подписью (далее – ЭЦП) уполномоченного органа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течение двух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(подачи заявления для получения государственной услуги)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готовых документов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уплате сбора за государственную регистрацию залога движимого имущества или об освобождении от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установлен регистрационный сбор. Сумма регистрационного сбора исчисляется по ставкам, установленным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центрах, ежедневно,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центра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ИС БВУ, согласно графику работы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потребителя 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предусмотрены условия для обслуживания потребителей с ограниченными возможностями (пандусы). В зале располагаются справочное бюро, терминал электронной очереди, кресла для ожидания, информационные стенды с образцами заполненных бланков.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регистрации залога движимого имущества, не подлежащего обязательной государственной регистрации получатель государственной услуги,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регистрацию залога движимого имущества, установленной формы,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(для уполномоченного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о залоге или иной договор, содержащий условия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указанных в подпункте 2), являющихся государственным электронным информационным ресурсом,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регистрации залога движимого имущества получатель государственной услуги,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получении дубликата свидетельства о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(для уполномоченного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указанных в подпункте 2), являющихся государственным электронным информационным ресурсом,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(запрос) в форме электронного документа, удостоверенного ЭЦП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(для уполномоченного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физического и юридического лица на отправление заявления на регистрацию залога движимого имущества в информационную систему уполномоченного органа, удостоверенное ЭЦП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 о залоге или иной договор, содержащий условия залога, в форме электронного документа, удостоверенного ЭЦП залогодателя и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указанных в подпункте 2), являющихся государственным электронным информационным ресурсом, залогодержатель получает из соответствующих государственных информационных систем через ИС БВУ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бланки размещаются на специальной стойке в зале ожидания, либо у работников центра, а также на интернет-ресурсе РГП «Центра»: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в банках второго уровня документы подаются сотруднику банка, имеющему доступ к ИС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центре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заявителя,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государственной услуги информационная система уполномоченного органа направляет в ИС БВУ и личный кабинет залогодателя на веб-портал «электронного правительства» уведомление о принятии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посредством «окон» ежедневно на основании расписки указанный в ней срок выдача готовых документов осуществляется путем передачи непосредственно получателю государственной услуги или его уполномоченному представителю при предъявлении доверенности, оформленной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готовых документов из уполномоченного органа в центр осуществляется посредством курьерской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уполномоченный орган направляет в ИС БВУ и веб-портал «электронного правительства» залогодателю результат в форме электронного документа, удостоверенный ЭЦП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Центр отказывает в приеме документов в случае непредставления получателем государственной услуги одного из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договоре о залоге или ином договоре, содержащим условия залога, не указаны предмет залога и его оценка, существо, размер и срок исполнения обязательства, обеспечиваемого залогом и сведения о том, у какой из сторон находится заложенное имущество и допустимость 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письменной формы договора о залоге или иного договора, содержащего условия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представлении на регистрацию заявления по форме и содержанию не соответствующего требованиям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заявлением о регистрации залога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документа, подтверждающего уплату в бюджет сбора за государственную регистрацию залога движимого имущества и ипотеки судна или строящегося судна.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Уполномоченный орган осуществляет свою деятельность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конституционных прав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защиты и конфиденциальности информации о содержании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получателю государственной услугами измеряются показателями качества и эффективности в соответствии с приложением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органов, ежегодно утверждаются соответствующим приказом Министра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Для разъяснения порядка обжалования действий (бездействия) работника центра, а также оказания содействия в подготовке жалобы получатель государственной услуги обращается к руководителям центра, телефоны которых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1414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на имя руководителя уполномоченного органа в рабочие дни с 9.00 до 17.00 часов, за исключением выходных и праздничных дней, с перерывом на обед с 13.00 до 14.30 часов. Адреса и телефоны руководителей уполномоченных органов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9.00 до 17.00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центра жалоба подается на имя руководителя центра или РГП «Центр». Адреса и телефоны руководителей центров указаны в приложении 2 к настоящему стандарту, адрес и телефон РГП «Центр» указан в 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обращается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(адрес электронной почты Комитета регистрационной службы и оказания правовой помощи Министерства юстиции Республики Казахстан: krs.opp@minjust.kz) в случаях, предусмотренных действующим законодательством, либо нарочно в рабочие дни через канцелярию организаций, указанных в пунктах 21 и 22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получателями государственной услуги к жалобе прилагаются документы, подтверждающие некачественное предоставление государственной услуги уполномоченным органом или некорректное обслуживание сотрудником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книге учета жалоб и обращений и рассматривается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Подтверждением принятия жалобы, поступившей как нарочно, так и по почте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уполномоченного органа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от уполномоченного органа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Адрес Министерства юстиции Республики Казахстан: 010000,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РГП «Центр»: 010000, город Астана, проспект Республики, дом № 43А,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 и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 не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Список и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523"/>
        <w:gridCol w:w="3318"/>
        <w:gridCol w:w="2736"/>
        <w:gridCol w:w="2487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месторасположения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Акмолинской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23-32-58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Актюбинской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«а»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55-73-13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55-73-07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Алматинской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27-33-93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Атырауской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Азаттык, 96 «Б»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45-15-19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21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Восточно-Казахстанской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Бурова, 51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53-79-73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21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Западно-Казахстанской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Театральная, 16/2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50-91-96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Жамбылской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69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45-56-48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22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Карагандинской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72/2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56-51-34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56-56-63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18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Костанайской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Досщанова, 84/1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50-62-87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Кызылординской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Скаткова, 96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23-07-34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21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Мангистауской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мкр., 59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50-45-26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Павлодарской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32-19-86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Северо-Казахстанской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Кошукова, 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33-38-38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33-96-30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Южно-Казахстанской области»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54-12-72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городу Алматы»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378-46-58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городу Астаны»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149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37-99-12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37-65-58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 и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 не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Список и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454"/>
        <w:gridCol w:w="5597"/>
        <w:gridCol w:w="3971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отделы, отделения)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42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102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19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44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18б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2а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56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104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52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44а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119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9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8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 12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63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9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25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 Самалы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7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16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80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Есболаева, 66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10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3 мкр,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158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81/2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8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9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9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Каратобинскому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8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8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10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Акжайыкского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Акжайыкскому сельскому округу Теректинского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Акжайык,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Акжайык, 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8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6/7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Шахтинск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 65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Шахтинск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10/16, 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 Казахстан,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А. Оспанова, 40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ул, Ленина, 18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Бокейхана, 10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114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66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24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1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№ 4, 25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4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76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Е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67 б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организаций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 Бейнеуского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«Боранкулмадениет»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6-д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Машхур-Жусупа, 92/2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6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85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 Байзакова, 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 Г.Мусрепова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 Жумабаева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М.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1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г.Шымкента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г. Шымкента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 Шымкента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г.Шымкента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 Шымкента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Ергобек,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ул.Абылай хана, 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 жолы,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Кажымухана, б/н.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Тулькубасский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Тулькубас,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ул.Т. Рыскулова, 189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Жылкишиева,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 9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Астане»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20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6 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«Акжайык»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«Темирбанк»)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«Ондирис»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Кеменгерулы, 6/1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«Женис»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Женис, 34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5/1, вп. № 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 и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 не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жительства, дата и год рождения физического лица;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нахождения, наименование и peгистрационный номер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 серия 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 дата выдачи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и дата и год рождения физического лица;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 серия _________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 дата выдачи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Денежный эквивалент обязательства, обеспеченного залогом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___________________ залогодержателя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/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____________ № ___________ на сумму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Да/Нет (ненужное зачеркнуть)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 и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 не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5"/>
        <w:gridCol w:w="2712"/>
        <w:gridCol w:w="2589"/>
        <w:gridCol w:w="2734"/>
      </w:tblGrid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получателей государственной услуги, удовлетворенных качеством и информацией о порядке предоставления услуги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услуг, информация о которых доступна в электронном формате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32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